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ocument.xml" ContentType="application/vnd.openxmlformats-officedocument.wordprocessingml.document.main+xml"/>
  <Override PartName="/word/drawings/drawing1.xml" ContentType="application/vnd.openxmlformats-officedocument.drawingml.chartshapes+xml"/>
  <Override PartName="/word/drawings/drawing2.xml" ContentType="application/vnd.openxmlformats-officedocument.drawingml.chartshapes+xml"/>
  <Override PartName="/word/drawings/drawing3.xml" ContentType="application/vnd.openxmlformats-officedocument.drawingml.chartshapes+xml"/>
  <Override PartName="/word/embeddings/Microsoft_Visio___1.vsdx" ContentType="application/vnd.ms-visio.drawing"/>
  <Override PartName="/word/embeddings/Microsoft_Visio___2.vsdx" ContentType="application/vnd.ms-visio.drawing"/>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E65B3A1">
      <w:pPr>
        <w:widowControl/>
        <w:ind w:firstLine="0" w:firstLineChars="0"/>
        <w:jc w:val="center"/>
        <w:rPr>
          <w:rFonts w:eastAsia="方正仿宋_GB2312" w:cs="Times New Roman"/>
          <w:b/>
          <w:color w:val="000000" w:themeColor="text1"/>
          <w:sz w:val="28"/>
          <w14:textFill>
            <w14:solidFill>
              <w14:schemeClr w14:val="tx1"/>
            </w14:solidFill>
          </w14:textFill>
        </w:rPr>
      </w:pPr>
      <w:r>
        <w:drawing>
          <wp:inline distT="0" distB="0" distL="0" distR="0">
            <wp:extent cx="6043295" cy="855535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a:stretch>
                      <a:fillRect/>
                    </a:stretch>
                  </pic:blipFill>
                  <pic:spPr>
                    <a:xfrm>
                      <a:off x="0" y="0"/>
                      <a:ext cx="6046249" cy="8559633"/>
                    </a:xfrm>
                    <a:prstGeom prst="rect">
                      <a:avLst/>
                    </a:prstGeom>
                  </pic:spPr>
                </pic:pic>
              </a:graphicData>
            </a:graphic>
          </wp:inline>
        </w:drawing>
      </w:r>
    </w:p>
    <w:p w14:paraId="391C6350">
      <w:pPr>
        <w:widowControl/>
        <w:ind w:firstLine="0" w:firstLineChars="0"/>
        <w:jc w:val="center"/>
        <w:rPr>
          <w:rFonts w:eastAsia="方正仿宋_GB2312" w:cs="Times New Roman"/>
          <w:b/>
          <w:color w:val="000000" w:themeColor="text1"/>
          <w:sz w:val="28"/>
          <w14:textFill>
            <w14:solidFill>
              <w14:schemeClr w14:val="tx1"/>
            </w14:solidFill>
          </w14:textFill>
        </w:rPr>
      </w:pPr>
    </w:p>
    <w:p w14:paraId="737E7957">
      <w:pPr>
        <w:widowControl/>
        <w:ind w:firstLine="0" w:firstLineChars="0"/>
        <w:jc w:val="center"/>
        <w:rPr>
          <w:rFonts w:eastAsia="方正仿宋_GB2312" w:cs="Times New Roman"/>
          <w:b/>
          <w:color w:val="000000" w:themeColor="text1"/>
          <w:sz w:val="28"/>
          <w14:textFill>
            <w14:solidFill>
              <w14:schemeClr w14:val="tx1"/>
            </w14:solidFill>
          </w14:textFill>
        </w:rPr>
      </w:pPr>
      <w:r>
        <w:drawing>
          <wp:inline distT="0" distB="0" distL="0" distR="0">
            <wp:extent cx="6068060" cy="8590915"/>
            <wp:effectExtent l="0" t="0" r="8890" b="63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1"/>
                    <a:stretch>
                      <a:fillRect/>
                    </a:stretch>
                  </pic:blipFill>
                  <pic:spPr>
                    <a:xfrm>
                      <a:off x="0" y="0"/>
                      <a:ext cx="6071816" cy="8595829"/>
                    </a:xfrm>
                    <a:prstGeom prst="rect">
                      <a:avLst/>
                    </a:prstGeom>
                  </pic:spPr>
                </pic:pic>
              </a:graphicData>
            </a:graphic>
          </wp:inline>
        </w:drawing>
      </w:r>
    </w:p>
    <w:p w14:paraId="7CAAC280">
      <w:pPr>
        <w:widowControl/>
        <w:ind w:firstLine="0" w:firstLineChars="0"/>
        <w:jc w:val="center"/>
        <w:rPr>
          <w:rFonts w:eastAsia="方正仿宋_GB2312" w:cs="Times New Roman"/>
          <w:b/>
          <w:color w:val="000000" w:themeColor="text1"/>
          <w:sz w:val="28"/>
          <w14:textFill>
            <w14:solidFill>
              <w14:schemeClr w14:val="tx1"/>
            </w14:solidFill>
          </w14:textFill>
        </w:rPr>
      </w:pPr>
      <w:r>
        <w:drawing>
          <wp:inline distT="0" distB="0" distL="0" distR="0">
            <wp:extent cx="6073140" cy="8665210"/>
            <wp:effectExtent l="0" t="0" r="381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2"/>
                    <a:stretch>
                      <a:fillRect/>
                    </a:stretch>
                  </pic:blipFill>
                  <pic:spPr>
                    <a:xfrm>
                      <a:off x="0" y="0"/>
                      <a:ext cx="6076062" cy="8669470"/>
                    </a:xfrm>
                    <a:prstGeom prst="rect">
                      <a:avLst/>
                    </a:prstGeom>
                  </pic:spPr>
                </pic:pic>
              </a:graphicData>
            </a:graphic>
          </wp:inline>
        </w:drawing>
      </w:r>
      <w:r>
        <w:t xml:space="preserve"> </w:t>
      </w:r>
      <w:r>
        <w:drawing>
          <wp:inline distT="0" distB="0" distL="0" distR="0">
            <wp:extent cx="6005830" cy="8569325"/>
            <wp:effectExtent l="0" t="0" r="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3"/>
                    <a:stretch>
                      <a:fillRect/>
                    </a:stretch>
                  </pic:blipFill>
                  <pic:spPr>
                    <a:xfrm>
                      <a:off x="0" y="0"/>
                      <a:ext cx="6008221" cy="8572673"/>
                    </a:xfrm>
                    <a:prstGeom prst="rect">
                      <a:avLst/>
                    </a:prstGeom>
                  </pic:spPr>
                </pic:pic>
              </a:graphicData>
            </a:graphic>
          </wp:inline>
        </w:drawing>
      </w:r>
      <w:r>
        <w:t xml:space="preserve"> </w:t>
      </w:r>
      <w:r>
        <w:drawing>
          <wp:inline distT="0" distB="0" distL="0" distR="0">
            <wp:extent cx="6005830" cy="8569325"/>
            <wp:effectExtent l="0" t="0" r="0" b="317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34"/>
                    <a:stretch>
                      <a:fillRect/>
                    </a:stretch>
                  </pic:blipFill>
                  <pic:spPr>
                    <a:xfrm>
                      <a:off x="0" y="0"/>
                      <a:ext cx="6007010" cy="8570945"/>
                    </a:xfrm>
                    <a:prstGeom prst="rect">
                      <a:avLst/>
                    </a:prstGeom>
                  </pic:spPr>
                </pic:pic>
              </a:graphicData>
            </a:graphic>
          </wp:inline>
        </w:drawing>
      </w:r>
      <w:r>
        <w:t xml:space="preserve"> </w:t>
      </w:r>
      <w:r>
        <w:drawing>
          <wp:inline distT="0" distB="0" distL="0" distR="0">
            <wp:extent cx="6005830" cy="8569325"/>
            <wp:effectExtent l="0" t="0" r="0" b="31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5"/>
                    <a:stretch>
                      <a:fillRect/>
                    </a:stretch>
                  </pic:blipFill>
                  <pic:spPr>
                    <a:xfrm>
                      <a:off x="0" y="0"/>
                      <a:ext cx="6007800" cy="8572072"/>
                    </a:xfrm>
                    <a:prstGeom prst="rect">
                      <a:avLst/>
                    </a:prstGeom>
                  </pic:spPr>
                </pic:pic>
              </a:graphicData>
            </a:graphic>
          </wp:inline>
        </w:drawing>
      </w:r>
      <w:r>
        <w:t xml:space="preserve"> </w:t>
      </w:r>
      <w:r>
        <w:drawing>
          <wp:inline distT="0" distB="0" distL="0" distR="0">
            <wp:extent cx="6117590" cy="872871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6"/>
                    <a:stretch>
                      <a:fillRect/>
                    </a:stretch>
                  </pic:blipFill>
                  <pic:spPr>
                    <a:xfrm>
                      <a:off x="0" y="0"/>
                      <a:ext cx="6120428" cy="8732772"/>
                    </a:xfrm>
                    <a:prstGeom prst="rect">
                      <a:avLst/>
                    </a:prstGeom>
                  </pic:spPr>
                </pic:pic>
              </a:graphicData>
            </a:graphic>
          </wp:inline>
        </w:drawing>
      </w:r>
      <w:r>
        <w:t xml:space="preserve"> </w:t>
      </w:r>
      <w:r>
        <w:drawing>
          <wp:inline distT="0" distB="0" distL="0" distR="0">
            <wp:extent cx="6028055" cy="860171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7"/>
                    <a:stretch>
                      <a:fillRect/>
                    </a:stretch>
                  </pic:blipFill>
                  <pic:spPr>
                    <a:xfrm>
                      <a:off x="0" y="0"/>
                      <a:ext cx="6031145" cy="8605382"/>
                    </a:xfrm>
                    <a:prstGeom prst="rect">
                      <a:avLst/>
                    </a:prstGeom>
                  </pic:spPr>
                </pic:pic>
              </a:graphicData>
            </a:graphic>
          </wp:inline>
        </w:drawing>
      </w:r>
    </w:p>
    <w:p w14:paraId="4EE3389A">
      <w:pPr>
        <w:spacing w:line="358" w:lineRule="exact"/>
        <w:ind w:firstLine="560"/>
        <w:jc w:val="center"/>
        <w:rPr>
          <w:rFonts w:cs="Times New Roman"/>
          <w:color w:val="000000" w:themeColor="text1"/>
          <w:sz w:val="28"/>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type w:val="continuous"/>
          <w:pgSz w:w="11910" w:h="16840"/>
          <w:pgMar w:top="1418" w:right="1418" w:bottom="1418" w:left="1418" w:header="851" w:footer="851" w:gutter="0"/>
          <w:cols w:space="720" w:num="1"/>
          <w:docGrid w:linePitch="326" w:charSpace="0"/>
        </w:sectPr>
      </w:pPr>
    </w:p>
    <w:p w14:paraId="2B188921">
      <w:pPr>
        <w:ind w:firstLine="883"/>
        <w:jc w:val="center"/>
        <w:rPr>
          <w:rFonts w:cs="Times New Roman"/>
          <w:b/>
          <w:bCs/>
          <w:color w:val="000000" w:themeColor="text1"/>
          <w:sz w:val="44"/>
          <w:szCs w:val="44"/>
          <w14:textFill>
            <w14:solidFill>
              <w14:schemeClr w14:val="tx1"/>
            </w14:solidFill>
          </w14:textFill>
        </w:rPr>
      </w:pPr>
      <w:bookmarkStart w:id="0" w:name="_Toc5281"/>
      <w:bookmarkStart w:id="1" w:name="_Toc26769"/>
      <w:r>
        <w:rPr>
          <w:rFonts w:cs="Times New Roman"/>
          <w:b/>
          <w:bCs/>
          <w:color w:val="000000" w:themeColor="text1"/>
          <w:sz w:val="44"/>
          <w:szCs w:val="44"/>
          <w14:textFill>
            <w14:solidFill>
              <w14:schemeClr w14:val="tx1"/>
            </w14:solidFill>
          </w14:textFill>
        </w:rPr>
        <w:t>目</w:t>
      </w:r>
      <w:r>
        <w:rPr>
          <w:rFonts w:hint="eastAsia" w:cs="Times New Roman"/>
          <w:b/>
          <w:bCs/>
          <w:color w:val="000000" w:themeColor="text1"/>
          <w:sz w:val="44"/>
          <w:szCs w:val="44"/>
          <w14:textFill>
            <w14:solidFill>
              <w14:schemeClr w14:val="tx1"/>
            </w14:solidFill>
          </w14:textFill>
        </w:rPr>
        <w:t xml:space="preserve">    </w:t>
      </w:r>
      <w:r>
        <w:rPr>
          <w:rFonts w:cs="Times New Roman"/>
          <w:b/>
          <w:bCs/>
          <w:color w:val="000000" w:themeColor="text1"/>
          <w:sz w:val="44"/>
          <w:szCs w:val="44"/>
          <w14:textFill>
            <w14:solidFill>
              <w14:schemeClr w14:val="tx1"/>
            </w14:solidFill>
          </w14:textFill>
        </w:rPr>
        <w:t>录</w:t>
      </w:r>
      <w:bookmarkEnd w:id="0"/>
      <w:bookmarkEnd w:id="1"/>
    </w:p>
    <w:p w14:paraId="0A47189B">
      <w:pPr>
        <w:pStyle w:val="37"/>
        <w:tabs>
          <w:tab w:val="right" w:leader="dot" w:pos="9064"/>
        </w:tabs>
        <w:spacing w:line="360" w:lineRule="exact"/>
        <w:ind w:firstLine="402"/>
        <w:rPr>
          <w:rFonts w:ascii="Times New Roman" w:eastAsia="宋体" w:cs="Times New Roman"/>
          <w:b w:val="0"/>
          <w:bCs w:val="0"/>
          <w:caps w:val="0"/>
          <w:sz w:val="21"/>
          <w:szCs w:val="22"/>
        </w:rPr>
      </w:pPr>
      <w:r>
        <w:rPr>
          <w:rFonts w:ascii="Times New Roman" w:eastAsia="宋体" w:cs="Times New Roman"/>
          <w:color w:val="000000" w:themeColor="text1"/>
          <w14:textFill>
            <w14:solidFill>
              <w14:schemeClr w14:val="tx1"/>
            </w14:solidFill>
          </w14:textFill>
        </w:rPr>
        <w:fldChar w:fldCharType="begin"/>
      </w:r>
      <w:r>
        <w:rPr>
          <w:rFonts w:ascii="Times New Roman" w:eastAsia="宋体" w:cs="Times New Roman"/>
          <w:color w:val="000000" w:themeColor="text1"/>
          <w14:textFill>
            <w14:solidFill>
              <w14:schemeClr w14:val="tx1"/>
            </w14:solidFill>
          </w14:textFill>
        </w:rPr>
        <w:instrText xml:space="preserve"> TOC \o "1-2" \h \z \u </w:instrText>
      </w:r>
      <w:r>
        <w:rPr>
          <w:rFonts w:ascii="Times New Roman" w:eastAsia="宋体" w:cs="Times New Roman"/>
          <w:color w:val="000000" w:themeColor="text1"/>
          <w14:textFill>
            <w14:solidFill>
              <w14:schemeClr w14:val="tx1"/>
            </w14:solidFill>
          </w14:textFill>
        </w:rPr>
        <w:fldChar w:fldCharType="separate"/>
      </w:r>
      <w:r>
        <w:fldChar w:fldCharType="begin"/>
      </w:r>
      <w:r>
        <w:instrText xml:space="preserve"> HYPERLINK \l "_Toc193912350" </w:instrText>
      </w:r>
      <w:r>
        <w:fldChar w:fldCharType="separate"/>
      </w:r>
      <w:r>
        <w:rPr>
          <w:rStyle w:val="61"/>
          <w:rFonts w:ascii="Times New Roman" w:eastAsia="宋体" w:cs="Times New Roman"/>
          <w14:scene3d>
            <w14:lightRig w14:rig="threePt" w14:dir="t">
              <w14:rot w14:lat="0" w14:lon="0" w14:rev="0"/>
            </w14:lightRig>
          </w14:scene3d>
        </w:rPr>
        <w:t>第一章</w:t>
      </w:r>
      <w:r>
        <w:rPr>
          <w:rStyle w:val="61"/>
          <w:rFonts w:ascii="Times New Roman" w:eastAsia="宋体" w:cs="Times New Roman"/>
        </w:rPr>
        <w:t xml:space="preserve"> 概述</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_Toc193912350 \h </w:instrText>
      </w:r>
      <w:r>
        <w:rPr>
          <w:rFonts w:ascii="Times New Roman" w:eastAsia="宋体" w:cs="Times New Roman"/>
        </w:rPr>
        <w:fldChar w:fldCharType="separate"/>
      </w:r>
      <w:r>
        <w:rPr>
          <w:rFonts w:ascii="Times New Roman" w:eastAsia="宋体" w:cs="Times New Roman"/>
        </w:rPr>
        <w:t>1</w:t>
      </w:r>
      <w:r>
        <w:rPr>
          <w:rFonts w:ascii="Times New Roman" w:eastAsia="宋体" w:cs="Times New Roman"/>
        </w:rPr>
        <w:fldChar w:fldCharType="end"/>
      </w:r>
      <w:r>
        <w:rPr>
          <w:rFonts w:ascii="Times New Roman" w:eastAsia="宋体" w:cs="Times New Roman"/>
        </w:rPr>
        <w:fldChar w:fldCharType="end"/>
      </w:r>
    </w:p>
    <w:p w14:paraId="2DCB10A9">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"_Toc193912351" </w:instrText>
      </w:r>
      <w:r>
        <w:fldChar w:fldCharType="separate"/>
      </w:r>
      <w:r>
        <w:rPr>
          <w:rStyle w:val="61"/>
          <w:rFonts w:ascii="Times New Roman" w:eastAsia="宋体" w:cs="Times New Roman"/>
        </w:rPr>
        <w:t>1.1 建设项目由来</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_Toc193912351 \h </w:instrText>
      </w:r>
      <w:r>
        <w:rPr>
          <w:rFonts w:ascii="Times New Roman" w:eastAsia="宋体" w:cs="Times New Roman"/>
        </w:rPr>
        <w:fldChar w:fldCharType="separate"/>
      </w:r>
      <w:r>
        <w:rPr>
          <w:rFonts w:ascii="Times New Roman" w:eastAsia="宋体" w:cs="Times New Roman"/>
        </w:rPr>
        <w:t>1</w:t>
      </w:r>
      <w:r>
        <w:rPr>
          <w:rFonts w:ascii="Times New Roman" w:eastAsia="宋体" w:cs="Times New Roman"/>
        </w:rPr>
        <w:fldChar w:fldCharType="end"/>
      </w:r>
      <w:r>
        <w:rPr>
          <w:rFonts w:ascii="Times New Roman" w:eastAsia="宋体" w:cs="Times New Roman"/>
        </w:rPr>
        <w:fldChar w:fldCharType="end"/>
      </w:r>
    </w:p>
    <w:p w14:paraId="1EE8D685">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"_Toc193912352" </w:instrText>
      </w:r>
      <w:r>
        <w:fldChar w:fldCharType="separate"/>
      </w:r>
      <w:r>
        <w:rPr>
          <w:rStyle w:val="61"/>
          <w:rFonts w:ascii="Times New Roman" w:eastAsia="宋体" w:cs="Times New Roman"/>
        </w:rPr>
        <w:t>1.2 环境影响评价的工作过程</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_Toc193912352 \h </w:instrText>
      </w:r>
      <w:r>
        <w:rPr>
          <w:rFonts w:ascii="Times New Roman" w:eastAsia="宋体" w:cs="Times New Roman"/>
        </w:rPr>
        <w:fldChar w:fldCharType="separate"/>
      </w:r>
      <w:r>
        <w:rPr>
          <w:rFonts w:ascii="Times New Roman" w:eastAsia="宋体" w:cs="Times New Roman"/>
        </w:rPr>
        <w:t>2</w:t>
      </w:r>
      <w:r>
        <w:rPr>
          <w:rFonts w:ascii="Times New Roman" w:eastAsia="宋体" w:cs="Times New Roman"/>
        </w:rPr>
        <w:fldChar w:fldCharType="end"/>
      </w:r>
      <w:r>
        <w:rPr>
          <w:rFonts w:ascii="Times New Roman" w:eastAsia="宋体" w:cs="Times New Roman"/>
        </w:rPr>
        <w:fldChar w:fldCharType="end"/>
      </w:r>
    </w:p>
    <w:p w14:paraId="38A7C922">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"_Toc193912353" </w:instrText>
      </w:r>
      <w:r>
        <w:fldChar w:fldCharType="separate"/>
      </w:r>
      <w:r>
        <w:rPr>
          <w:rStyle w:val="61"/>
          <w:rFonts w:ascii="Times New Roman" w:eastAsia="宋体" w:cs="Times New Roman"/>
        </w:rPr>
        <w:t>1.3 分析判定相关情况</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_Toc193912353 \h </w:instrText>
      </w:r>
      <w:r>
        <w:rPr>
          <w:rFonts w:ascii="Times New Roman" w:eastAsia="宋体" w:cs="Times New Roman"/>
        </w:rPr>
        <w:fldChar w:fldCharType="separate"/>
      </w:r>
      <w:r>
        <w:rPr>
          <w:rFonts w:ascii="Times New Roman" w:eastAsia="宋体" w:cs="Times New Roman"/>
        </w:rPr>
        <w:t>4</w:t>
      </w:r>
      <w:r>
        <w:rPr>
          <w:rFonts w:ascii="Times New Roman" w:eastAsia="宋体" w:cs="Times New Roman"/>
        </w:rPr>
        <w:fldChar w:fldCharType="end"/>
      </w:r>
      <w:r>
        <w:rPr>
          <w:rFonts w:ascii="Times New Roman" w:eastAsia="宋体" w:cs="Times New Roman"/>
        </w:rPr>
        <w:fldChar w:fldCharType="end"/>
      </w:r>
    </w:p>
    <w:p w14:paraId="6EE661ED">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"_Toc193912354" </w:instrText>
      </w:r>
      <w:r>
        <w:fldChar w:fldCharType="separate"/>
      </w:r>
      <w:r>
        <w:rPr>
          <w:rStyle w:val="61"/>
          <w:rFonts w:ascii="Times New Roman" w:eastAsia="宋体" w:cs="Times New Roman"/>
        </w:rPr>
        <w:t>1.4 关注的主要环境问题</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_Toc193912354 \h </w:instrText>
      </w:r>
      <w:r>
        <w:rPr>
          <w:rFonts w:ascii="Times New Roman" w:eastAsia="宋体" w:cs="Times New Roman"/>
        </w:rPr>
        <w:fldChar w:fldCharType="separate"/>
      </w:r>
      <w:r>
        <w:rPr>
          <w:rFonts w:ascii="Times New Roman" w:eastAsia="宋体" w:cs="Times New Roman"/>
        </w:rPr>
        <w:t>9</w:t>
      </w:r>
      <w:r>
        <w:rPr>
          <w:rFonts w:ascii="Times New Roman" w:eastAsia="宋体" w:cs="Times New Roman"/>
        </w:rPr>
        <w:fldChar w:fldCharType="end"/>
      </w:r>
      <w:r>
        <w:rPr>
          <w:rFonts w:ascii="Times New Roman" w:eastAsia="宋体" w:cs="Times New Roman"/>
        </w:rPr>
        <w:fldChar w:fldCharType="end"/>
      </w:r>
    </w:p>
    <w:p w14:paraId="1F699AD2">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"_Toc193912355" </w:instrText>
      </w:r>
      <w:r>
        <w:fldChar w:fldCharType="separate"/>
      </w:r>
      <w:r>
        <w:rPr>
          <w:rStyle w:val="61"/>
          <w:rFonts w:ascii="Times New Roman" w:eastAsia="宋体" w:cs="Times New Roman"/>
        </w:rPr>
        <w:t>1.5 环境影响报告书的主要结论</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_Toc193912355 \h </w:instrText>
      </w:r>
      <w:r>
        <w:rPr>
          <w:rFonts w:ascii="Times New Roman" w:eastAsia="宋体" w:cs="Times New Roman"/>
        </w:rPr>
        <w:fldChar w:fldCharType="separate"/>
      </w:r>
      <w:r>
        <w:rPr>
          <w:rFonts w:ascii="Times New Roman" w:eastAsia="宋体" w:cs="Times New Roman"/>
        </w:rPr>
        <w:t>10</w:t>
      </w:r>
      <w:r>
        <w:rPr>
          <w:rFonts w:ascii="Times New Roman" w:eastAsia="宋体" w:cs="Times New Roman"/>
        </w:rPr>
        <w:fldChar w:fldCharType="end"/>
      </w:r>
      <w:r>
        <w:rPr>
          <w:rFonts w:ascii="Times New Roman" w:eastAsia="宋体" w:cs="Times New Roman"/>
        </w:rPr>
        <w:fldChar w:fldCharType="end"/>
      </w:r>
    </w:p>
    <w:p w14:paraId="0F5BE5B8">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"_Toc193912356" </w:instrText>
      </w:r>
      <w:r>
        <w:fldChar w:fldCharType="separate"/>
      </w:r>
      <w:r>
        <w:rPr>
          <w:rStyle w:val="61"/>
          <w:rFonts w:ascii="Times New Roman" w:eastAsia="宋体" w:cs="Times New Roman"/>
          <w14:scene3d>
            <w14:lightRig w14:rig="threePt" w14:dir="t">
              <w14:rot w14:lat="0" w14:lon="0" w14:rev="0"/>
            </w14:lightRig>
          </w14:scene3d>
        </w:rPr>
        <w:t>第二章</w:t>
      </w:r>
      <w:r>
        <w:rPr>
          <w:rStyle w:val="61"/>
          <w:rFonts w:ascii="Times New Roman" w:eastAsia="宋体" w:cs="Times New Roman"/>
        </w:rPr>
        <w:t xml:space="preserve"> 总则</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_Toc193912356 \h </w:instrText>
      </w:r>
      <w:r>
        <w:rPr>
          <w:rFonts w:ascii="Times New Roman" w:eastAsia="宋体" w:cs="Times New Roman"/>
        </w:rPr>
        <w:fldChar w:fldCharType="separate"/>
      </w:r>
      <w:r>
        <w:rPr>
          <w:rFonts w:ascii="Times New Roman" w:eastAsia="宋体" w:cs="Times New Roman"/>
        </w:rPr>
        <w:t>11</w:t>
      </w:r>
      <w:r>
        <w:rPr>
          <w:rFonts w:ascii="Times New Roman" w:eastAsia="宋体" w:cs="Times New Roman"/>
        </w:rPr>
        <w:fldChar w:fldCharType="end"/>
      </w:r>
      <w:r>
        <w:rPr>
          <w:rFonts w:ascii="Times New Roman" w:eastAsia="宋体" w:cs="Times New Roman"/>
        </w:rPr>
        <w:fldChar w:fldCharType="end"/>
      </w:r>
    </w:p>
    <w:p w14:paraId="592979EA">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"_Toc193912357" </w:instrText>
      </w:r>
      <w:r>
        <w:fldChar w:fldCharType="separate"/>
      </w:r>
      <w:r>
        <w:rPr>
          <w:rStyle w:val="61"/>
          <w:rFonts w:ascii="Times New Roman" w:eastAsia="宋体" w:cs="Times New Roman"/>
        </w:rPr>
        <w:t>2.1 编制依据</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_Toc193912357 \h </w:instrText>
      </w:r>
      <w:r>
        <w:rPr>
          <w:rFonts w:ascii="Times New Roman" w:eastAsia="宋体" w:cs="Times New Roman"/>
        </w:rPr>
        <w:fldChar w:fldCharType="separate"/>
      </w:r>
      <w:r>
        <w:rPr>
          <w:rFonts w:ascii="Times New Roman" w:eastAsia="宋体" w:cs="Times New Roman"/>
        </w:rPr>
        <w:t>11</w:t>
      </w:r>
      <w:r>
        <w:rPr>
          <w:rFonts w:ascii="Times New Roman" w:eastAsia="宋体" w:cs="Times New Roman"/>
        </w:rPr>
        <w:fldChar w:fldCharType="end"/>
      </w:r>
      <w:r>
        <w:rPr>
          <w:rFonts w:ascii="Times New Roman" w:eastAsia="宋体" w:cs="Times New Roman"/>
        </w:rPr>
        <w:fldChar w:fldCharType="end"/>
      </w:r>
    </w:p>
    <w:p w14:paraId="3DA21114">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"_Toc193912358" </w:instrText>
      </w:r>
      <w:r>
        <w:fldChar w:fldCharType="separate"/>
      </w:r>
      <w:r>
        <w:rPr>
          <w:rStyle w:val="61"/>
          <w:rFonts w:ascii="Times New Roman" w:eastAsia="宋体" w:cs="Times New Roman"/>
        </w:rPr>
        <w:t>2.2 评价目的与原则</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_Toc193912358 \h </w:instrText>
      </w:r>
      <w:r>
        <w:rPr>
          <w:rFonts w:ascii="Times New Roman" w:eastAsia="宋体" w:cs="Times New Roman"/>
        </w:rPr>
        <w:fldChar w:fldCharType="separate"/>
      </w:r>
      <w:r>
        <w:rPr>
          <w:rFonts w:ascii="Times New Roman" w:eastAsia="宋体" w:cs="Times New Roman"/>
        </w:rPr>
        <w:t>14</w:t>
      </w:r>
      <w:r>
        <w:rPr>
          <w:rFonts w:ascii="Times New Roman" w:eastAsia="宋体" w:cs="Times New Roman"/>
        </w:rPr>
        <w:fldChar w:fldCharType="end"/>
      </w:r>
      <w:r>
        <w:rPr>
          <w:rFonts w:ascii="Times New Roman" w:eastAsia="宋体" w:cs="Times New Roman"/>
        </w:rPr>
        <w:fldChar w:fldCharType="end"/>
      </w:r>
    </w:p>
    <w:p w14:paraId="50B541FE">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"_Toc193912359" </w:instrText>
      </w:r>
      <w:r>
        <w:fldChar w:fldCharType="separate"/>
      </w:r>
      <w:r>
        <w:rPr>
          <w:rStyle w:val="61"/>
          <w:rFonts w:ascii="Times New Roman" w:eastAsia="宋体" w:cs="Times New Roman"/>
        </w:rPr>
        <w:t>2.3 评价方法与时段</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_Toc193912359 \h </w:instrText>
      </w:r>
      <w:r>
        <w:rPr>
          <w:rFonts w:ascii="Times New Roman" w:eastAsia="宋体" w:cs="Times New Roman"/>
        </w:rPr>
        <w:fldChar w:fldCharType="separate"/>
      </w:r>
      <w:r>
        <w:rPr>
          <w:rFonts w:ascii="Times New Roman" w:eastAsia="宋体" w:cs="Times New Roman"/>
        </w:rPr>
        <w:t>15</w:t>
      </w:r>
      <w:r>
        <w:rPr>
          <w:rFonts w:ascii="Times New Roman" w:eastAsia="宋体" w:cs="Times New Roman"/>
        </w:rPr>
        <w:fldChar w:fldCharType="end"/>
      </w:r>
      <w:r>
        <w:rPr>
          <w:rFonts w:ascii="Times New Roman" w:eastAsia="宋体" w:cs="Times New Roman"/>
        </w:rPr>
        <w:fldChar w:fldCharType="end"/>
      </w:r>
    </w:p>
    <w:p w14:paraId="4AF7F8F1">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"_Toc193912360" </w:instrText>
      </w:r>
      <w:r>
        <w:fldChar w:fldCharType="separate"/>
      </w:r>
      <w:r>
        <w:rPr>
          <w:rStyle w:val="61"/>
          <w:rFonts w:ascii="Times New Roman" w:eastAsia="宋体" w:cs="Times New Roman"/>
        </w:rPr>
        <w:t>2.4 环境影响因子识别和评价因子筛选</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_Toc193912360 \h </w:instrText>
      </w:r>
      <w:r>
        <w:rPr>
          <w:rFonts w:ascii="Times New Roman" w:eastAsia="宋体" w:cs="Times New Roman"/>
        </w:rPr>
        <w:fldChar w:fldCharType="separate"/>
      </w:r>
      <w:r>
        <w:rPr>
          <w:rFonts w:ascii="Times New Roman" w:eastAsia="宋体" w:cs="Times New Roman"/>
        </w:rPr>
        <w:t>15</w:t>
      </w:r>
      <w:r>
        <w:rPr>
          <w:rFonts w:ascii="Times New Roman" w:eastAsia="宋体" w:cs="Times New Roman"/>
        </w:rPr>
        <w:fldChar w:fldCharType="end"/>
      </w:r>
      <w:r>
        <w:rPr>
          <w:rFonts w:ascii="Times New Roman" w:eastAsia="宋体" w:cs="Times New Roman"/>
        </w:rPr>
        <w:fldChar w:fldCharType="end"/>
      </w:r>
    </w:p>
    <w:p w14:paraId="11CDD111">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"_Toc193912361" </w:instrText>
      </w:r>
      <w:r>
        <w:fldChar w:fldCharType="separate"/>
      </w:r>
      <w:r>
        <w:rPr>
          <w:rStyle w:val="61"/>
          <w:rFonts w:ascii="Times New Roman" w:eastAsia="宋体" w:cs="Times New Roman"/>
        </w:rPr>
        <w:t>2.5 环境功能区划及评价标准</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_Toc193912361 \h </w:instrText>
      </w:r>
      <w:r>
        <w:rPr>
          <w:rFonts w:ascii="Times New Roman" w:eastAsia="宋体" w:cs="Times New Roman"/>
        </w:rPr>
        <w:fldChar w:fldCharType="separate"/>
      </w:r>
      <w:r>
        <w:rPr>
          <w:rFonts w:ascii="Times New Roman" w:eastAsia="宋体" w:cs="Times New Roman"/>
        </w:rPr>
        <w:t>17</w:t>
      </w:r>
      <w:r>
        <w:rPr>
          <w:rFonts w:ascii="Times New Roman" w:eastAsia="宋体" w:cs="Times New Roman"/>
        </w:rPr>
        <w:fldChar w:fldCharType="end"/>
      </w:r>
      <w:r>
        <w:rPr>
          <w:rFonts w:ascii="Times New Roman" w:eastAsia="宋体" w:cs="Times New Roman"/>
        </w:rPr>
        <w:fldChar w:fldCharType="end"/>
      </w:r>
    </w:p>
    <w:p w14:paraId="70D8F88D">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"_Toc193912362" </w:instrText>
      </w:r>
      <w:r>
        <w:fldChar w:fldCharType="separate"/>
      </w:r>
      <w:r>
        <w:rPr>
          <w:rStyle w:val="61"/>
          <w:rFonts w:ascii="Times New Roman" w:eastAsia="宋体" w:cs="Times New Roman"/>
        </w:rPr>
        <w:t>2.6 评价等级及范围</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_Toc193912362 \h </w:instrText>
      </w:r>
      <w:r>
        <w:rPr>
          <w:rFonts w:ascii="Times New Roman" w:eastAsia="宋体" w:cs="Times New Roman"/>
        </w:rPr>
        <w:fldChar w:fldCharType="separate"/>
      </w:r>
      <w:r>
        <w:rPr>
          <w:rFonts w:ascii="Times New Roman" w:eastAsia="宋体" w:cs="Times New Roman"/>
        </w:rPr>
        <w:t>20</w:t>
      </w:r>
      <w:r>
        <w:rPr>
          <w:rFonts w:ascii="Times New Roman" w:eastAsia="宋体" w:cs="Times New Roman"/>
        </w:rPr>
        <w:fldChar w:fldCharType="end"/>
      </w:r>
      <w:r>
        <w:rPr>
          <w:rFonts w:ascii="Times New Roman" w:eastAsia="宋体" w:cs="Times New Roman"/>
        </w:rPr>
        <w:fldChar w:fldCharType="end"/>
      </w:r>
    </w:p>
    <w:p w14:paraId="3BCABDB1">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"_Toc193912363" </w:instrText>
      </w:r>
      <w:r>
        <w:fldChar w:fldCharType="separate"/>
      </w:r>
      <w:r>
        <w:rPr>
          <w:rStyle w:val="61"/>
          <w:rFonts w:ascii="Times New Roman" w:eastAsia="宋体" w:cs="Times New Roman"/>
        </w:rPr>
        <w:t>2.7 环境保护目标</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_Toc193912363 \h </w:instrText>
      </w:r>
      <w:r>
        <w:rPr>
          <w:rFonts w:ascii="Times New Roman" w:eastAsia="宋体" w:cs="Times New Roman"/>
        </w:rPr>
        <w:fldChar w:fldCharType="separate"/>
      </w:r>
      <w:r>
        <w:rPr>
          <w:rFonts w:ascii="Times New Roman" w:eastAsia="宋体" w:cs="Times New Roman"/>
        </w:rPr>
        <w:t>21</w:t>
      </w:r>
      <w:r>
        <w:rPr>
          <w:rFonts w:ascii="Times New Roman" w:eastAsia="宋体" w:cs="Times New Roman"/>
        </w:rPr>
        <w:fldChar w:fldCharType="end"/>
      </w:r>
      <w:r>
        <w:rPr>
          <w:rFonts w:ascii="Times New Roman" w:eastAsia="宋体" w:cs="Times New Roman"/>
        </w:rPr>
        <w:fldChar w:fldCharType="end"/>
      </w:r>
    </w:p>
    <w:p w14:paraId="25D54AEB">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"_Toc193912364" </w:instrText>
      </w:r>
      <w:r>
        <w:fldChar w:fldCharType="separate"/>
      </w:r>
      <w:r>
        <w:rPr>
          <w:rStyle w:val="61"/>
          <w:rFonts w:ascii="Times New Roman" w:eastAsia="宋体" w:cs="Times New Roman"/>
          <w14:scene3d>
            <w14:lightRig w14:rig="threePt" w14:dir="t">
              <w14:rot w14:lat="0" w14:lon="0" w14:rev="0"/>
            </w14:lightRig>
          </w14:scene3d>
        </w:rPr>
        <w:t>第三章</w:t>
      </w:r>
      <w:r>
        <w:rPr>
          <w:rStyle w:val="61"/>
          <w:rFonts w:ascii="Times New Roman" w:eastAsia="宋体" w:cs="Times New Roman"/>
        </w:rPr>
        <w:t xml:space="preserve"> 建设项目工程分析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_Toc193912364 \h </w:instrText>
      </w:r>
      <w:r>
        <w:rPr>
          <w:rFonts w:ascii="Times New Roman" w:eastAsia="宋体" w:cs="Times New Roman"/>
        </w:rPr>
        <w:fldChar w:fldCharType="separate"/>
      </w:r>
      <w:r>
        <w:rPr>
          <w:rFonts w:ascii="Times New Roman" w:eastAsia="宋体" w:cs="Times New Roman"/>
        </w:rPr>
        <w:t>29</w:t>
      </w:r>
      <w:r>
        <w:rPr>
          <w:rFonts w:ascii="Times New Roman" w:eastAsia="宋体" w:cs="Times New Roman"/>
        </w:rPr>
        <w:fldChar w:fldCharType="end"/>
      </w:r>
      <w:r>
        <w:rPr>
          <w:rFonts w:ascii="Times New Roman" w:eastAsia="宋体" w:cs="Times New Roman"/>
        </w:rPr>
        <w:fldChar w:fldCharType="end"/>
      </w:r>
    </w:p>
    <w:p w14:paraId="37B6DB70">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"_Toc193912365" </w:instrText>
      </w:r>
      <w:r>
        <w:fldChar w:fldCharType="separate"/>
      </w:r>
      <w:r>
        <w:rPr>
          <w:rStyle w:val="61"/>
          <w:rFonts w:ascii="Times New Roman" w:eastAsia="宋体" w:cs="Times New Roman"/>
        </w:rPr>
        <w:t>3.1 路线方案环境比选</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_Toc193912365 \h </w:instrText>
      </w:r>
      <w:r>
        <w:rPr>
          <w:rFonts w:ascii="Times New Roman" w:eastAsia="宋体" w:cs="Times New Roman"/>
        </w:rPr>
        <w:fldChar w:fldCharType="separate"/>
      </w:r>
      <w:r>
        <w:rPr>
          <w:rFonts w:ascii="Times New Roman" w:eastAsia="宋体" w:cs="Times New Roman"/>
        </w:rPr>
        <w:t>29</w:t>
      </w:r>
      <w:r>
        <w:rPr>
          <w:rFonts w:ascii="Times New Roman" w:eastAsia="宋体" w:cs="Times New Roman"/>
        </w:rPr>
        <w:fldChar w:fldCharType="end"/>
      </w:r>
      <w:r>
        <w:rPr>
          <w:rFonts w:ascii="Times New Roman" w:eastAsia="宋体" w:cs="Times New Roman"/>
        </w:rPr>
        <w:fldChar w:fldCharType="end"/>
      </w:r>
    </w:p>
    <w:p w14:paraId="4D27982E">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"_Toc193912366" </w:instrText>
      </w:r>
      <w:r>
        <w:fldChar w:fldCharType="separate"/>
      </w:r>
      <w:r>
        <w:rPr>
          <w:rStyle w:val="61"/>
          <w:rFonts w:ascii="Times New Roman" w:eastAsia="宋体" w:cs="Times New Roman"/>
        </w:rPr>
        <w:t>3.2 项目基本情况</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_Toc193912366 \h </w:instrText>
      </w:r>
      <w:r>
        <w:rPr>
          <w:rFonts w:ascii="Times New Roman" w:eastAsia="宋体" w:cs="Times New Roman"/>
        </w:rPr>
        <w:fldChar w:fldCharType="separate"/>
      </w:r>
      <w:r>
        <w:rPr>
          <w:rFonts w:ascii="Times New Roman" w:eastAsia="宋体" w:cs="Times New Roman"/>
        </w:rPr>
        <w:t>34</w:t>
      </w:r>
      <w:r>
        <w:rPr>
          <w:rFonts w:ascii="Times New Roman" w:eastAsia="宋体" w:cs="Times New Roman"/>
        </w:rPr>
        <w:fldChar w:fldCharType="end"/>
      </w:r>
      <w:r>
        <w:rPr>
          <w:rFonts w:ascii="Times New Roman" w:eastAsia="宋体" w:cs="Times New Roman"/>
        </w:rPr>
        <w:fldChar w:fldCharType="end"/>
      </w:r>
    </w:p>
    <w:p w14:paraId="059481F6">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"_Toc193912367" </w:instrText>
      </w:r>
      <w:r>
        <w:fldChar w:fldCharType="separate"/>
      </w:r>
      <w:r>
        <w:rPr>
          <w:rStyle w:val="61"/>
          <w:rFonts w:ascii="Times New Roman" w:eastAsia="宋体" w:cs="Times New Roman"/>
        </w:rPr>
        <w:t>3.3 工程建设方案</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_Toc193912367 \h </w:instrText>
      </w:r>
      <w:r>
        <w:rPr>
          <w:rFonts w:ascii="Times New Roman" w:eastAsia="宋体" w:cs="Times New Roman"/>
        </w:rPr>
        <w:fldChar w:fldCharType="separate"/>
      </w:r>
      <w:r>
        <w:rPr>
          <w:rFonts w:ascii="Times New Roman" w:eastAsia="宋体" w:cs="Times New Roman"/>
        </w:rPr>
        <w:t>37</w:t>
      </w:r>
      <w:r>
        <w:rPr>
          <w:rFonts w:ascii="Times New Roman" w:eastAsia="宋体" w:cs="Times New Roman"/>
        </w:rPr>
        <w:fldChar w:fldCharType="end"/>
      </w:r>
      <w:r>
        <w:rPr>
          <w:rFonts w:ascii="Times New Roman" w:eastAsia="宋体" w:cs="Times New Roman"/>
        </w:rPr>
        <w:fldChar w:fldCharType="end"/>
      </w:r>
    </w:p>
    <w:p w14:paraId="17296404">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"_Toc193912368" </w:instrText>
      </w:r>
      <w:r>
        <w:fldChar w:fldCharType="separate"/>
      </w:r>
      <w:r>
        <w:rPr>
          <w:rStyle w:val="61"/>
          <w:rFonts w:ascii="Times New Roman" w:eastAsia="宋体" w:cs="Times New Roman"/>
        </w:rPr>
        <w:t>3.4 下穿福厦高铁段落建设情况回顾调查</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_Toc193912368 \h </w:instrText>
      </w:r>
      <w:r>
        <w:rPr>
          <w:rFonts w:ascii="Times New Roman" w:eastAsia="宋体" w:cs="Times New Roman"/>
        </w:rPr>
        <w:fldChar w:fldCharType="separate"/>
      </w:r>
      <w:r>
        <w:rPr>
          <w:rFonts w:ascii="Times New Roman" w:eastAsia="宋体" w:cs="Times New Roman"/>
        </w:rPr>
        <w:t>49</w:t>
      </w:r>
      <w:r>
        <w:rPr>
          <w:rFonts w:ascii="Times New Roman" w:eastAsia="宋体" w:cs="Times New Roman"/>
        </w:rPr>
        <w:fldChar w:fldCharType="end"/>
      </w:r>
      <w:r>
        <w:rPr>
          <w:rFonts w:ascii="Times New Roman" w:eastAsia="宋体" w:cs="Times New Roman"/>
        </w:rPr>
        <w:fldChar w:fldCharType="end"/>
      </w:r>
    </w:p>
    <w:p w14:paraId="5BAB6EE5">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"_Toc193912369" </w:instrText>
      </w:r>
      <w:r>
        <w:fldChar w:fldCharType="separate"/>
      </w:r>
      <w:r>
        <w:rPr>
          <w:rStyle w:val="61"/>
          <w:rFonts w:ascii="Times New Roman" w:eastAsia="宋体" w:cs="Times New Roman"/>
        </w:rPr>
        <w:t>3.5 占地与拆迁情况</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_Toc193912369 \h </w:instrText>
      </w:r>
      <w:r>
        <w:rPr>
          <w:rFonts w:ascii="Times New Roman" w:eastAsia="宋体" w:cs="Times New Roman"/>
        </w:rPr>
        <w:fldChar w:fldCharType="separate"/>
      </w:r>
      <w:r>
        <w:rPr>
          <w:rFonts w:ascii="Times New Roman" w:eastAsia="宋体" w:cs="Times New Roman"/>
        </w:rPr>
        <w:t>50</w:t>
      </w:r>
      <w:r>
        <w:rPr>
          <w:rFonts w:ascii="Times New Roman" w:eastAsia="宋体" w:cs="Times New Roman"/>
        </w:rPr>
        <w:fldChar w:fldCharType="end"/>
      </w:r>
      <w:r>
        <w:rPr>
          <w:rFonts w:ascii="Times New Roman" w:eastAsia="宋体" w:cs="Times New Roman"/>
        </w:rPr>
        <w:fldChar w:fldCharType="end"/>
      </w:r>
    </w:p>
    <w:p w14:paraId="06D50A06">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"_Toc193912370" </w:instrText>
      </w:r>
      <w:r>
        <w:fldChar w:fldCharType="separate"/>
      </w:r>
      <w:r>
        <w:rPr>
          <w:rStyle w:val="61"/>
          <w:rFonts w:ascii="Times New Roman" w:eastAsia="宋体" w:cs="Times New Roman"/>
        </w:rPr>
        <w:t>3.6 工程土石方平衡</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_Toc193912370 \h </w:instrText>
      </w:r>
      <w:r>
        <w:rPr>
          <w:rFonts w:ascii="Times New Roman" w:eastAsia="宋体" w:cs="Times New Roman"/>
        </w:rPr>
        <w:fldChar w:fldCharType="separate"/>
      </w:r>
      <w:r>
        <w:rPr>
          <w:rFonts w:ascii="Times New Roman" w:eastAsia="宋体" w:cs="Times New Roman"/>
        </w:rPr>
        <w:t>51</w:t>
      </w:r>
      <w:r>
        <w:rPr>
          <w:rFonts w:ascii="Times New Roman" w:eastAsia="宋体" w:cs="Times New Roman"/>
        </w:rPr>
        <w:fldChar w:fldCharType="end"/>
      </w:r>
      <w:r>
        <w:rPr>
          <w:rFonts w:ascii="Times New Roman" w:eastAsia="宋体" w:cs="Times New Roman"/>
        </w:rPr>
        <w:fldChar w:fldCharType="end"/>
      </w:r>
    </w:p>
    <w:p w14:paraId="303F3DB6">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"_Toc193912371" </w:instrText>
      </w:r>
      <w:r>
        <w:fldChar w:fldCharType="separate"/>
      </w:r>
      <w:r>
        <w:rPr>
          <w:rStyle w:val="61"/>
          <w:rFonts w:ascii="Times New Roman" w:eastAsia="宋体" w:cs="Times New Roman"/>
        </w:rPr>
        <w:t>3.7 施工组织概述</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_Toc193912371 \h </w:instrText>
      </w:r>
      <w:r>
        <w:rPr>
          <w:rFonts w:ascii="Times New Roman" w:eastAsia="宋体" w:cs="Times New Roman"/>
        </w:rPr>
        <w:fldChar w:fldCharType="separate"/>
      </w:r>
      <w:r>
        <w:rPr>
          <w:rFonts w:ascii="Times New Roman" w:eastAsia="宋体" w:cs="Times New Roman"/>
        </w:rPr>
        <w:t>56</w:t>
      </w:r>
      <w:r>
        <w:rPr>
          <w:rFonts w:ascii="Times New Roman" w:eastAsia="宋体" w:cs="Times New Roman"/>
        </w:rPr>
        <w:fldChar w:fldCharType="end"/>
      </w:r>
      <w:r>
        <w:rPr>
          <w:rFonts w:ascii="Times New Roman" w:eastAsia="宋体" w:cs="Times New Roman"/>
        </w:rPr>
        <w:fldChar w:fldCharType="end"/>
      </w:r>
    </w:p>
    <w:p w14:paraId="07ECE3AB">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"_Toc193912372" </w:instrText>
      </w:r>
      <w:r>
        <w:fldChar w:fldCharType="separate"/>
      </w:r>
      <w:r>
        <w:rPr>
          <w:rStyle w:val="61"/>
          <w:rFonts w:ascii="Times New Roman" w:eastAsia="宋体" w:cs="Times New Roman"/>
        </w:rPr>
        <w:t>3.8 交通量设计</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_Toc193912372 \h </w:instrText>
      </w:r>
      <w:r>
        <w:rPr>
          <w:rFonts w:ascii="Times New Roman" w:eastAsia="宋体" w:cs="Times New Roman"/>
        </w:rPr>
        <w:fldChar w:fldCharType="separate"/>
      </w:r>
      <w:r>
        <w:rPr>
          <w:rFonts w:ascii="Times New Roman" w:eastAsia="宋体" w:cs="Times New Roman"/>
        </w:rPr>
        <w:t>69</w:t>
      </w:r>
      <w:r>
        <w:rPr>
          <w:rFonts w:ascii="Times New Roman" w:eastAsia="宋体" w:cs="Times New Roman"/>
        </w:rPr>
        <w:fldChar w:fldCharType="end"/>
      </w:r>
      <w:r>
        <w:rPr>
          <w:rFonts w:ascii="Times New Roman" w:eastAsia="宋体" w:cs="Times New Roman"/>
        </w:rPr>
        <w:fldChar w:fldCharType="end"/>
      </w:r>
    </w:p>
    <w:p w14:paraId="13EDFA48">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"_Toc193912373" </w:instrText>
      </w:r>
      <w:r>
        <w:fldChar w:fldCharType="separate"/>
      </w:r>
      <w:r>
        <w:rPr>
          <w:rStyle w:val="61"/>
          <w:rFonts w:ascii="Times New Roman" w:eastAsia="宋体" w:cs="Times New Roman"/>
        </w:rPr>
        <w:t>3.9 工程环境影响及污染源强分析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_Toc193912373 \h </w:instrText>
      </w:r>
      <w:r>
        <w:rPr>
          <w:rFonts w:ascii="Times New Roman" w:eastAsia="宋体" w:cs="Times New Roman"/>
        </w:rPr>
        <w:fldChar w:fldCharType="separate"/>
      </w:r>
      <w:r>
        <w:rPr>
          <w:rFonts w:ascii="Times New Roman" w:eastAsia="宋体" w:cs="Times New Roman"/>
        </w:rPr>
        <w:t>70</w:t>
      </w:r>
      <w:r>
        <w:rPr>
          <w:rFonts w:ascii="Times New Roman" w:eastAsia="宋体" w:cs="Times New Roman"/>
        </w:rPr>
        <w:fldChar w:fldCharType="end"/>
      </w:r>
      <w:r>
        <w:rPr>
          <w:rFonts w:ascii="Times New Roman" w:eastAsia="宋体" w:cs="Times New Roman"/>
        </w:rPr>
        <w:fldChar w:fldCharType="end"/>
      </w:r>
    </w:p>
    <w:p w14:paraId="3D9A5C00">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"_Toc193912374" </w:instrText>
      </w:r>
      <w:r>
        <w:fldChar w:fldCharType="separate"/>
      </w:r>
      <w:r>
        <w:rPr>
          <w:rStyle w:val="61"/>
          <w:rFonts w:ascii="Times New Roman" w:eastAsia="宋体" w:cs="Times New Roman"/>
        </w:rPr>
        <w:t>3.10 环境可行性分析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_Toc193912374 \h </w:instrText>
      </w:r>
      <w:r>
        <w:rPr>
          <w:rFonts w:ascii="Times New Roman" w:eastAsia="宋体" w:cs="Times New Roman"/>
        </w:rPr>
        <w:fldChar w:fldCharType="separate"/>
      </w:r>
      <w:r>
        <w:rPr>
          <w:rFonts w:ascii="Times New Roman" w:eastAsia="宋体" w:cs="Times New Roman"/>
        </w:rPr>
        <w:t>80</w:t>
      </w:r>
      <w:r>
        <w:rPr>
          <w:rFonts w:ascii="Times New Roman" w:eastAsia="宋体" w:cs="Times New Roman"/>
        </w:rPr>
        <w:fldChar w:fldCharType="end"/>
      </w:r>
      <w:r>
        <w:rPr>
          <w:rFonts w:ascii="Times New Roman" w:eastAsia="宋体" w:cs="Times New Roman"/>
        </w:rPr>
        <w:fldChar w:fldCharType="end"/>
      </w:r>
    </w:p>
    <w:p w14:paraId="0F119E61">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"_Toc193912375" </w:instrText>
      </w:r>
      <w:r>
        <w:fldChar w:fldCharType="separate"/>
      </w:r>
      <w:r>
        <w:rPr>
          <w:rStyle w:val="61"/>
          <w:rFonts w:ascii="Times New Roman" w:eastAsia="宋体" w:cs="Times New Roman"/>
          <w14:scene3d>
            <w14:lightRig w14:rig="threePt" w14:dir="t">
              <w14:rot w14:lat="0" w14:lon="0" w14:rev="0"/>
            </w14:lightRig>
          </w14:scene3d>
        </w:rPr>
        <w:t>第四章</w:t>
      </w:r>
      <w:r>
        <w:rPr>
          <w:rStyle w:val="61"/>
          <w:rFonts w:ascii="Times New Roman" w:eastAsia="宋体" w:cs="Times New Roman"/>
        </w:rPr>
        <w:t xml:space="preserve"> 环境现状调查与评价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_Toc193912375 \h </w:instrText>
      </w:r>
      <w:r>
        <w:rPr>
          <w:rFonts w:ascii="Times New Roman" w:eastAsia="宋体" w:cs="Times New Roman"/>
        </w:rPr>
        <w:fldChar w:fldCharType="separate"/>
      </w:r>
      <w:r>
        <w:rPr>
          <w:rFonts w:ascii="Times New Roman" w:eastAsia="宋体" w:cs="Times New Roman"/>
        </w:rPr>
        <w:t>92</w:t>
      </w:r>
      <w:r>
        <w:rPr>
          <w:rFonts w:ascii="Times New Roman" w:eastAsia="宋体" w:cs="Times New Roman"/>
        </w:rPr>
        <w:fldChar w:fldCharType="end"/>
      </w:r>
      <w:r>
        <w:rPr>
          <w:rFonts w:ascii="Times New Roman" w:eastAsia="宋体" w:cs="Times New Roman"/>
        </w:rPr>
        <w:fldChar w:fldCharType="end"/>
      </w:r>
    </w:p>
    <w:p w14:paraId="1FF96CB5">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"_Toc193912376" </w:instrText>
      </w:r>
      <w:r>
        <w:fldChar w:fldCharType="separate"/>
      </w:r>
      <w:r>
        <w:rPr>
          <w:rStyle w:val="61"/>
          <w:rFonts w:ascii="Times New Roman" w:eastAsia="宋体" w:cs="Times New Roman"/>
        </w:rPr>
        <w:t>4.1 自然环境现状调查</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_Toc193912376 \h </w:instrText>
      </w:r>
      <w:r>
        <w:rPr>
          <w:rFonts w:ascii="Times New Roman" w:eastAsia="宋体" w:cs="Times New Roman"/>
        </w:rPr>
        <w:fldChar w:fldCharType="separate"/>
      </w:r>
      <w:r>
        <w:rPr>
          <w:rFonts w:ascii="Times New Roman" w:eastAsia="宋体" w:cs="Times New Roman"/>
        </w:rPr>
        <w:t>92</w:t>
      </w:r>
      <w:r>
        <w:rPr>
          <w:rFonts w:ascii="Times New Roman" w:eastAsia="宋体" w:cs="Times New Roman"/>
        </w:rPr>
        <w:fldChar w:fldCharType="end"/>
      </w:r>
      <w:r>
        <w:rPr>
          <w:rFonts w:ascii="Times New Roman" w:eastAsia="宋体" w:cs="Times New Roman"/>
        </w:rPr>
        <w:fldChar w:fldCharType="end"/>
      </w:r>
    </w:p>
    <w:p w14:paraId="0E5202BB">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"_Toc193912377" </w:instrText>
      </w:r>
      <w:r>
        <w:fldChar w:fldCharType="separate"/>
      </w:r>
      <w:r>
        <w:rPr>
          <w:rStyle w:val="61"/>
          <w:rFonts w:ascii="Times New Roman" w:eastAsia="宋体" w:cs="Times New Roman"/>
        </w:rPr>
        <w:t>4.2 环境质量现状调查与评价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_Toc193912377 \h </w:instrText>
      </w:r>
      <w:r>
        <w:rPr>
          <w:rFonts w:ascii="Times New Roman" w:eastAsia="宋体" w:cs="Times New Roman"/>
        </w:rPr>
        <w:fldChar w:fldCharType="separate"/>
      </w:r>
      <w:r>
        <w:rPr>
          <w:rFonts w:ascii="Times New Roman" w:eastAsia="宋体" w:cs="Times New Roman"/>
        </w:rPr>
        <w:t>97</w:t>
      </w:r>
      <w:r>
        <w:rPr>
          <w:rFonts w:ascii="Times New Roman" w:eastAsia="宋体" w:cs="Times New Roman"/>
        </w:rPr>
        <w:fldChar w:fldCharType="end"/>
      </w:r>
      <w:r>
        <w:rPr>
          <w:rFonts w:ascii="Times New Roman" w:eastAsia="宋体" w:cs="Times New Roman"/>
        </w:rPr>
        <w:fldChar w:fldCharType="end"/>
      </w:r>
    </w:p>
    <w:p w14:paraId="55B417C3">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"_Toc193912378" </w:instrText>
      </w:r>
      <w:r>
        <w:fldChar w:fldCharType="separate"/>
      </w:r>
      <w:r>
        <w:rPr>
          <w:rStyle w:val="61"/>
          <w:rFonts w:ascii="Times New Roman" w:eastAsia="宋体" w:cs="Times New Roman"/>
        </w:rPr>
        <w:t>4.3 生态环境现状调查与评价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_Toc193912378 \h </w:instrText>
      </w:r>
      <w:r>
        <w:rPr>
          <w:rFonts w:ascii="Times New Roman" w:eastAsia="宋体" w:cs="Times New Roman"/>
        </w:rPr>
        <w:fldChar w:fldCharType="separate"/>
      </w:r>
      <w:r>
        <w:rPr>
          <w:rFonts w:ascii="Times New Roman" w:eastAsia="宋体" w:cs="Times New Roman"/>
        </w:rPr>
        <w:t>105</w:t>
      </w:r>
      <w:r>
        <w:rPr>
          <w:rFonts w:ascii="Times New Roman" w:eastAsia="宋体" w:cs="Times New Roman"/>
        </w:rPr>
        <w:fldChar w:fldCharType="end"/>
      </w:r>
      <w:r>
        <w:rPr>
          <w:rFonts w:ascii="Times New Roman" w:eastAsia="宋体" w:cs="Times New Roman"/>
        </w:rPr>
        <w:fldChar w:fldCharType="end"/>
      </w:r>
    </w:p>
    <w:p w14:paraId="3776B64E">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"_Toc193912379" </w:instrText>
      </w:r>
      <w:r>
        <w:fldChar w:fldCharType="separate"/>
      </w:r>
      <w:r>
        <w:rPr>
          <w:rStyle w:val="61"/>
          <w:rFonts w:ascii="Times New Roman" w:eastAsia="宋体" w:cs="Times New Roman"/>
          <w14:scene3d>
            <w14:lightRig w14:rig="threePt" w14:dir="t">
              <w14:rot w14:lat="0" w14:lon="0" w14:rev="0"/>
            </w14:lightRig>
          </w14:scene3d>
        </w:rPr>
        <w:t>第五章</w:t>
      </w:r>
      <w:r>
        <w:rPr>
          <w:rStyle w:val="61"/>
          <w:rFonts w:ascii="Times New Roman" w:eastAsia="宋体" w:cs="Times New Roman"/>
        </w:rPr>
        <w:t xml:space="preserve"> 环境影响预测与评价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_Toc193912379 \h </w:instrText>
      </w:r>
      <w:r>
        <w:rPr>
          <w:rFonts w:ascii="Times New Roman" w:eastAsia="宋体" w:cs="Times New Roman"/>
        </w:rPr>
        <w:fldChar w:fldCharType="separate"/>
      </w:r>
      <w:r>
        <w:rPr>
          <w:rFonts w:ascii="Times New Roman" w:eastAsia="宋体" w:cs="Times New Roman"/>
        </w:rPr>
        <w:t>116</w:t>
      </w:r>
      <w:r>
        <w:rPr>
          <w:rFonts w:ascii="Times New Roman" w:eastAsia="宋体" w:cs="Times New Roman"/>
        </w:rPr>
        <w:fldChar w:fldCharType="end"/>
      </w:r>
      <w:r>
        <w:rPr>
          <w:rFonts w:ascii="Times New Roman" w:eastAsia="宋体" w:cs="Times New Roman"/>
        </w:rPr>
        <w:fldChar w:fldCharType="end"/>
      </w:r>
    </w:p>
    <w:p w14:paraId="27CC7B3A">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"_Toc193912380" </w:instrText>
      </w:r>
      <w:r>
        <w:fldChar w:fldCharType="separate"/>
      </w:r>
      <w:r>
        <w:rPr>
          <w:rStyle w:val="61"/>
          <w:rFonts w:ascii="Times New Roman" w:eastAsia="宋体" w:cs="Times New Roman"/>
        </w:rPr>
        <w:t>5.1 生态影响评价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_Toc193912380 \h </w:instrText>
      </w:r>
      <w:r>
        <w:rPr>
          <w:rFonts w:ascii="Times New Roman" w:eastAsia="宋体" w:cs="Times New Roman"/>
        </w:rPr>
        <w:fldChar w:fldCharType="separate"/>
      </w:r>
      <w:r>
        <w:rPr>
          <w:rFonts w:ascii="Times New Roman" w:eastAsia="宋体" w:cs="Times New Roman"/>
        </w:rPr>
        <w:t>116</w:t>
      </w:r>
      <w:r>
        <w:rPr>
          <w:rFonts w:ascii="Times New Roman" w:eastAsia="宋体" w:cs="Times New Roman"/>
        </w:rPr>
        <w:fldChar w:fldCharType="end"/>
      </w:r>
      <w:r>
        <w:rPr>
          <w:rFonts w:ascii="Times New Roman" w:eastAsia="宋体" w:cs="Times New Roman"/>
        </w:rPr>
        <w:fldChar w:fldCharType="end"/>
      </w:r>
    </w:p>
    <w:p w14:paraId="5ABDF3AD">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"_Toc193912381" </w:instrText>
      </w:r>
      <w:r>
        <w:fldChar w:fldCharType="separate"/>
      </w:r>
      <w:r>
        <w:rPr>
          <w:rStyle w:val="61"/>
          <w:rFonts w:ascii="Times New Roman" w:eastAsia="宋体" w:cs="Times New Roman"/>
        </w:rPr>
        <w:t>5.2 地表水环境影响评价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_Toc193912381 \h </w:instrText>
      </w:r>
      <w:r>
        <w:rPr>
          <w:rFonts w:ascii="Times New Roman" w:eastAsia="宋体" w:cs="Times New Roman"/>
        </w:rPr>
        <w:fldChar w:fldCharType="separate"/>
      </w:r>
      <w:r>
        <w:rPr>
          <w:rFonts w:ascii="Times New Roman" w:eastAsia="宋体" w:cs="Times New Roman"/>
        </w:rPr>
        <w:t>129</w:t>
      </w:r>
      <w:r>
        <w:rPr>
          <w:rFonts w:ascii="Times New Roman" w:eastAsia="宋体" w:cs="Times New Roman"/>
        </w:rPr>
        <w:fldChar w:fldCharType="end"/>
      </w:r>
      <w:r>
        <w:rPr>
          <w:rFonts w:ascii="Times New Roman" w:eastAsia="宋体" w:cs="Times New Roman"/>
        </w:rPr>
        <w:fldChar w:fldCharType="end"/>
      </w:r>
    </w:p>
    <w:p w14:paraId="700D4BA9">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"_Toc193912382" </w:instrText>
      </w:r>
      <w:r>
        <w:fldChar w:fldCharType="separate"/>
      </w:r>
      <w:r>
        <w:rPr>
          <w:rStyle w:val="61"/>
          <w:rFonts w:ascii="Times New Roman" w:eastAsia="宋体" w:cs="Times New Roman"/>
        </w:rPr>
        <w:t>5.3 大气环境影响评价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_Toc193912382 \h </w:instrText>
      </w:r>
      <w:r>
        <w:rPr>
          <w:rFonts w:ascii="Times New Roman" w:eastAsia="宋体" w:cs="Times New Roman"/>
        </w:rPr>
        <w:fldChar w:fldCharType="separate"/>
      </w:r>
      <w:r>
        <w:rPr>
          <w:rFonts w:ascii="Times New Roman" w:eastAsia="宋体" w:cs="Times New Roman"/>
        </w:rPr>
        <w:t>133</w:t>
      </w:r>
      <w:r>
        <w:rPr>
          <w:rFonts w:ascii="Times New Roman" w:eastAsia="宋体" w:cs="Times New Roman"/>
        </w:rPr>
        <w:fldChar w:fldCharType="end"/>
      </w:r>
      <w:r>
        <w:rPr>
          <w:rFonts w:ascii="Times New Roman" w:eastAsia="宋体" w:cs="Times New Roman"/>
        </w:rPr>
        <w:fldChar w:fldCharType="end"/>
      </w:r>
    </w:p>
    <w:p w14:paraId="6D800E0B">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"_Toc193912383" </w:instrText>
      </w:r>
      <w:r>
        <w:fldChar w:fldCharType="separate"/>
      </w:r>
      <w:r>
        <w:rPr>
          <w:rStyle w:val="61"/>
          <w:rFonts w:ascii="Times New Roman" w:eastAsia="宋体" w:cs="Times New Roman"/>
        </w:rPr>
        <w:t>5.4 声环境影响评价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_Toc193912383 \h </w:instrText>
      </w:r>
      <w:r>
        <w:rPr>
          <w:rFonts w:ascii="Times New Roman" w:eastAsia="宋体" w:cs="Times New Roman"/>
        </w:rPr>
        <w:fldChar w:fldCharType="separate"/>
      </w:r>
      <w:r>
        <w:rPr>
          <w:rFonts w:ascii="Times New Roman" w:eastAsia="宋体" w:cs="Times New Roman"/>
        </w:rPr>
        <w:t>136</w:t>
      </w:r>
      <w:r>
        <w:rPr>
          <w:rFonts w:ascii="Times New Roman" w:eastAsia="宋体" w:cs="Times New Roman"/>
        </w:rPr>
        <w:fldChar w:fldCharType="end"/>
      </w:r>
      <w:r>
        <w:rPr>
          <w:rFonts w:ascii="Times New Roman" w:eastAsia="宋体" w:cs="Times New Roman"/>
        </w:rPr>
        <w:fldChar w:fldCharType="end"/>
      </w:r>
    </w:p>
    <w:p w14:paraId="6834E6F1">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"_Toc193912384" </w:instrText>
      </w:r>
      <w:r>
        <w:fldChar w:fldCharType="separate"/>
      </w:r>
      <w:r>
        <w:rPr>
          <w:rStyle w:val="61"/>
          <w:rFonts w:ascii="Times New Roman" w:eastAsia="宋体" w:cs="Times New Roman"/>
        </w:rPr>
        <w:t>5.5 固体废物环境影响分析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_Toc193912384 \h </w:instrText>
      </w:r>
      <w:r>
        <w:rPr>
          <w:rFonts w:ascii="Times New Roman" w:eastAsia="宋体" w:cs="Times New Roman"/>
        </w:rPr>
        <w:fldChar w:fldCharType="separate"/>
      </w:r>
      <w:r>
        <w:rPr>
          <w:rFonts w:ascii="Times New Roman" w:eastAsia="宋体" w:cs="Times New Roman"/>
        </w:rPr>
        <w:t>152</w:t>
      </w:r>
      <w:r>
        <w:rPr>
          <w:rFonts w:ascii="Times New Roman" w:eastAsia="宋体" w:cs="Times New Roman"/>
        </w:rPr>
        <w:fldChar w:fldCharType="end"/>
      </w:r>
      <w:r>
        <w:rPr>
          <w:rFonts w:ascii="Times New Roman" w:eastAsia="宋体" w:cs="Times New Roman"/>
        </w:rPr>
        <w:fldChar w:fldCharType="end"/>
      </w:r>
    </w:p>
    <w:p w14:paraId="4DCEB944">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"_Toc193912385" </w:instrText>
      </w:r>
      <w:r>
        <w:fldChar w:fldCharType="separate"/>
      </w:r>
      <w:r>
        <w:rPr>
          <w:rStyle w:val="61"/>
          <w:rFonts w:ascii="Times New Roman" w:eastAsia="宋体" w:cs="Times New Roman"/>
          <w14:scene3d>
            <w14:lightRig w14:rig="threePt" w14:dir="t">
              <w14:rot w14:lat="0" w14:lon="0" w14:rev="0"/>
            </w14:lightRig>
          </w14:scene3d>
        </w:rPr>
        <w:t>第六章</w:t>
      </w:r>
      <w:r>
        <w:rPr>
          <w:rStyle w:val="61"/>
          <w:rFonts w:ascii="Times New Roman" w:eastAsia="宋体" w:cs="Times New Roman"/>
        </w:rPr>
        <w:t xml:space="preserve"> 环境风险评价</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_Toc193912385 \h </w:instrText>
      </w:r>
      <w:r>
        <w:rPr>
          <w:rFonts w:ascii="Times New Roman" w:eastAsia="宋体" w:cs="Times New Roman"/>
        </w:rPr>
        <w:fldChar w:fldCharType="separate"/>
      </w:r>
      <w:r>
        <w:rPr>
          <w:rFonts w:ascii="Times New Roman" w:eastAsia="宋体" w:cs="Times New Roman"/>
        </w:rPr>
        <w:t>154</w:t>
      </w:r>
      <w:r>
        <w:rPr>
          <w:rFonts w:ascii="Times New Roman" w:eastAsia="宋体" w:cs="Times New Roman"/>
        </w:rPr>
        <w:fldChar w:fldCharType="end"/>
      </w:r>
      <w:r>
        <w:rPr>
          <w:rFonts w:ascii="Times New Roman" w:eastAsia="宋体" w:cs="Times New Roman"/>
        </w:rPr>
        <w:fldChar w:fldCharType="end"/>
      </w:r>
    </w:p>
    <w:p w14:paraId="3A61C4CC">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"_Toc193912386" </w:instrText>
      </w:r>
      <w:r>
        <w:fldChar w:fldCharType="separate"/>
      </w:r>
      <w:r>
        <w:rPr>
          <w:rStyle w:val="61"/>
          <w:rFonts w:ascii="Times New Roman" w:eastAsia="宋体" w:cs="Times New Roman"/>
        </w:rPr>
        <w:t>6.1 环境风险识别</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_Toc193912386 \h </w:instrText>
      </w:r>
      <w:r>
        <w:rPr>
          <w:rFonts w:ascii="Times New Roman" w:eastAsia="宋体" w:cs="Times New Roman"/>
        </w:rPr>
        <w:fldChar w:fldCharType="separate"/>
      </w:r>
      <w:r>
        <w:rPr>
          <w:rFonts w:ascii="Times New Roman" w:eastAsia="宋体" w:cs="Times New Roman"/>
        </w:rPr>
        <w:t>154</w:t>
      </w:r>
      <w:r>
        <w:rPr>
          <w:rFonts w:ascii="Times New Roman" w:eastAsia="宋体" w:cs="Times New Roman"/>
        </w:rPr>
        <w:fldChar w:fldCharType="end"/>
      </w:r>
      <w:r>
        <w:rPr>
          <w:rFonts w:ascii="Times New Roman" w:eastAsia="宋体" w:cs="Times New Roman"/>
        </w:rPr>
        <w:fldChar w:fldCharType="end"/>
      </w:r>
    </w:p>
    <w:p w14:paraId="007E0C2F">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"_Toc193912387" </w:instrText>
      </w:r>
      <w:r>
        <w:fldChar w:fldCharType="separate"/>
      </w:r>
      <w:r>
        <w:rPr>
          <w:rStyle w:val="61"/>
          <w:rFonts w:ascii="Times New Roman" w:eastAsia="宋体" w:cs="Times New Roman"/>
        </w:rPr>
        <w:t>6.2 风险潜势分析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_Toc193912387 \h </w:instrText>
      </w:r>
      <w:r>
        <w:rPr>
          <w:rFonts w:ascii="Times New Roman" w:eastAsia="宋体" w:cs="Times New Roman"/>
        </w:rPr>
        <w:fldChar w:fldCharType="separate"/>
      </w:r>
      <w:r>
        <w:rPr>
          <w:rFonts w:ascii="Times New Roman" w:eastAsia="宋体" w:cs="Times New Roman"/>
        </w:rPr>
        <w:t>155</w:t>
      </w:r>
      <w:r>
        <w:rPr>
          <w:rFonts w:ascii="Times New Roman" w:eastAsia="宋体" w:cs="Times New Roman"/>
        </w:rPr>
        <w:fldChar w:fldCharType="end"/>
      </w:r>
      <w:r>
        <w:rPr>
          <w:rFonts w:ascii="Times New Roman" w:eastAsia="宋体" w:cs="Times New Roman"/>
        </w:rPr>
        <w:fldChar w:fldCharType="end"/>
      </w:r>
    </w:p>
    <w:p w14:paraId="10A9034F">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"_Toc193912388" </w:instrText>
      </w:r>
      <w:r>
        <w:fldChar w:fldCharType="separate"/>
      </w:r>
      <w:r>
        <w:rPr>
          <w:rStyle w:val="61"/>
          <w:rFonts w:ascii="Times New Roman" w:eastAsia="宋体" w:cs="Times New Roman"/>
        </w:rPr>
        <w:t>6.3 环境风险源项分析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_Toc193912388 \h </w:instrText>
      </w:r>
      <w:r>
        <w:rPr>
          <w:rFonts w:ascii="Times New Roman" w:eastAsia="宋体" w:cs="Times New Roman"/>
        </w:rPr>
        <w:fldChar w:fldCharType="separate"/>
      </w:r>
      <w:r>
        <w:rPr>
          <w:rFonts w:ascii="Times New Roman" w:eastAsia="宋体" w:cs="Times New Roman"/>
        </w:rPr>
        <w:t>155</w:t>
      </w:r>
      <w:r>
        <w:rPr>
          <w:rFonts w:ascii="Times New Roman" w:eastAsia="宋体" w:cs="Times New Roman"/>
        </w:rPr>
        <w:fldChar w:fldCharType="end"/>
      </w:r>
      <w:r>
        <w:rPr>
          <w:rFonts w:ascii="Times New Roman" w:eastAsia="宋体" w:cs="Times New Roman"/>
        </w:rPr>
        <w:fldChar w:fldCharType="end"/>
      </w:r>
    </w:p>
    <w:p w14:paraId="4BAC5C65">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"_Toc193912389" </w:instrText>
      </w:r>
      <w:r>
        <w:fldChar w:fldCharType="separate"/>
      </w:r>
      <w:r>
        <w:rPr>
          <w:rStyle w:val="61"/>
          <w:rFonts w:ascii="Times New Roman" w:eastAsia="宋体" w:cs="Times New Roman"/>
        </w:rPr>
        <w:t>6.4 环境风险防范措施及应急要求</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_Toc193912389 \h </w:instrText>
      </w:r>
      <w:r>
        <w:rPr>
          <w:rFonts w:ascii="Times New Roman" w:eastAsia="宋体" w:cs="Times New Roman"/>
        </w:rPr>
        <w:fldChar w:fldCharType="separate"/>
      </w:r>
      <w:r>
        <w:rPr>
          <w:rFonts w:ascii="Times New Roman" w:eastAsia="宋体" w:cs="Times New Roman"/>
        </w:rPr>
        <w:t>157</w:t>
      </w:r>
      <w:r>
        <w:rPr>
          <w:rFonts w:ascii="Times New Roman" w:eastAsia="宋体" w:cs="Times New Roman"/>
        </w:rPr>
        <w:fldChar w:fldCharType="end"/>
      </w:r>
      <w:r>
        <w:rPr>
          <w:rFonts w:ascii="Times New Roman" w:eastAsia="宋体" w:cs="Times New Roman"/>
        </w:rPr>
        <w:fldChar w:fldCharType="end"/>
      </w:r>
    </w:p>
    <w:p w14:paraId="0C2AE237">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"_Toc193912390" </w:instrText>
      </w:r>
      <w:r>
        <w:fldChar w:fldCharType="separate"/>
      </w:r>
      <w:r>
        <w:rPr>
          <w:rStyle w:val="61"/>
          <w:rFonts w:ascii="Times New Roman" w:eastAsia="宋体" w:cs="Times New Roman"/>
        </w:rPr>
        <w:t>6.5 小结</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_Toc193912390 \h </w:instrText>
      </w:r>
      <w:r>
        <w:rPr>
          <w:rFonts w:ascii="Times New Roman" w:eastAsia="宋体" w:cs="Times New Roman"/>
        </w:rPr>
        <w:fldChar w:fldCharType="separate"/>
      </w:r>
      <w:r>
        <w:rPr>
          <w:rFonts w:ascii="Times New Roman" w:eastAsia="宋体" w:cs="Times New Roman"/>
        </w:rPr>
        <w:t>159</w:t>
      </w:r>
      <w:r>
        <w:rPr>
          <w:rFonts w:ascii="Times New Roman" w:eastAsia="宋体" w:cs="Times New Roman"/>
        </w:rPr>
        <w:fldChar w:fldCharType="end"/>
      </w:r>
      <w:r>
        <w:rPr>
          <w:rFonts w:ascii="Times New Roman" w:eastAsia="宋体" w:cs="Times New Roman"/>
        </w:rPr>
        <w:fldChar w:fldCharType="end"/>
      </w:r>
    </w:p>
    <w:p w14:paraId="335866D3">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"_Toc193912391" </w:instrText>
      </w:r>
      <w:r>
        <w:fldChar w:fldCharType="separate"/>
      </w:r>
      <w:r>
        <w:rPr>
          <w:rStyle w:val="61"/>
          <w:rFonts w:ascii="Times New Roman" w:eastAsia="宋体" w:cs="Times New Roman"/>
          <w14:scene3d>
            <w14:lightRig w14:rig="threePt" w14:dir="t">
              <w14:rot w14:lat="0" w14:lon="0" w14:rev="0"/>
            </w14:lightRig>
          </w14:scene3d>
        </w:rPr>
        <w:t>第七章</w:t>
      </w:r>
      <w:r>
        <w:rPr>
          <w:rStyle w:val="61"/>
          <w:rFonts w:ascii="Times New Roman" w:eastAsia="宋体" w:cs="Times New Roman"/>
        </w:rPr>
        <w:t xml:space="preserve"> 环境保护措施及其可行性论证</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_Toc193912391 \h </w:instrText>
      </w:r>
      <w:r>
        <w:rPr>
          <w:rFonts w:ascii="Times New Roman" w:eastAsia="宋体" w:cs="Times New Roman"/>
        </w:rPr>
        <w:fldChar w:fldCharType="separate"/>
      </w:r>
      <w:r>
        <w:rPr>
          <w:rFonts w:ascii="Times New Roman" w:eastAsia="宋体" w:cs="Times New Roman"/>
        </w:rPr>
        <w:t>160</w:t>
      </w:r>
      <w:r>
        <w:rPr>
          <w:rFonts w:ascii="Times New Roman" w:eastAsia="宋体" w:cs="Times New Roman"/>
        </w:rPr>
        <w:fldChar w:fldCharType="end"/>
      </w:r>
      <w:r>
        <w:rPr>
          <w:rFonts w:ascii="Times New Roman" w:eastAsia="宋体" w:cs="Times New Roman"/>
        </w:rPr>
        <w:fldChar w:fldCharType="end"/>
      </w:r>
    </w:p>
    <w:p w14:paraId="07476776">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"_Toc193912392" </w:instrText>
      </w:r>
      <w:r>
        <w:fldChar w:fldCharType="separate"/>
      </w:r>
      <w:r>
        <w:rPr>
          <w:rStyle w:val="61"/>
          <w:rFonts w:ascii="Times New Roman" w:eastAsia="宋体" w:cs="Times New Roman"/>
        </w:rPr>
        <w:t>7.1 生态环境影响减缓措施</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_Toc193912392 \h </w:instrText>
      </w:r>
      <w:r>
        <w:rPr>
          <w:rFonts w:ascii="Times New Roman" w:eastAsia="宋体" w:cs="Times New Roman"/>
        </w:rPr>
        <w:fldChar w:fldCharType="separate"/>
      </w:r>
      <w:r>
        <w:rPr>
          <w:rFonts w:ascii="Times New Roman" w:eastAsia="宋体" w:cs="Times New Roman"/>
        </w:rPr>
        <w:t>160</w:t>
      </w:r>
      <w:r>
        <w:rPr>
          <w:rFonts w:ascii="Times New Roman" w:eastAsia="宋体" w:cs="Times New Roman"/>
        </w:rPr>
        <w:fldChar w:fldCharType="end"/>
      </w:r>
      <w:r>
        <w:rPr>
          <w:rFonts w:ascii="Times New Roman" w:eastAsia="宋体" w:cs="Times New Roman"/>
        </w:rPr>
        <w:fldChar w:fldCharType="end"/>
      </w:r>
    </w:p>
    <w:p w14:paraId="16DE9320">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"_Toc193912393" </w:instrText>
      </w:r>
      <w:r>
        <w:fldChar w:fldCharType="separate"/>
      </w:r>
      <w:r>
        <w:rPr>
          <w:rStyle w:val="61"/>
          <w:rFonts w:ascii="Times New Roman" w:eastAsia="宋体" w:cs="Times New Roman"/>
        </w:rPr>
        <w:t>7.2 水污染防治措施</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_Toc193912393 \h </w:instrText>
      </w:r>
      <w:r>
        <w:rPr>
          <w:rFonts w:ascii="Times New Roman" w:eastAsia="宋体" w:cs="Times New Roman"/>
        </w:rPr>
        <w:fldChar w:fldCharType="separate"/>
      </w:r>
      <w:r>
        <w:rPr>
          <w:rFonts w:ascii="Times New Roman" w:eastAsia="宋体" w:cs="Times New Roman"/>
        </w:rPr>
        <w:t>168</w:t>
      </w:r>
      <w:r>
        <w:rPr>
          <w:rFonts w:ascii="Times New Roman" w:eastAsia="宋体" w:cs="Times New Roman"/>
        </w:rPr>
        <w:fldChar w:fldCharType="end"/>
      </w:r>
      <w:r>
        <w:rPr>
          <w:rFonts w:ascii="Times New Roman" w:eastAsia="宋体" w:cs="Times New Roman"/>
        </w:rPr>
        <w:fldChar w:fldCharType="end"/>
      </w:r>
    </w:p>
    <w:p w14:paraId="674809CB">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"_Toc193912394" </w:instrText>
      </w:r>
      <w:r>
        <w:fldChar w:fldCharType="separate"/>
      </w:r>
      <w:r>
        <w:rPr>
          <w:rStyle w:val="61"/>
          <w:rFonts w:ascii="Times New Roman" w:eastAsia="宋体" w:cs="Times New Roman"/>
        </w:rPr>
        <w:t>7.3 大气污染防治措施</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_Toc193912394 \h </w:instrText>
      </w:r>
      <w:r>
        <w:rPr>
          <w:rFonts w:ascii="Times New Roman" w:eastAsia="宋体" w:cs="Times New Roman"/>
        </w:rPr>
        <w:fldChar w:fldCharType="separate"/>
      </w:r>
      <w:r>
        <w:rPr>
          <w:rFonts w:ascii="Times New Roman" w:eastAsia="宋体" w:cs="Times New Roman"/>
        </w:rPr>
        <w:t>170</w:t>
      </w:r>
      <w:r>
        <w:rPr>
          <w:rFonts w:ascii="Times New Roman" w:eastAsia="宋体" w:cs="Times New Roman"/>
        </w:rPr>
        <w:fldChar w:fldCharType="end"/>
      </w:r>
      <w:r>
        <w:rPr>
          <w:rFonts w:ascii="Times New Roman" w:eastAsia="宋体" w:cs="Times New Roman"/>
        </w:rPr>
        <w:fldChar w:fldCharType="end"/>
      </w:r>
    </w:p>
    <w:p w14:paraId="15C67AC2">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"_Toc193912395" </w:instrText>
      </w:r>
      <w:r>
        <w:fldChar w:fldCharType="separate"/>
      </w:r>
      <w:r>
        <w:rPr>
          <w:rStyle w:val="61"/>
          <w:rFonts w:ascii="Times New Roman" w:eastAsia="宋体" w:cs="Times New Roman"/>
        </w:rPr>
        <w:t>7.4 声环境保护措施</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_Toc193912395 \h </w:instrText>
      </w:r>
      <w:r>
        <w:rPr>
          <w:rFonts w:ascii="Times New Roman" w:eastAsia="宋体" w:cs="Times New Roman"/>
        </w:rPr>
        <w:fldChar w:fldCharType="separate"/>
      </w:r>
      <w:r>
        <w:rPr>
          <w:rFonts w:ascii="Times New Roman" w:eastAsia="宋体" w:cs="Times New Roman"/>
        </w:rPr>
        <w:t>172</w:t>
      </w:r>
      <w:r>
        <w:rPr>
          <w:rFonts w:ascii="Times New Roman" w:eastAsia="宋体" w:cs="Times New Roman"/>
        </w:rPr>
        <w:fldChar w:fldCharType="end"/>
      </w:r>
      <w:r>
        <w:rPr>
          <w:rFonts w:ascii="Times New Roman" w:eastAsia="宋体" w:cs="Times New Roman"/>
        </w:rPr>
        <w:fldChar w:fldCharType="end"/>
      </w:r>
    </w:p>
    <w:p w14:paraId="5B888443">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"_Toc193912396" </w:instrText>
      </w:r>
      <w:r>
        <w:fldChar w:fldCharType="separate"/>
      </w:r>
      <w:r>
        <w:rPr>
          <w:rStyle w:val="61"/>
          <w:rFonts w:ascii="Times New Roman" w:eastAsia="宋体" w:cs="Times New Roman"/>
        </w:rPr>
        <w:t>7.5 固体废物防治措施</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_Toc193912396 \h </w:instrText>
      </w:r>
      <w:r>
        <w:rPr>
          <w:rFonts w:ascii="Times New Roman" w:eastAsia="宋体" w:cs="Times New Roman"/>
        </w:rPr>
        <w:fldChar w:fldCharType="separate"/>
      </w:r>
      <w:r>
        <w:rPr>
          <w:rFonts w:ascii="Times New Roman" w:eastAsia="宋体" w:cs="Times New Roman"/>
        </w:rPr>
        <w:t>178</w:t>
      </w:r>
      <w:r>
        <w:rPr>
          <w:rFonts w:ascii="Times New Roman" w:eastAsia="宋体" w:cs="Times New Roman"/>
        </w:rPr>
        <w:fldChar w:fldCharType="end"/>
      </w:r>
      <w:r>
        <w:rPr>
          <w:rFonts w:ascii="Times New Roman" w:eastAsia="宋体" w:cs="Times New Roman"/>
        </w:rPr>
        <w:fldChar w:fldCharType="end"/>
      </w:r>
    </w:p>
    <w:p w14:paraId="1A6E512B">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"_Toc193912397" </w:instrText>
      </w:r>
      <w:r>
        <w:fldChar w:fldCharType="separate"/>
      </w:r>
      <w:r>
        <w:rPr>
          <w:rStyle w:val="61"/>
          <w:rFonts w:ascii="Times New Roman" w:eastAsia="宋体" w:cs="Times New Roman"/>
        </w:rPr>
        <w:t>7.6 环保投资估算</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_Toc193912397 \h </w:instrText>
      </w:r>
      <w:r>
        <w:rPr>
          <w:rFonts w:ascii="Times New Roman" w:eastAsia="宋体" w:cs="Times New Roman"/>
        </w:rPr>
        <w:fldChar w:fldCharType="separate"/>
      </w:r>
      <w:r>
        <w:rPr>
          <w:rFonts w:ascii="Times New Roman" w:eastAsia="宋体" w:cs="Times New Roman"/>
        </w:rPr>
        <w:t>179</w:t>
      </w:r>
      <w:r>
        <w:rPr>
          <w:rFonts w:ascii="Times New Roman" w:eastAsia="宋体" w:cs="Times New Roman"/>
        </w:rPr>
        <w:fldChar w:fldCharType="end"/>
      </w:r>
      <w:r>
        <w:rPr>
          <w:rFonts w:ascii="Times New Roman" w:eastAsia="宋体" w:cs="Times New Roman"/>
        </w:rPr>
        <w:fldChar w:fldCharType="end"/>
      </w:r>
    </w:p>
    <w:p w14:paraId="2DCB69F9">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"_Toc193912398" </w:instrText>
      </w:r>
      <w:r>
        <w:fldChar w:fldCharType="separate"/>
      </w:r>
      <w:r>
        <w:rPr>
          <w:rStyle w:val="61"/>
          <w:rFonts w:ascii="Times New Roman" w:eastAsia="宋体" w:cs="Times New Roman"/>
          <w14:scene3d>
            <w14:lightRig w14:rig="threePt" w14:dir="t">
              <w14:rot w14:lat="0" w14:lon="0" w14:rev="0"/>
            </w14:lightRig>
          </w14:scene3d>
        </w:rPr>
        <w:t>第八章</w:t>
      </w:r>
      <w:r>
        <w:rPr>
          <w:rStyle w:val="61"/>
          <w:rFonts w:ascii="Times New Roman" w:eastAsia="宋体" w:cs="Times New Roman"/>
        </w:rPr>
        <w:t xml:space="preserve"> 环境影响经济损益分析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_Toc193912398 \h </w:instrText>
      </w:r>
      <w:r>
        <w:rPr>
          <w:rFonts w:ascii="Times New Roman" w:eastAsia="宋体" w:cs="Times New Roman"/>
        </w:rPr>
        <w:fldChar w:fldCharType="separate"/>
      </w:r>
      <w:r>
        <w:rPr>
          <w:rFonts w:ascii="Times New Roman" w:eastAsia="宋体" w:cs="Times New Roman"/>
        </w:rPr>
        <w:t>180</w:t>
      </w:r>
      <w:r>
        <w:rPr>
          <w:rFonts w:ascii="Times New Roman" w:eastAsia="宋体" w:cs="Times New Roman"/>
        </w:rPr>
        <w:fldChar w:fldCharType="end"/>
      </w:r>
      <w:r>
        <w:rPr>
          <w:rFonts w:ascii="Times New Roman" w:eastAsia="宋体" w:cs="Times New Roman"/>
        </w:rPr>
        <w:fldChar w:fldCharType="end"/>
      </w:r>
    </w:p>
    <w:p w14:paraId="0E5580E8">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"_Toc193912399" </w:instrText>
      </w:r>
      <w:r>
        <w:fldChar w:fldCharType="separate"/>
      </w:r>
      <w:r>
        <w:rPr>
          <w:rStyle w:val="61"/>
          <w:rFonts w:ascii="Times New Roman" w:eastAsia="宋体" w:cs="Times New Roman"/>
        </w:rPr>
        <w:t>8.1 国民经济效益分析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_Toc193912399 \h </w:instrText>
      </w:r>
      <w:r>
        <w:rPr>
          <w:rFonts w:ascii="Times New Roman" w:eastAsia="宋体" w:cs="Times New Roman"/>
        </w:rPr>
        <w:fldChar w:fldCharType="separate"/>
      </w:r>
      <w:r>
        <w:rPr>
          <w:rFonts w:ascii="Times New Roman" w:eastAsia="宋体" w:cs="Times New Roman"/>
        </w:rPr>
        <w:t>180</w:t>
      </w:r>
      <w:r>
        <w:rPr>
          <w:rFonts w:ascii="Times New Roman" w:eastAsia="宋体" w:cs="Times New Roman"/>
        </w:rPr>
        <w:fldChar w:fldCharType="end"/>
      </w:r>
      <w:r>
        <w:rPr>
          <w:rFonts w:ascii="Times New Roman" w:eastAsia="宋体" w:cs="Times New Roman"/>
        </w:rPr>
        <w:fldChar w:fldCharType="end"/>
      </w:r>
    </w:p>
    <w:p w14:paraId="6A3D53B9">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"_Toc193912400" </w:instrText>
      </w:r>
      <w:r>
        <w:fldChar w:fldCharType="separate"/>
      </w:r>
      <w:r>
        <w:rPr>
          <w:rStyle w:val="61"/>
          <w:rFonts w:ascii="Times New Roman" w:eastAsia="宋体" w:cs="Times New Roman"/>
        </w:rPr>
        <w:t>8.2 社会经济效益分析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_Toc193912400 \h </w:instrText>
      </w:r>
      <w:r>
        <w:rPr>
          <w:rFonts w:ascii="Times New Roman" w:eastAsia="宋体" w:cs="Times New Roman"/>
        </w:rPr>
        <w:fldChar w:fldCharType="separate"/>
      </w:r>
      <w:r>
        <w:rPr>
          <w:rFonts w:ascii="Times New Roman" w:eastAsia="宋体" w:cs="Times New Roman"/>
        </w:rPr>
        <w:t>180</w:t>
      </w:r>
      <w:r>
        <w:rPr>
          <w:rFonts w:ascii="Times New Roman" w:eastAsia="宋体" w:cs="Times New Roman"/>
        </w:rPr>
        <w:fldChar w:fldCharType="end"/>
      </w:r>
      <w:r>
        <w:rPr>
          <w:rFonts w:ascii="Times New Roman" w:eastAsia="宋体" w:cs="Times New Roman"/>
        </w:rPr>
        <w:fldChar w:fldCharType="end"/>
      </w:r>
    </w:p>
    <w:p w14:paraId="1AD318BF">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"_Toc193912401" </w:instrText>
      </w:r>
      <w:r>
        <w:fldChar w:fldCharType="separate"/>
      </w:r>
      <w:r>
        <w:rPr>
          <w:rStyle w:val="61"/>
          <w:rFonts w:ascii="Times New Roman" w:eastAsia="宋体" w:cs="Times New Roman"/>
        </w:rPr>
        <w:t>8.3 环境保护投资效益分析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_Toc193912401 \h </w:instrText>
      </w:r>
      <w:r>
        <w:rPr>
          <w:rFonts w:ascii="Times New Roman" w:eastAsia="宋体" w:cs="Times New Roman"/>
        </w:rPr>
        <w:fldChar w:fldCharType="separate"/>
      </w:r>
      <w:r>
        <w:rPr>
          <w:rFonts w:ascii="Times New Roman" w:eastAsia="宋体" w:cs="Times New Roman"/>
        </w:rPr>
        <w:t>180</w:t>
      </w:r>
      <w:r>
        <w:rPr>
          <w:rFonts w:ascii="Times New Roman" w:eastAsia="宋体" w:cs="Times New Roman"/>
        </w:rPr>
        <w:fldChar w:fldCharType="end"/>
      </w:r>
      <w:r>
        <w:rPr>
          <w:rFonts w:ascii="Times New Roman" w:eastAsia="宋体" w:cs="Times New Roman"/>
        </w:rPr>
        <w:fldChar w:fldCharType="end"/>
      </w:r>
    </w:p>
    <w:p w14:paraId="024C3E2F">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"_Toc193912402" </w:instrText>
      </w:r>
      <w:r>
        <w:fldChar w:fldCharType="separate"/>
      </w:r>
      <w:r>
        <w:rPr>
          <w:rStyle w:val="61"/>
          <w:rFonts w:ascii="Times New Roman" w:eastAsia="宋体" w:cs="Times New Roman"/>
        </w:rPr>
        <w:t>8.4 效益分析小结</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_Toc193912402 \h </w:instrText>
      </w:r>
      <w:r>
        <w:rPr>
          <w:rFonts w:ascii="Times New Roman" w:eastAsia="宋体" w:cs="Times New Roman"/>
        </w:rPr>
        <w:fldChar w:fldCharType="separate"/>
      </w:r>
      <w:r>
        <w:rPr>
          <w:rFonts w:ascii="Times New Roman" w:eastAsia="宋体" w:cs="Times New Roman"/>
        </w:rPr>
        <w:t>182</w:t>
      </w:r>
      <w:r>
        <w:rPr>
          <w:rFonts w:ascii="Times New Roman" w:eastAsia="宋体" w:cs="Times New Roman"/>
        </w:rPr>
        <w:fldChar w:fldCharType="end"/>
      </w:r>
      <w:r>
        <w:rPr>
          <w:rFonts w:ascii="Times New Roman" w:eastAsia="宋体" w:cs="Times New Roman"/>
        </w:rPr>
        <w:fldChar w:fldCharType="end"/>
      </w:r>
    </w:p>
    <w:p w14:paraId="1A2CACFF">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"_Toc193912403" </w:instrText>
      </w:r>
      <w:r>
        <w:fldChar w:fldCharType="separate"/>
      </w:r>
      <w:r>
        <w:rPr>
          <w:rStyle w:val="61"/>
          <w:rFonts w:ascii="Times New Roman" w:eastAsia="宋体" w:cs="Times New Roman"/>
          <w14:scene3d>
            <w14:lightRig w14:rig="threePt" w14:dir="t">
              <w14:rot w14:lat="0" w14:lon="0" w14:rev="0"/>
            </w14:lightRig>
          </w14:scene3d>
        </w:rPr>
        <w:t>第九章</w:t>
      </w:r>
      <w:r>
        <w:rPr>
          <w:rStyle w:val="61"/>
          <w:rFonts w:ascii="Times New Roman" w:eastAsia="宋体" w:cs="Times New Roman"/>
        </w:rPr>
        <w:t xml:space="preserve"> 环境管理与监测计划</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_Toc193912403 \h </w:instrText>
      </w:r>
      <w:r>
        <w:rPr>
          <w:rFonts w:ascii="Times New Roman" w:eastAsia="宋体" w:cs="Times New Roman"/>
        </w:rPr>
        <w:fldChar w:fldCharType="separate"/>
      </w:r>
      <w:r>
        <w:rPr>
          <w:rFonts w:ascii="Times New Roman" w:eastAsia="宋体" w:cs="Times New Roman"/>
        </w:rPr>
        <w:t>183</w:t>
      </w:r>
      <w:r>
        <w:rPr>
          <w:rFonts w:ascii="Times New Roman" w:eastAsia="宋体" w:cs="Times New Roman"/>
        </w:rPr>
        <w:fldChar w:fldCharType="end"/>
      </w:r>
      <w:r>
        <w:rPr>
          <w:rFonts w:ascii="Times New Roman" w:eastAsia="宋体" w:cs="Times New Roman"/>
        </w:rPr>
        <w:fldChar w:fldCharType="end"/>
      </w:r>
    </w:p>
    <w:p w14:paraId="2B8BF783">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"_Toc193912404" </w:instrText>
      </w:r>
      <w:r>
        <w:fldChar w:fldCharType="separate"/>
      </w:r>
      <w:r>
        <w:rPr>
          <w:rStyle w:val="61"/>
          <w:rFonts w:ascii="Times New Roman" w:eastAsia="宋体" w:cs="Times New Roman"/>
        </w:rPr>
        <w:t>9.1 环境保护管理计划</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_Toc193912404 \h </w:instrText>
      </w:r>
      <w:r>
        <w:rPr>
          <w:rFonts w:ascii="Times New Roman" w:eastAsia="宋体" w:cs="Times New Roman"/>
        </w:rPr>
        <w:fldChar w:fldCharType="separate"/>
      </w:r>
      <w:r>
        <w:rPr>
          <w:rFonts w:ascii="Times New Roman" w:eastAsia="宋体" w:cs="Times New Roman"/>
        </w:rPr>
        <w:t>183</w:t>
      </w:r>
      <w:r>
        <w:rPr>
          <w:rFonts w:ascii="Times New Roman" w:eastAsia="宋体" w:cs="Times New Roman"/>
        </w:rPr>
        <w:fldChar w:fldCharType="end"/>
      </w:r>
      <w:r>
        <w:rPr>
          <w:rFonts w:ascii="Times New Roman" w:eastAsia="宋体" w:cs="Times New Roman"/>
        </w:rPr>
        <w:fldChar w:fldCharType="end"/>
      </w:r>
    </w:p>
    <w:p w14:paraId="19E0A746">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"_Toc193912405" </w:instrText>
      </w:r>
      <w:r>
        <w:fldChar w:fldCharType="separate"/>
      </w:r>
      <w:r>
        <w:rPr>
          <w:rStyle w:val="61"/>
          <w:rFonts w:ascii="Times New Roman" w:eastAsia="宋体" w:cs="Times New Roman"/>
        </w:rPr>
        <w:t>9.2 环境监测</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_Toc193912405 \h </w:instrText>
      </w:r>
      <w:r>
        <w:rPr>
          <w:rFonts w:ascii="Times New Roman" w:eastAsia="宋体" w:cs="Times New Roman"/>
        </w:rPr>
        <w:fldChar w:fldCharType="separate"/>
      </w:r>
      <w:r>
        <w:rPr>
          <w:rFonts w:ascii="Times New Roman" w:eastAsia="宋体" w:cs="Times New Roman"/>
        </w:rPr>
        <w:t>186</w:t>
      </w:r>
      <w:r>
        <w:rPr>
          <w:rFonts w:ascii="Times New Roman" w:eastAsia="宋体" w:cs="Times New Roman"/>
        </w:rPr>
        <w:fldChar w:fldCharType="end"/>
      </w:r>
      <w:r>
        <w:rPr>
          <w:rFonts w:ascii="Times New Roman" w:eastAsia="宋体" w:cs="Times New Roman"/>
        </w:rPr>
        <w:fldChar w:fldCharType="end"/>
      </w:r>
    </w:p>
    <w:p w14:paraId="70419B16">
      <w:pPr>
        <w:pStyle w:val="37"/>
        <w:tabs>
          <w:tab w:val="right" w:leader="dot" w:pos="9064"/>
        </w:tabs>
        <w:spacing w:line="360" w:lineRule="exact"/>
        <w:ind w:firstLine="400"/>
        <w:rPr>
          <w:rFonts w:ascii="Times New Roman" w:eastAsia="宋体" w:cs="Times New Roman"/>
          <w:b w:val="0"/>
          <w:bCs w:val="0"/>
          <w:caps w:val="0"/>
          <w:sz w:val="21"/>
          <w:szCs w:val="22"/>
        </w:rPr>
      </w:pPr>
      <w:r>
        <w:fldChar w:fldCharType="begin"/>
      </w:r>
      <w:r>
        <w:instrText xml:space="preserve"> HYPERLINK \l "_Toc193912406" </w:instrText>
      </w:r>
      <w:r>
        <w:fldChar w:fldCharType="separate"/>
      </w:r>
      <w:r>
        <w:rPr>
          <w:rStyle w:val="61"/>
          <w:rFonts w:ascii="Times New Roman" w:eastAsia="宋体" w:cs="Times New Roman"/>
          <w14:scene3d>
            <w14:lightRig w14:rig="threePt" w14:dir="t">
              <w14:rot w14:lat="0" w14:lon="0" w14:rev="0"/>
            </w14:lightRig>
          </w14:scene3d>
        </w:rPr>
        <w:t>第十章</w:t>
      </w:r>
      <w:r>
        <w:rPr>
          <w:rStyle w:val="61"/>
          <w:rFonts w:ascii="Times New Roman" w:eastAsia="宋体" w:cs="Times New Roman"/>
        </w:rPr>
        <w:t xml:space="preserve"> 环境影响评价结论</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_Toc193912406 \h </w:instrText>
      </w:r>
      <w:r>
        <w:rPr>
          <w:rFonts w:ascii="Times New Roman" w:eastAsia="宋体" w:cs="Times New Roman"/>
        </w:rPr>
        <w:fldChar w:fldCharType="separate"/>
      </w:r>
      <w:r>
        <w:rPr>
          <w:rFonts w:ascii="Times New Roman" w:eastAsia="宋体" w:cs="Times New Roman"/>
        </w:rPr>
        <w:t>188</w:t>
      </w:r>
      <w:r>
        <w:rPr>
          <w:rFonts w:ascii="Times New Roman" w:eastAsia="宋体" w:cs="Times New Roman"/>
        </w:rPr>
        <w:fldChar w:fldCharType="end"/>
      </w:r>
      <w:r>
        <w:rPr>
          <w:rFonts w:ascii="Times New Roman" w:eastAsia="宋体" w:cs="Times New Roman"/>
        </w:rPr>
        <w:fldChar w:fldCharType="end"/>
      </w:r>
    </w:p>
    <w:p w14:paraId="2BE14CFE">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"_Toc193912407" </w:instrText>
      </w:r>
      <w:r>
        <w:fldChar w:fldCharType="separate"/>
      </w:r>
      <w:r>
        <w:rPr>
          <w:rStyle w:val="61"/>
          <w:rFonts w:ascii="Times New Roman" w:eastAsia="宋体" w:cs="Times New Roman"/>
        </w:rPr>
        <w:t>10.1 建设项目概况</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_Toc193912407 \h </w:instrText>
      </w:r>
      <w:r>
        <w:rPr>
          <w:rFonts w:ascii="Times New Roman" w:eastAsia="宋体" w:cs="Times New Roman"/>
        </w:rPr>
        <w:fldChar w:fldCharType="separate"/>
      </w:r>
      <w:r>
        <w:rPr>
          <w:rFonts w:ascii="Times New Roman" w:eastAsia="宋体" w:cs="Times New Roman"/>
        </w:rPr>
        <w:t>188</w:t>
      </w:r>
      <w:r>
        <w:rPr>
          <w:rFonts w:ascii="Times New Roman" w:eastAsia="宋体" w:cs="Times New Roman"/>
        </w:rPr>
        <w:fldChar w:fldCharType="end"/>
      </w:r>
      <w:r>
        <w:rPr>
          <w:rFonts w:ascii="Times New Roman" w:eastAsia="宋体" w:cs="Times New Roman"/>
        </w:rPr>
        <w:fldChar w:fldCharType="end"/>
      </w:r>
    </w:p>
    <w:p w14:paraId="2EFA3A8C">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"_Toc193912408" </w:instrText>
      </w:r>
      <w:r>
        <w:fldChar w:fldCharType="separate"/>
      </w:r>
      <w:r>
        <w:rPr>
          <w:rStyle w:val="61"/>
          <w:rFonts w:ascii="Times New Roman" w:eastAsia="宋体" w:cs="Times New Roman"/>
        </w:rPr>
        <w:t>10.2 环境质量现状评价结论</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_Toc193912408 \h </w:instrText>
      </w:r>
      <w:r>
        <w:rPr>
          <w:rFonts w:ascii="Times New Roman" w:eastAsia="宋体" w:cs="Times New Roman"/>
        </w:rPr>
        <w:fldChar w:fldCharType="separate"/>
      </w:r>
      <w:r>
        <w:rPr>
          <w:rFonts w:ascii="Times New Roman" w:eastAsia="宋体" w:cs="Times New Roman"/>
        </w:rPr>
        <w:t>188</w:t>
      </w:r>
      <w:r>
        <w:rPr>
          <w:rFonts w:ascii="Times New Roman" w:eastAsia="宋体" w:cs="Times New Roman"/>
        </w:rPr>
        <w:fldChar w:fldCharType="end"/>
      </w:r>
      <w:r>
        <w:rPr>
          <w:rFonts w:ascii="Times New Roman" w:eastAsia="宋体" w:cs="Times New Roman"/>
        </w:rPr>
        <w:fldChar w:fldCharType="end"/>
      </w:r>
    </w:p>
    <w:p w14:paraId="6918BC06">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"_Toc193912409" </w:instrText>
      </w:r>
      <w:r>
        <w:fldChar w:fldCharType="separate"/>
      </w:r>
      <w:r>
        <w:rPr>
          <w:rStyle w:val="61"/>
          <w:rFonts w:ascii="Times New Roman" w:eastAsia="宋体" w:cs="Times New Roman"/>
        </w:rPr>
        <w:t>10.3 环境影响评价结论</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_Toc193912409 \h </w:instrText>
      </w:r>
      <w:r>
        <w:rPr>
          <w:rFonts w:ascii="Times New Roman" w:eastAsia="宋体" w:cs="Times New Roman"/>
        </w:rPr>
        <w:fldChar w:fldCharType="separate"/>
      </w:r>
      <w:r>
        <w:rPr>
          <w:rFonts w:ascii="Times New Roman" w:eastAsia="宋体" w:cs="Times New Roman"/>
        </w:rPr>
        <w:t>189</w:t>
      </w:r>
      <w:r>
        <w:rPr>
          <w:rFonts w:ascii="Times New Roman" w:eastAsia="宋体" w:cs="Times New Roman"/>
        </w:rPr>
        <w:fldChar w:fldCharType="end"/>
      </w:r>
      <w:r>
        <w:rPr>
          <w:rFonts w:ascii="Times New Roman" w:eastAsia="宋体" w:cs="Times New Roman"/>
        </w:rPr>
        <w:fldChar w:fldCharType="end"/>
      </w:r>
    </w:p>
    <w:p w14:paraId="77E05545">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"_Toc193912410" </w:instrText>
      </w:r>
      <w:r>
        <w:fldChar w:fldCharType="separate"/>
      </w:r>
      <w:r>
        <w:rPr>
          <w:rStyle w:val="61"/>
          <w:rFonts w:ascii="Times New Roman" w:eastAsia="宋体" w:cs="Times New Roman"/>
        </w:rPr>
        <w:t>10.4 项目主要环保措施及竣工验收要求</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_Toc193912410 \h </w:instrText>
      </w:r>
      <w:r>
        <w:rPr>
          <w:rFonts w:ascii="Times New Roman" w:eastAsia="宋体" w:cs="Times New Roman"/>
        </w:rPr>
        <w:fldChar w:fldCharType="separate"/>
      </w:r>
      <w:r>
        <w:rPr>
          <w:rFonts w:ascii="Times New Roman" w:eastAsia="宋体" w:cs="Times New Roman"/>
        </w:rPr>
        <w:t>192</w:t>
      </w:r>
      <w:r>
        <w:rPr>
          <w:rFonts w:ascii="Times New Roman" w:eastAsia="宋体" w:cs="Times New Roman"/>
        </w:rPr>
        <w:fldChar w:fldCharType="end"/>
      </w:r>
      <w:r>
        <w:rPr>
          <w:rFonts w:ascii="Times New Roman" w:eastAsia="宋体" w:cs="Times New Roman"/>
        </w:rPr>
        <w:fldChar w:fldCharType="end"/>
      </w:r>
    </w:p>
    <w:p w14:paraId="13209399">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"_Toc193912411" </w:instrText>
      </w:r>
      <w:r>
        <w:fldChar w:fldCharType="separate"/>
      </w:r>
      <w:r>
        <w:rPr>
          <w:rStyle w:val="61"/>
          <w:rFonts w:ascii="Times New Roman" w:eastAsia="宋体" w:cs="Times New Roman"/>
        </w:rPr>
        <w:t>10.5 环境影响经济损益分析</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_Toc193912411 \h </w:instrText>
      </w:r>
      <w:r>
        <w:rPr>
          <w:rFonts w:ascii="Times New Roman" w:eastAsia="宋体" w:cs="Times New Roman"/>
        </w:rPr>
        <w:fldChar w:fldCharType="separate"/>
      </w:r>
      <w:r>
        <w:rPr>
          <w:rFonts w:ascii="Times New Roman" w:eastAsia="宋体" w:cs="Times New Roman"/>
        </w:rPr>
        <w:t>198</w:t>
      </w:r>
      <w:r>
        <w:rPr>
          <w:rFonts w:ascii="Times New Roman" w:eastAsia="宋体" w:cs="Times New Roman"/>
        </w:rPr>
        <w:fldChar w:fldCharType="end"/>
      </w:r>
      <w:r>
        <w:rPr>
          <w:rFonts w:ascii="Times New Roman" w:eastAsia="宋体" w:cs="Times New Roman"/>
        </w:rPr>
        <w:fldChar w:fldCharType="end"/>
      </w:r>
    </w:p>
    <w:p w14:paraId="3B06D2CF">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"_Toc193912412" </w:instrText>
      </w:r>
      <w:r>
        <w:fldChar w:fldCharType="separate"/>
      </w:r>
      <w:r>
        <w:rPr>
          <w:rStyle w:val="61"/>
          <w:rFonts w:ascii="Times New Roman" w:eastAsia="宋体" w:cs="Times New Roman"/>
        </w:rPr>
        <w:t>10.6 环境管理与监测计划结论</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_Toc193912412 \h </w:instrText>
      </w:r>
      <w:r>
        <w:rPr>
          <w:rFonts w:ascii="Times New Roman" w:eastAsia="宋体" w:cs="Times New Roman"/>
        </w:rPr>
        <w:fldChar w:fldCharType="separate"/>
      </w:r>
      <w:r>
        <w:rPr>
          <w:rFonts w:ascii="Times New Roman" w:eastAsia="宋体" w:cs="Times New Roman"/>
        </w:rPr>
        <w:t>198</w:t>
      </w:r>
      <w:r>
        <w:rPr>
          <w:rFonts w:ascii="Times New Roman" w:eastAsia="宋体" w:cs="Times New Roman"/>
        </w:rPr>
        <w:fldChar w:fldCharType="end"/>
      </w:r>
      <w:r>
        <w:rPr>
          <w:rFonts w:ascii="Times New Roman" w:eastAsia="宋体" w:cs="Times New Roman"/>
        </w:rPr>
        <w:fldChar w:fldCharType="end"/>
      </w:r>
    </w:p>
    <w:p w14:paraId="326CA5A6">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"_Toc193912413" </w:instrText>
      </w:r>
      <w:r>
        <w:fldChar w:fldCharType="separate"/>
      </w:r>
      <w:r>
        <w:rPr>
          <w:rStyle w:val="61"/>
          <w:rFonts w:ascii="Times New Roman" w:eastAsia="宋体" w:cs="Times New Roman"/>
        </w:rPr>
        <w:t>10.7 产业政策及规划选址符合性结论</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_Toc193912413 \h </w:instrText>
      </w:r>
      <w:r>
        <w:rPr>
          <w:rFonts w:ascii="Times New Roman" w:eastAsia="宋体" w:cs="Times New Roman"/>
        </w:rPr>
        <w:fldChar w:fldCharType="separate"/>
      </w:r>
      <w:r>
        <w:rPr>
          <w:rFonts w:ascii="Times New Roman" w:eastAsia="宋体" w:cs="Times New Roman"/>
        </w:rPr>
        <w:t>198</w:t>
      </w:r>
      <w:r>
        <w:rPr>
          <w:rFonts w:ascii="Times New Roman" w:eastAsia="宋体" w:cs="Times New Roman"/>
        </w:rPr>
        <w:fldChar w:fldCharType="end"/>
      </w:r>
      <w:r>
        <w:rPr>
          <w:rFonts w:ascii="Times New Roman" w:eastAsia="宋体" w:cs="Times New Roman"/>
        </w:rPr>
        <w:fldChar w:fldCharType="end"/>
      </w:r>
    </w:p>
    <w:p w14:paraId="5A1F77FD">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"_Toc193912414" </w:instrText>
      </w:r>
      <w:r>
        <w:fldChar w:fldCharType="separate"/>
      </w:r>
      <w:r>
        <w:rPr>
          <w:rStyle w:val="61"/>
          <w:rFonts w:ascii="Times New Roman" w:eastAsia="宋体" w:cs="Times New Roman"/>
        </w:rPr>
        <w:t>10.8 公众意见采纳情况</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_Toc193912414 \h </w:instrText>
      </w:r>
      <w:r>
        <w:rPr>
          <w:rFonts w:ascii="Times New Roman" w:eastAsia="宋体" w:cs="Times New Roman"/>
        </w:rPr>
        <w:fldChar w:fldCharType="separate"/>
      </w:r>
      <w:r>
        <w:rPr>
          <w:rFonts w:ascii="Times New Roman" w:eastAsia="宋体" w:cs="Times New Roman"/>
        </w:rPr>
        <w:t>199</w:t>
      </w:r>
      <w:r>
        <w:rPr>
          <w:rFonts w:ascii="Times New Roman" w:eastAsia="宋体" w:cs="Times New Roman"/>
        </w:rPr>
        <w:fldChar w:fldCharType="end"/>
      </w:r>
      <w:r>
        <w:rPr>
          <w:rFonts w:ascii="Times New Roman" w:eastAsia="宋体" w:cs="Times New Roman"/>
        </w:rPr>
        <w:fldChar w:fldCharType="end"/>
      </w:r>
    </w:p>
    <w:p w14:paraId="051EF169">
      <w:pPr>
        <w:pStyle w:val="45"/>
        <w:tabs>
          <w:tab w:val="right" w:leader="dot" w:pos="9064"/>
        </w:tabs>
        <w:spacing w:line="360" w:lineRule="exact"/>
        <w:ind w:firstLine="400"/>
        <w:rPr>
          <w:rFonts w:ascii="Times New Roman" w:eastAsia="宋体" w:cs="Times New Roman"/>
          <w:smallCaps w:val="0"/>
          <w:sz w:val="21"/>
          <w:szCs w:val="22"/>
        </w:rPr>
      </w:pPr>
      <w:r>
        <w:fldChar w:fldCharType="begin"/>
      </w:r>
      <w:r>
        <w:instrText xml:space="preserve"> HYPERLINK \l "_Toc193912415" </w:instrText>
      </w:r>
      <w:r>
        <w:fldChar w:fldCharType="separate"/>
      </w:r>
      <w:r>
        <w:rPr>
          <w:rStyle w:val="61"/>
          <w:rFonts w:ascii="Times New Roman" w:eastAsia="宋体" w:cs="Times New Roman"/>
        </w:rPr>
        <w:t>10.9 总结论</w:t>
      </w:r>
      <w:r>
        <w:rPr>
          <w:rFonts w:ascii="Times New Roman" w:eastAsia="宋体" w:cs="Times New Roman"/>
        </w:rPr>
        <w:tab/>
      </w:r>
      <w:r>
        <w:rPr>
          <w:rFonts w:ascii="Times New Roman" w:eastAsia="宋体" w:cs="Times New Roman"/>
        </w:rPr>
        <w:fldChar w:fldCharType="begin"/>
      </w:r>
      <w:r>
        <w:rPr>
          <w:rFonts w:ascii="Times New Roman" w:eastAsia="宋体" w:cs="Times New Roman"/>
        </w:rPr>
        <w:instrText xml:space="preserve"> PAGEREF _Toc193912415 \h </w:instrText>
      </w:r>
      <w:r>
        <w:rPr>
          <w:rFonts w:ascii="Times New Roman" w:eastAsia="宋体" w:cs="Times New Roman"/>
        </w:rPr>
        <w:fldChar w:fldCharType="separate"/>
      </w:r>
      <w:r>
        <w:rPr>
          <w:rFonts w:ascii="Times New Roman" w:eastAsia="宋体" w:cs="Times New Roman"/>
        </w:rPr>
        <w:t>200</w:t>
      </w:r>
      <w:r>
        <w:rPr>
          <w:rFonts w:ascii="Times New Roman" w:eastAsia="宋体" w:cs="Times New Roman"/>
        </w:rPr>
        <w:fldChar w:fldCharType="end"/>
      </w:r>
      <w:r>
        <w:rPr>
          <w:rFonts w:ascii="Times New Roman" w:eastAsia="宋体" w:cs="Times New Roman"/>
        </w:rPr>
        <w:fldChar w:fldCharType="end"/>
      </w:r>
    </w:p>
    <w:p w14:paraId="3C0B1560">
      <w:pPr>
        <w:pStyle w:val="45"/>
        <w:tabs>
          <w:tab w:val="right" w:leader="dot" w:pos="9064"/>
        </w:tabs>
        <w:spacing w:line="360" w:lineRule="exact"/>
        <w:ind w:firstLine="400"/>
        <w:rPr>
          <w:color w:val="000000" w:themeColor="text1"/>
          <w14:textFill>
            <w14:solidFill>
              <w14:schemeClr w14:val="tx1"/>
            </w14:solidFill>
          </w14:textFill>
        </w:rPr>
      </w:pPr>
      <w:r>
        <w:rPr>
          <w:rFonts w:ascii="Times New Roman" w:eastAsia="宋体" w:cs="Times New Roman"/>
          <w:color w:val="000000" w:themeColor="text1"/>
          <w14:textFill>
            <w14:solidFill>
              <w14:schemeClr w14:val="tx1"/>
            </w14:solidFill>
          </w14:textFill>
        </w:rPr>
        <w:fldChar w:fldCharType="end"/>
      </w:r>
    </w:p>
    <w:p w14:paraId="644789E6">
      <w:pPr>
        <w:ind w:firstLine="883"/>
        <w:jc w:val="center"/>
        <w:rPr>
          <w:rFonts w:cs="Times New Roman"/>
          <w:b/>
          <w:bCs/>
          <w:color w:val="000000" w:themeColor="text1"/>
          <w:sz w:val="44"/>
          <w:szCs w:val="44"/>
          <w14:textFill>
            <w14:solidFill>
              <w14:schemeClr w14:val="tx1"/>
            </w14:solidFill>
          </w14:textFill>
        </w:rPr>
        <w:sectPr>
          <w:headerReference r:id="rId11" w:type="default"/>
          <w:footerReference r:id="rId12" w:type="default"/>
          <w:pgSz w:w="11910" w:h="16840"/>
          <w:pgMar w:top="1418" w:right="1418" w:bottom="1418" w:left="1418" w:header="851" w:footer="851" w:gutter="0"/>
          <w:pgNumType w:fmt="upperRoman" w:start="1"/>
          <w:cols w:space="720" w:num="1"/>
        </w:sectPr>
      </w:pPr>
    </w:p>
    <w:p w14:paraId="7A6EA167">
      <w:pPr>
        <w:spacing w:line="345" w:lineRule="auto"/>
        <w:ind w:firstLine="480"/>
        <w:rPr>
          <w:rFonts w:cs="Times New Roman"/>
          <w:color w:val="000000" w:themeColor="text1"/>
          <w14:textFill>
            <w14:solidFill>
              <w14:schemeClr w14:val="tx1"/>
            </w14:solidFill>
          </w14:textFill>
        </w:rPr>
        <w:sectPr>
          <w:footerReference r:id="rId13" w:type="default"/>
          <w:type w:val="continuous"/>
          <w:pgSz w:w="11910" w:h="16840"/>
          <w:pgMar w:top="1418" w:right="1418" w:bottom="1418" w:left="1418" w:header="851" w:footer="851" w:gutter="0"/>
          <w:pgNumType w:fmt="upperRoman"/>
          <w:cols w:space="720" w:num="1"/>
        </w:sectPr>
      </w:pPr>
    </w:p>
    <w:p w14:paraId="68E4E7B0">
      <w:pPr>
        <w:pStyle w:val="114"/>
        <w:rPr>
          <w:color w:val="000000" w:themeColor="text1"/>
          <w14:textFill>
            <w14:solidFill>
              <w14:schemeClr w14:val="tx1"/>
            </w14:solidFill>
          </w14:textFill>
        </w:rPr>
      </w:pPr>
      <w:bookmarkStart w:id="2" w:name="概_述"/>
      <w:bookmarkEnd w:id="2"/>
      <w:bookmarkStart w:id="3" w:name="_Toc193912350"/>
      <w:bookmarkStart w:id="4" w:name="_Toc159405443"/>
      <w:bookmarkStart w:id="5" w:name="_Toc322"/>
      <w:r>
        <w:rPr>
          <w:color w:val="000000" w:themeColor="text1"/>
          <w14:textFill>
            <w14:solidFill>
              <w14:schemeClr w14:val="tx1"/>
            </w14:solidFill>
          </w14:textFill>
        </w:rPr>
        <w:t>概述</w:t>
      </w:r>
      <w:bookmarkEnd w:id="3"/>
      <w:bookmarkEnd w:id="4"/>
      <w:bookmarkEnd w:id="5"/>
    </w:p>
    <w:p w14:paraId="0B4A28B1">
      <w:pPr>
        <w:pStyle w:val="116"/>
        <w:rPr>
          <w:color w:val="000000" w:themeColor="text1"/>
          <w14:textFill>
            <w14:solidFill>
              <w14:schemeClr w14:val="tx1"/>
            </w14:solidFill>
          </w14:textFill>
        </w:rPr>
      </w:pPr>
      <w:bookmarkStart w:id="6" w:name="_Toc6480"/>
      <w:bookmarkStart w:id="7" w:name="_Toc193912351"/>
      <w:bookmarkStart w:id="8" w:name="_Toc159405444"/>
      <w:r>
        <w:rPr>
          <w:color w:val="000000" w:themeColor="text1"/>
          <w14:textFill>
            <w14:solidFill>
              <w14:schemeClr w14:val="tx1"/>
            </w14:solidFill>
          </w14:textFill>
        </w:rPr>
        <w:t>建设项目</w:t>
      </w:r>
      <w:bookmarkEnd w:id="6"/>
      <w:r>
        <w:rPr>
          <w:color w:val="000000" w:themeColor="text1"/>
          <w14:textFill>
            <w14:solidFill>
              <w14:schemeClr w14:val="tx1"/>
            </w14:solidFill>
          </w14:textFill>
        </w:rPr>
        <w:t>由来</w:t>
      </w:r>
      <w:bookmarkEnd w:id="7"/>
      <w:bookmarkEnd w:id="8"/>
    </w:p>
    <w:p w14:paraId="451B3E06">
      <w:pPr>
        <w:ind w:firstLine="480"/>
        <w:rPr>
          <w:color w:val="000000" w:themeColor="text1"/>
          <w14:textFill>
            <w14:solidFill>
              <w14:schemeClr w14:val="tx1"/>
            </w14:solidFill>
          </w14:textFill>
        </w:rPr>
      </w:pPr>
      <w:bookmarkStart w:id="9" w:name="OLE_LINK41"/>
      <w:r>
        <w:rPr>
          <w:rFonts w:hint="eastAsia"/>
          <w:color w:val="000000" w:themeColor="text1"/>
          <w14:textFill>
            <w14:solidFill>
              <w14:schemeClr w14:val="tx1"/>
            </w14:solidFill>
          </w14:textFill>
        </w:rPr>
        <w:t>万福寺位于福建省福清市渔溪镇的黄檗山。万福寺创建于唐贞元五年（公元789）。自唐以后，历代兴废不一，明朝时期多次修建，明万历四十二年（1614）皇帝御赐</w:t>
      </w:r>
      <w:bookmarkStart w:id="10" w:name="hmcheck_b702aea4fb2d43e798814c73553791d9"/>
      <w:r>
        <w:rPr>
          <w:rFonts w:hint="eastAsia"/>
          <w:color w:val="000000" w:themeColor="text1"/>
          <w:shd w:val="clear" w:fill="FFAFAA"/>
          <w14:textFill>
            <w14:solidFill>
              <w14:schemeClr w14:val="tx1"/>
            </w14:solidFill>
          </w14:textFill>
        </w:rPr>
        <w:t>"</w:t>
      </w:r>
      <w:bookmarkEnd w:id="10"/>
      <w:r>
        <w:rPr>
          <w:rFonts w:hint="eastAsia"/>
          <w:color w:val="000000" w:themeColor="text1"/>
          <w14:textFill>
            <w14:solidFill>
              <w14:schemeClr w14:val="tx1"/>
            </w14:solidFill>
          </w14:textFill>
        </w:rPr>
        <w:t>万福禅寺</w:t>
      </w:r>
      <w:bookmarkStart w:id="11" w:name="hmcheck_aea816eba5c44df99f061526ad47f9b6"/>
      <w:r>
        <w:rPr>
          <w:rFonts w:hint="eastAsia"/>
          <w:color w:val="000000" w:themeColor="text1"/>
          <w:shd w:val="clear" w:fill="FFAFAA"/>
          <w14:textFill>
            <w14:solidFill>
              <w14:schemeClr w14:val="tx1"/>
            </w14:solidFill>
          </w14:textFill>
        </w:rPr>
        <w:t>"</w:t>
      </w:r>
      <w:bookmarkEnd w:id="11"/>
      <w:r>
        <w:rPr>
          <w:rFonts w:hint="eastAsia"/>
          <w:color w:val="000000" w:themeColor="text1"/>
          <w14:textFill>
            <w14:solidFill>
              <w14:schemeClr w14:val="tx1"/>
            </w14:solidFill>
          </w14:textFill>
        </w:rPr>
        <w:t>匾额。1928年，万福寺被山洪冲毁。福建省佛教协会成立了修建委员会，对万福寺进行了修复。清顺治九年（1652），日本长崎华僧所建的兴福寺住持逸然及唐三寺各位护法，</w:t>
      </w:r>
      <w:bookmarkStart w:id="12" w:name="hmcheck_06549c4815884f97944e1aa06fda3ad6"/>
      <w:r>
        <w:rPr>
          <w:rFonts w:hint="eastAsia"/>
          <w:color w:val="000000" w:themeColor="text1"/>
          <w:shd w:val="clear" w:fill="FFAFAA"/>
          <w14:textFill>
            <w14:solidFill>
              <w14:schemeClr w14:val="tx1"/>
            </w14:solidFill>
          </w14:textFill>
        </w:rPr>
        <w:t>多次海</w:t>
      </w:r>
      <w:bookmarkEnd w:id="12"/>
      <w:r>
        <w:rPr>
          <w:rFonts w:hint="eastAsia"/>
          <w:color w:val="000000" w:themeColor="text1"/>
          <w14:textFill>
            <w14:solidFill>
              <w14:schemeClr w14:val="tx1"/>
            </w14:solidFill>
          </w14:textFill>
        </w:rPr>
        <w:t>联名邀请该寺的隐元东渡弘扬佛法。1654年5月隐元率领徒众三十人南行，7月5日抵达日本长崎。到达日本后，又得到天皇和德川幕府德川家康将军的优待，在京都宇治赐地建立寺庙。新寺建成后，隐元不忘故山，命名黄檗山万福寺，并创立一新宗派，与日本原有的临济、曹洞并立，称为黄檗宗。目前万福寺仅依靠现状村道与外界衔接，道路状况较差，亟需新建一条边界通道。</w:t>
      </w:r>
    </w:p>
    <w:p w14:paraId="192494F9">
      <w:pPr>
        <w:ind w:firstLine="480"/>
        <w:rPr>
          <w:color w:val="000000" w:themeColor="text1"/>
          <w14:textFill>
            <w14:solidFill>
              <w14:schemeClr w14:val="tx1"/>
            </w14:solidFill>
          </w14:textFill>
        </w:rPr>
      </w:pPr>
      <w:r>
        <w:rPr>
          <w:color w:val="000000" w:themeColor="text1"/>
          <w14:textFill>
            <w14:solidFill>
              <w14:schemeClr w14:val="tx1"/>
            </w14:solidFill>
          </w14:textFill>
        </w:rPr>
        <w:t>在此背景下，</w:t>
      </w:r>
      <w:r>
        <w:rPr>
          <w:rFonts w:hint="eastAsia"/>
          <w:color w:val="000000" w:themeColor="text1"/>
          <w14:textFill>
            <w14:solidFill>
              <w14:schemeClr w14:val="tx1"/>
            </w14:solidFill>
          </w14:textFill>
        </w:rPr>
        <w:t>福清市交通建设投资集团有限公司</w:t>
      </w:r>
      <w:r>
        <w:rPr>
          <w:color w:val="000000" w:themeColor="text1"/>
          <w14:textFill>
            <w14:solidFill>
              <w14:schemeClr w14:val="tx1"/>
            </w14:solidFill>
          </w14:textFill>
        </w:rPr>
        <w:t>拟投资</w:t>
      </w:r>
      <w:r>
        <w:rPr>
          <w:rFonts w:hint="eastAsia"/>
          <w:color w:val="000000" w:themeColor="text1"/>
          <w14:textFill>
            <w14:solidFill>
              <w14:schemeClr w14:val="tx1"/>
            </w14:solidFill>
          </w14:textFill>
        </w:rPr>
        <w:t>27556.8</w:t>
      </w:r>
      <w:r>
        <w:rPr>
          <w:color w:val="000000" w:themeColor="text1"/>
          <w14:textFill>
            <w14:solidFill>
              <w14:schemeClr w14:val="tx1"/>
            </w14:solidFill>
          </w14:textFill>
        </w:rPr>
        <w:t>万元</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建设“</w:t>
      </w:r>
      <w:r>
        <w:rPr>
          <w:rFonts w:hint="eastAsia"/>
          <w:color w:val="000000" w:themeColor="text1"/>
          <w14:textFill>
            <w14:solidFill>
              <w14:schemeClr w14:val="tx1"/>
            </w14:solidFill>
          </w14:textFill>
        </w:rPr>
        <w:t>黄檗山万福寺旅游公路</w:t>
      </w:r>
      <w:r>
        <w:rPr>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项目的建设对于改善万福寺及沿线交通出行条件、整合旅游资源、完善交通网络、缓解交通压力等都具有重要的作用。</w:t>
      </w:r>
      <w:bookmarkEnd w:id="9"/>
    </w:p>
    <w:p w14:paraId="46F1593E">
      <w:pPr>
        <w:ind w:firstLine="480"/>
        <w:rPr>
          <w:color w:val="000000" w:themeColor="text1"/>
          <w:u w:val="single"/>
          <w14:textFill>
            <w14:solidFill>
              <w14:schemeClr w14:val="tx1"/>
            </w14:solidFill>
          </w14:textFill>
        </w:rPr>
      </w:pPr>
      <w:r>
        <w:rPr>
          <w:rFonts w:hint="eastAsia"/>
          <w:color w:val="000000" w:themeColor="text1"/>
          <w14:textFill>
            <w14:solidFill>
              <w14:schemeClr w14:val="tx1"/>
            </w14:solidFill>
          </w14:textFill>
        </w:rPr>
        <w:t>黄檗山万福寺旅游公路：路线起于上迳镇牌边村，东西走向，自东向西下穿在建福厦高铁、上跨沈海高速，经溪北、木厝洋、三落厝后，终点至黄檗山万福寺。路线全长5.</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km，其中桥梁589.5m/2座（含终点接线桥</w:t>
      </w:r>
      <w:r>
        <w:rPr>
          <w:color w:val="000000" w:themeColor="text1"/>
          <w14:textFill>
            <w14:solidFill>
              <w14:schemeClr w14:val="tx1"/>
            </w14:solidFill>
          </w14:textFill>
        </w:rPr>
        <w:t>37</w:t>
      </w:r>
      <w:r>
        <w:rPr>
          <w:rFonts w:hint="eastAsia"/>
          <w:color w:val="000000" w:themeColor="text1"/>
          <w14:textFill>
            <w14:solidFill>
              <w14:schemeClr w14:val="tx1"/>
            </w14:solidFill>
          </w14:textFill>
        </w:rPr>
        <w:t>m/1座），涵洞</w:t>
      </w:r>
      <w:r>
        <w:rPr>
          <w:color w:val="000000" w:themeColor="text1"/>
          <w14:textFill>
            <w14:solidFill>
              <w14:schemeClr w14:val="tx1"/>
            </w14:solidFill>
          </w14:textFill>
        </w:rPr>
        <w:t>28</w:t>
      </w:r>
      <w:r>
        <w:rPr>
          <w:rFonts w:hint="eastAsia"/>
          <w:color w:val="000000" w:themeColor="text1"/>
          <w14:textFill>
            <w14:solidFill>
              <w14:schemeClr w14:val="tx1"/>
            </w14:solidFill>
          </w14:textFill>
        </w:rPr>
        <w:t>道，拟按设计速度60km/h、路基宽12m、双向二车道的二级公路标准建设。其中①下穿福厦高铁段落（K1+324.8-K1+389.8，双向四车道）已由铁四院设计；②考虑到远期交通量（远景拓宽需求）需求，</w:t>
      </w:r>
      <w:r>
        <w:rPr>
          <w:rFonts w:hint="eastAsia"/>
          <w:color w:val="000000" w:themeColor="text1"/>
          <w:u w:val="single"/>
          <w14:textFill>
            <w14:solidFill>
              <w14:schemeClr w14:val="tx1"/>
            </w14:solidFill>
          </w14:textFill>
        </w:rPr>
        <w:t xml:space="preserve">上跨沈海高速桥梁段落拟按宽 </w:t>
      </w:r>
      <w:r>
        <w:rPr>
          <w:color w:val="000000" w:themeColor="text1"/>
          <w:u w:val="single"/>
          <w14:textFill>
            <w14:solidFill>
              <w14:schemeClr w14:val="tx1"/>
            </w14:solidFill>
          </w14:textFill>
        </w:rPr>
        <w:t>18.5</w:t>
      </w:r>
      <w:r>
        <w:rPr>
          <w:rFonts w:hint="eastAsia"/>
          <w:color w:val="000000" w:themeColor="text1"/>
          <w:u w:val="single"/>
          <w14:textFill>
            <w14:solidFill>
              <w14:schemeClr w14:val="tx1"/>
            </w14:solidFill>
          </w14:textFill>
        </w:rPr>
        <w:t>m（双幅桥）、设计速度60km/h、双向四车道的二级公路标准建设。</w:t>
      </w:r>
    </w:p>
    <w:p w14:paraId="00F17F78">
      <w:pPr>
        <w:ind w:firstLine="48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特别说明：（1）根据</w:t>
      </w:r>
      <w:r>
        <w:rPr>
          <w:rFonts w:eastAsia="仿宋_GB2312" w:cs="Times New Roman"/>
          <w:color w:val="000000" w:themeColor="text1"/>
          <w:lang w:val="zh-CN"/>
          <w14:textFill>
            <w14:solidFill>
              <w14:schemeClr w14:val="tx1"/>
            </w14:solidFill>
          </w14:textFill>
        </w:rPr>
        <w:t>福清市发展和改革局出具《关于黄檗山万福寺旅游公路项目4建议书暨可行性研究报告的批复》（</w:t>
      </w:r>
      <w:r>
        <w:rPr>
          <w:rFonts w:hint="eastAsia" w:eastAsia="仿宋_GB2312" w:cs="Times New Roman"/>
          <w:color w:val="000000" w:themeColor="text1"/>
          <w:lang w:val="zh-CN"/>
          <w14:textFill>
            <w14:solidFill>
              <w14:schemeClr w14:val="tx1"/>
            </w14:solidFill>
          </w14:textFill>
        </w:rPr>
        <w:t>〔2023〕850号</w:t>
      </w:r>
      <w:r>
        <w:rPr>
          <w:rFonts w:eastAsia="仿宋_GB2312" w:cs="Times New Roman"/>
          <w:color w:val="000000" w:themeColor="text1"/>
          <w:lang w:val="zh-CN"/>
          <w14:textFill>
            <w14:solidFill>
              <w14:schemeClr w14:val="tx1"/>
            </w14:solidFill>
          </w14:textFill>
        </w:rPr>
        <w:t>），项目工程规模：</w:t>
      </w:r>
      <w:r>
        <w:rPr>
          <w:rFonts w:eastAsia="仿宋_GB2312" w:cs="Times New Roman"/>
          <w:kern w:val="0"/>
          <w:szCs w:val="24"/>
          <w:lang w:val="zh-CN"/>
        </w:rPr>
        <w:t>道路全长5425m</w:t>
      </w:r>
      <w:r>
        <w:rPr>
          <w:rFonts w:hint="eastAsia" w:eastAsia="仿宋_GB2312" w:cs="Times New Roman"/>
          <w:kern w:val="0"/>
          <w:szCs w:val="24"/>
          <w:lang w:val="zh-CN"/>
        </w:rPr>
        <w:t>，公路等级为二级公路，结合</w:t>
      </w:r>
      <w:r>
        <w:rPr>
          <w:rFonts w:eastAsia="仿宋_GB2312" w:cs="Times New Roman"/>
          <w:b/>
          <w:bCs/>
          <w:kern w:val="0"/>
          <w:szCs w:val="24"/>
          <w:u w:val="single"/>
          <w:lang w:val="zh-CN"/>
        </w:rPr>
        <w:t>初步设计</w:t>
      </w:r>
      <w:r>
        <w:rPr>
          <w:rFonts w:hint="eastAsia" w:eastAsia="仿宋_GB2312" w:cs="Times New Roman"/>
          <w:b/>
          <w:bCs/>
          <w:kern w:val="0"/>
          <w:szCs w:val="24"/>
          <w:u w:val="single"/>
          <w:lang w:val="zh-CN"/>
        </w:rPr>
        <w:t>（初步设计批复详见附件3）</w:t>
      </w:r>
      <w:r>
        <w:rPr>
          <w:rFonts w:eastAsia="仿宋_GB2312" w:cs="Times New Roman"/>
          <w:b/>
          <w:bCs/>
          <w:kern w:val="0"/>
          <w:szCs w:val="24"/>
          <w:u w:val="single"/>
          <w:lang w:val="zh-CN"/>
        </w:rPr>
        <w:t>、施工图</w:t>
      </w:r>
      <w:r>
        <w:rPr>
          <w:rFonts w:hint="eastAsia" w:eastAsia="仿宋_GB2312" w:cs="Times New Roman"/>
          <w:b/>
          <w:bCs/>
          <w:kern w:val="0"/>
          <w:szCs w:val="24"/>
          <w:u w:val="single"/>
          <w:lang w:val="zh-CN"/>
        </w:rPr>
        <w:t>设计等材料，</w:t>
      </w:r>
      <w:r>
        <w:rPr>
          <w:rFonts w:eastAsia="仿宋_GB2312" w:cs="Times New Roman"/>
          <w:kern w:val="0"/>
          <w:szCs w:val="24"/>
          <w:lang w:val="zh-CN"/>
        </w:rPr>
        <w:t>施工图实际建设内容在工可基础上</w:t>
      </w:r>
      <w:r>
        <w:rPr>
          <w:rFonts w:hint="eastAsia" w:eastAsia="仿宋_GB2312" w:cs="Times New Roman"/>
          <w:kern w:val="0"/>
          <w:szCs w:val="24"/>
          <w:lang w:val="zh-CN"/>
        </w:rPr>
        <w:t>进一步深化</w:t>
      </w:r>
      <w:r>
        <w:rPr>
          <w:rFonts w:eastAsia="仿宋_GB2312" w:cs="Times New Roman"/>
          <w:kern w:val="0"/>
          <w:szCs w:val="24"/>
          <w:lang w:val="zh-CN"/>
        </w:rPr>
        <w:t>，</w:t>
      </w:r>
      <w:r>
        <w:rPr>
          <w:rFonts w:hint="eastAsia" w:eastAsia="仿宋_GB2312" w:cs="Times New Roman"/>
          <w:kern w:val="0"/>
          <w:szCs w:val="24"/>
          <w:lang w:val="zh-CN"/>
        </w:rPr>
        <w:t>项目长度为5</w:t>
      </w:r>
      <w:r>
        <w:rPr>
          <w:rFonts w:eastAsia="仿宋_GB2312" w:cs="Times New Roman"/>
          <w:kern w:val="0"/>
          <w:szCs w:val="24"/>
          <w:lang w:val="zh-CN"/>
        </w:rPr>
        <w:t>.0</w:t>
      </w:r>
      <w:r>
        <w:rPr>
          <w:rFonts w:hint="eastAsia" w:eastAsia="仿宋_GB2312" w:cs="Times New Roman"/>
          <w:kern w:val="0"/>
          <w:szCs w:val="24"/>
          <w:lang w:val="zh-CN"/>
        </w:rPr>
        <w:t>km</w:t>
      </w:r>
      <w:r>
        <w:rPr>
          <w:rFonts w:eastAsia="仿宋_GB2312" w:cs="Times New Roman"/>
          <w:kern w:val="0"/>
          <w:szCs w:val="24"/>
          <w:lang w:val="zh-CN"/>
        </w:rPr>
        <w:t>，本次评价工程量以施工图</w:t>
      </w:r>
      <w:r>
        <w:rPr>
          <w:rFonts w:hint="eastAsia" w:eastAsia="仿宋_GB2312" w:cs="Times New Roman"/>
          <w:kern w:val="0"/>
          <w:szCs w:val="24"/>
          <w:lang w:val="zh-CN"/>
        </w:rPr>
        <w:t>设计</w:t>
      </w:r>
      <w:r>
        <w:rPr>
          <w:rFonts w:eastAsia="仿宋_GB2312" w:cs="Times New Roman"/>
          <w:kern w:val="0"/>
          <w:szCs w:val="24"/>
          <w:lang w:val="zh-CN"/>
        </w:rPr>
        <w:t>开展环境影响评价。</w:t>
      </w:r>
    </w:p>
    <w:p w14:paraId="4617025A">
      <w:pPr>
        <w:ind w:firstLine="480"/>
        <w:rPr>
          <w:rFonts w:eastAsia="仿宋_GB2312" w:cs="Times New Roman"/>
          <w:color w:val="000000" w:themeColor="text1"/>
          <w14:textFill>
            <w14:solidFill>
              <w14:schemeClr w14:val="tx1"/>
            </w14:solidFill>
          </w14:textFill>
        </w:rPr>
      </w:pPr>
      <w:r>
        <w:rPr>
          <w:rFonts w:eastAsia="仿宋_GB2312" w:cs="Times New Roman"/>
          <w:color w:val="000000" w:themeColor="text1"/>
          <w14:textFill>
            <w14:solidFill>
              <w14:schemeClr w14:val="tx1"/>
            </w14:solidFill>
          </w14:textFill>
        </w:rPr>
        <w:t>（2）项目黄檗山万福寺旅游公路涉及一段下穿福厦高铁（本项目桩号K1+324.8-K1+389.8），该段工程2022年单独立项设计，该段由铁四院设计，建设规模为：项目起点位于福厦高铁迳江大桥东侧340m，终点至福厦高铁迳江大桥西侧80m，全长420m（其中桩板桥桥长65m），路基宽度8.5m（其中下穿铁路段路基宽度17.5m），路面宽度16m。2022年取得可行性研究报告暨初步设计批复：《关于G324国道至黄檗文化旅游园区旅游公路下穿福厦高铁段项目可行性研究报告暨初步设计的批复》（融发改审批</w:t>
      </w:r>
      <w:r>
        <w:rPr>
          <w:rStyle w:val="126"/>
          <w:rFonts w:eastAsia="仿宋_GB2312" w:cs="Times New Roman"/>
          <w:color w:val="000000" w:themeColor="text1"/>
          <w14:textFill>
            <w14:solidFill>
              <w14:schemeClr w14:val="tx1"/>
            </w14:solidFill>
          </w14:textFill>
        </w:rPr>
        <w:t>〔</w:t>
      </w:r>
      <w:r>
        <w:rPr>
          <w:rFonts w:eastAsia="仿宋_GB2312" w:cs="Times New Roman"/>
          <w:color w:val="000000" w:themeColor="text1"/>
          <w14:textFill>
            <w14:solidFill>
              <w14:schemeClr w14:val="tx1"/>
            </w14:solidFill>
          </w14:textFill>
        </w:rPr>
        <w:t>2022〕202号），项目</w:t>
      </w:r>
      <w:r>
        <w:rPr>
          <w:rFonts w:eastAsia="仿宋_GB2312" w:cs="Times New Roman"/>
          <w:color w:val="000000" w:themeColor="text1"/>
          <w:kern w:val="0"/>
          <w:szCs w:val="24"/>
          <w:lang w:val="zh-CN"/>
          <w14:textFill>
            <w14:solidFill>
              <w14:schemeClr w14:val="tx1"/>
            </w14:solidFill>
          </w14:textFill>
        </w:rPr>
        <w:t>编码：2203-350181-04-01-304528</w:t>
      </w:r>
      <w:r>
        <w:rPr>
          <w:rFonts w:eastAsia="仿宋_GB2312" w:cs="Times New Roman"/>
          <w:color w:val="000000" w:themeColor="text1"/>
          <w14:textFill>
            <w14:solidFill>
              <w14:schemeClr w14:val="tx1"/>
            </w14:solidFill>
          </w14:textFill>
        </w:rPr>
        <w:t>，2022年委托我公司编制该项目环评，2023年取得报告表批复，批文号：榕融环评〔2023〕102号。根据现状调查，该工程</w:t>
      </w:r>
      <w:bookmarkStart w:id="13" w:name="_Hlk193878342"/>
      <w:r>
        <w:rPr>
          <w:rFonts w:eastAsia="仿宋_GB2312" w:cs="Times New Roman"/>
          <w:color w:val="000000" w:themeColor="text1"/>
          <w14:textFill>
            <w14:solidFill>
              <w14:schemeClr w14:val="tx1"/>
            </w14:solidFill>
          </w14:textFill>
        </w:rPr>
        <w:t>K1+324.8~K1+389.8</w:t>
      </w:r>
      <w:bookmarkEnd w:id="13"/>
      <w:r>
        <w:rPr>
          <w:rFonts w:eastAsia="仿宋_GB2312" w:cs="Times New Roman"/>
          <w:color w:val="000000" w:themeColor="text1"/>
          <w14:textFill>
            <w14:solidFill>
              <w14:schemeClr w14:val="tx1"/>
            </w14:solidFill>
          </w14:textFill>
        </w:rPr>
        <w:t>段（65m的桩板桥）已完成施工，K1+030~K1+324.8段已完成路基及边坡防护工程，路面未完成。</w:t>
      </w:r>
    </w:p>
    <w:p w14:paraId="2DC1258F">
      <w:pPr>
        <w:ind w:firstLine="482"/>
        <w:rPr>
          <w:rFonts w:eastAsia="仿宋_GB2312" w:cs="Times New Roman"/>
          <w:b/>
          <w:bCs/>
          <w:color w:val="000000" w:themeColor="text1"/>
          <w14:textFill>
            <w14:solidFill>
              <w14:schemeClr w14:val="tx1"/>
            </w14:solidFill>
          </w14:textFill>
        </w:rPr>
      </w:pPr>
      <w:r>
        <w:rPr>
          <w:rFonts w:eastAsia="仿宋_GB2312" w:cs="Times New Roman"/>
          <w:b/>
          <w:bCs/>
          <w:color w:val="000000" w:themeColor="text1"/>
          <w14:textFill>
            <w14:solidFill>
              <w14:schemeClr w14:val="tx1"/>
            </w14:solidFill>
          </w14:textFill>
        </w:rPr>
        <w:t>对于K1+324.8~K1+389.8段已完成施工的路段，本项目利用；对于K1+030~K1+324.8段现状路基已实施（路面尚未实施），但该</w:t>
      </w:r>
      <w:r>
        <w:rPr>
          <w:rFonts w:hint="eastAsia" w:eastAsia="仿宋_GB2312" w:cs="Times New Roman"/>
          <w:b/>
          <w:bCs/>
          <w:color w:val="000000" w:themeColor="text1"/>
          <w14:textFill>
            <w14:solidFill>
              <w14:schemeClr w14:val="tx1"/>
            </w14:solidFill>
          </w14:textFill>
        </w:rPr>
        <w:t>路段</w:t>
      </w:r>
      <w:r>
        <w:rPr>
          <w:rFonts w:eastAsia="仿宋_GB2312" w:cs="Times New Roman"/>
          <w:b/>
          <w:bCs/>
          <w:color w:val="000000" w:themeColor="text1"/>
          <w14:textFill>
            <w14:solidFill>
              <w14:schemeClr w14:val="tx1"/>
            </w14:solidFill>
          </w14:textFill>
        </w:rPr>
        <w:t>标准断面宽度为8.5m，不满足本项目标准断面宽度12m的需求的，本项目对其进行拓宽改造。</w:t>
      </w:r>
    </w:p>
    <w:p w14:paraId="79EAA94D">
      <w:pPr>
        <w:pStyle w:val="116"/>
        <w:rPr>
          <w:color w:val="000000" w:themeColor="text1"/>
          <w14:textFill>
            <w14:solidFill>
              <w14:schemeClr w14:val="tx1"/>
            </w14:solidFill>
          </w14:textFill>
        </w:rPr>
      </w:pPr>
      <w:bookmarkStart w:id="14" w:name="_Toc193912352"/>
      <w:bookmarkStart w:id="15" w:name="_Toc13349"/>
      <w:bookmarkStart w:id="16" w:name="_Toc159405446"/>
      <w:r>
        <w:rPr>
          <w:color w:val="000000" w:themeColor="text1"/>
          <w14:textFill>
            <w14:solidFill>
              <w14:schemeClr w14:val="tx1"/>
            </w14:solidFill>
          </w14:textFill>
        </w:rPr>
        <w:t>环境影响评价的工作过程</w:t>
      </w:r>
      <w:bookmarkEnd w:id="14"/>
      <w:bookmarkEnd w:id="15"/>
      <w:bookmarkEnd w:id="16"/>
    </w:p>
    <w:p w14:paraId="06F68DB2">
      <w:pPr>
        <w:ind w:firstLine="480"/>
        <w:rPr>
          <w:rFonts w:cs="Times New Roman"/>
          <w:color w:val="000000" w:themeColor="text1"/>
          <w:szCs w:val="24"/>
          <w14:textFill>
            <w14:solidFill>
              <w14:schemeClr w14:val="tx1"/>
            </w14:solidFill>
          </w14:textFill>
        </w:rPr>
      </w:pPr>
      <w:r>
        <w:rPr>
          <w:rFonts w:hint="eastAsia"/>
          <w:color w:val="000000" w:themeColor="text1"/>
          <w:kern w:val="24"/>
          <w14:textFill>
            <w14:solidFill>
              <w14:schemeClr w14:val="tx1"/>
            </w14:solidFill>
          </w14:textFill>
        </w:rPr>
        <w:t>根据《建设项目环境影响评价分类管理名录》（2</w:t>
      </w:r>
      <w:r>
        <w:rPr>
          <w:color w:val="000000" w:themeColor="text1"/>
          <w:kern w:val="24"/>
          <w14:textFill>
            <w14:solidFill>
              <w14:schemeClr w14:val="tx1"/>
            </w14:solidFill>
          </w14:textFill>
        </w:rPr>
        <w:t>021</w:t>
      </w:r>
      <w:r>
        <w:rPr>
          <w:rFonts w:hint="eastAsia"/>
          <w:color w:val="000000" w:themeColor="text1"/>
          <w:kern w:val="24"/>
          <w14:textFill>
            <w14:solidFill>
              <w14:schemeClr w14:val="tx1"/>
            </w14:solidFill>
          </w14:textFill>
        </w:rPr>
        <w:t>版），</w:t>
      </w:r>
      <w:r>
        <w:rPr>
          <w:rFonts w:cs="Times New Roman"/>
          <w:color w:val="000000" w:themeColor="text1"/>
          <w:szCs w:val="24"/>
          <w14:textFill>
            <w14:solidFill>
              <w14:schemeClr w14:val="tx1"/>
            </w14:solidFill>
          </w14:textFill>
        </w:rPr>
        <w:t>本项目主线公路等级为二级公路，</w:t>
      </w:r>
      <w:r>
        <w:rPr>
          <w:rFonts w:hint="eastAsia"/>
          <w:color w:val="000000" w:themeColor="text1"/>
          <w:kern w:val="24"/>
          <w14:textFill>
            <w14:solidFill>
              <w14:schemeClr w14:val="tx1"/>
            </w14:solidFill>
          </w14:textFill>
        </w:rPr>
        <w:t>沿线涉及以居住为主要功能的环境敏感区，属于“五十二、交通运输业、管道运输业</w:t>
      </w:r>
      <w:r>
        <w:rPr>
          <w:rFonts w:hint="eastAsia"/>
          <w:color w:val="000000" w:themeColor="text1"/>
          <w14:textFill>
            <w14:solidFill>
              <w14:schemeClr w14:val="tx1"/>
            </w14:solidFill>
          </w14:textFill>
        </w:rPr>
        <w:t>——130等级公路——新建涉及环境敏感区的二级及以上等级公路”，应该编制环境影响评价报告书</w:t>
      </w:r>
      <w:r>
        <w:rPr>
          <w:color w:val="000000" w:themeColor="text1"/>
          <w14:textFill>
            <w14:solidFill>
              <w14:schemeClr w14:val="tx1"/>
            </w14:solidFill>
          </w14:textFill>
        </w:rPr>
        <w:t>。</w:t>
      </w:r>
    </w:p>
    <w:p w14:paraId="1377E387">
      <w:pPr>
        <w:pStyle w:val="87"/>
        <w:spacing w:before="120"/>
        <w:ind w:left="480" w:firstLine="480"/>
        <w:rPr>
          <w:color w:val="000000" w:themeColor="text1"/>
          <w14:textFill>
            <w14:solidFill>
              <w14:schemeClr w14:val="tx1"/>
            </w14:solidFill>
          </w14:textFill>
        </w:rPr>
      </w:pPr>
      <w:bookmarkStart w:id="17" w:name="_Ref512584048"/>
      <w:r>
        <w:rPr>
          <w:rFonts w:hint="eastAsia"/>
          <w:color w:val="000000" w:themeColor="text1"/>
          <w14:textFill>
            <w14:solidFill>
              <w14:schemeClr w14:val="tx1"/>
            </w14:solidFill>
          </w14:textFill>
        </w:rPr>
        <w:t>建设项目环境影响评价分类管理名录</w:t>
      </w:r>
      <w:bookmarkEnd w:id="17"/>
    </w:p>
    <w:tbl>
      <w:tblPr>
        <w:tblStyle w:val="53"/>
        <w:tblW w:w="5000" w:type="pct"/>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68"/>
        <w:gridCol w:w="2320"/>
        <w:gridCol w:w="726"/>
        <w:gridCol w:w="724"/>
        <w:gridCol w:w="3048"/>
      </w:tblGrid>
      <w:tr w14:paraId="71560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329" w:type="pct"/>
            <w:tcBorders>
              <w:top w:val="single" w:color="auto" w:sz="12" w:space="0"/>
              <w:left w:val="nil"/>
              <w:bottom w:val="single" w:color="auto" w:sz="4" w:space="0"/>
              <w:tl2br w:val="single" w:color="auto" w:sz="4" w:space="0"/>
            </w:tcBorders>
            <w:shd w:val="clear" w:color="auto" w:fill="auto"/>
            <w:vAlign w:val="center"/>
          </w:tcPr>
          <w:p w14:paraId="6BD65B51">
            <w:pPr>
              <w:pStyle w:val="105"/>
              <w:ind w:firstLine="105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环评类别</w:t>
            </w:r>
          </w:p>
          <w:p w14:paraId="682E62F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tc>
        <w:tc>
          <w:tcPr>
            <w:tcW w:w="1249" w:type="pct"/>
            <w:tcBorders>
              <w:top w:val="single" w:color="auto" w:sz="12" w:space="0"/>
              <w:bottom w:val="single" w:color="auto" w:sz="4" w:space="0"/>
            </w:tcBorders>
            <w:shd w:val="clear" w:color="auto" w:fill="D9E2F3"/>
            <w:vAlign w:val="center"/>
          </w:tcPr>
          <w:p w14:paraId="36FE611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报告书</w:t>
            </w:r>
          </w:p>
        </w:tc>
        <w:tc>
          <w:tcPr>
            <w:tcW w:w="391" w:type="pct"/>
            <w:tcBorders>
              <w:top w:val="single" w:color="auto" w:sz="12" w:space="0"/>
              <w:bottom w:val="single" w:color="auto" w:sz="4" w:space="0"/>
            </w:tcBorders>
            <w:shd w:val="clear" w:color="auto" w:fill="auto"/>
            <w:vAlign w:val="center"/>
          </w:tcPr>
          <w:p w14:paraId="53FFA12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报告表</w:t>
            </w:r>
          </w:p>
        </w:tc>
        <w:tc>
          <w:tcPr>
            <w:tcW w:w="390" w:type="pct"/>
            <w:tcBorders>
              <w:top w:val="single" w:color="auto" w:sz="12" w:space="0"/>
              <w:bottom w:val="single" w:color="auto" w:sz="4" w:space="0"/>
            </w:tcBorders>
            <w:shd w:val="clear" w:color="auto" w:fill="auto"/>
            <w:vAlign w:val="center"/>
          </w:tcPr>
          <w:p w14:paraId="421D85F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登记表</w:t>
            </w:r>
          </w:p>
        </w:tc>
        <w:tc>
          <w:tcPr>
            <w:tcW w:w="1641" w:type="pct"/>
            <w:tcBorders>
              <w:top w:val="single" w:color="auto" w:sz="12" w:space="0"/>
              <w:bottom w:val="single" w:color="auto" w:sz="4" w:space="0"/>
              <w:right w:val="nil"/>
            </w:tcBorders>
            <w:shd w:val="clear" w:color="auto" w:fill="auto"/>
            <w:vAlign w:val="center"/>
          </w:tcPr>
          <w:p w14:paraId="2C1D8B7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环境敏感区含义</w:t>
            </w:r>
          </w:p>
        </w:tc>
      </w:tr>
      <w:tr w14:paraId="33CDB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5"/>
            <w:tcBorders>
              <w:left w:val="nil"/>
              <w:right w:val="nil"/>
            </w:tcBorders>
            <w:shd w:val="clear" w:color="auto" w:fill="auto"/>
            <w:vAlign w:val="center"/>
          </w:tcPr>
          <w:p w14:paraId="2864170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五十二、交通运输业、管道运输业</w:t>
            </w:r>
          </w:p>
        </w:tc>
      </w:tr>
      <w:tr w14:paraId="6E5AA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329" w:type="pct"/>
            <w:tcBorders>
              <w:left w:val="nil"/>
              <w:bottom w:val="single" w:color="auto" w:sz="12" w:space="0"/>
            </w:tcBorders>
            <w:shd w:val="clear" w:color="auto" w:fill="auto"/>
            <w:vAlign w:val="center"/>
          </w:tcPr>
          <w:p w14:paraId="232DD019">
            <w:pPr>
              <w:pStyle w:val="105"/>
              <w:rPr>
                <w:color w:val="000000" w:themeColor="text1"/>
                <w14:textFill>
                  <w14:solidFill>
                    <w14:schemeClr w14:val="tx1"/>
                  </w14:solidFill>
                </w14:textFill>
              </w:rPr>
            </w:pPr>
            <w:r>
              <w:rPr>
                <w:color w:val="000000" w:themeColor="text1"/>
                <w14:textFill>
                  <w14:solidFill>
                    <w14:schemeClr w14:val="tx1"/>
                  </w14:solidFill>
                </w14:textFill>
              </w:rPr>
              <w:t>130</w:t>
            </w:r>
            <w:r>
              <w:rPr>
                <w:rFonts w:hint="eastAsia"/>
                <w:color w:val="000000" w:themeColor="text1"/>
                <w14:textFill>
                  <w14:solidFill>
                    <w14:schemeClr w14:val="tx1"/>
                  </w14:solidFill>
                </w14:textFill>
              </w:rPr>
              <w:t>等级公路（不含维护；不含生命救援、应急保通工程以及国防交通保障项目；不含改扩建四级公路）</w:t>
            </w:r>
          </w:p>
        </w:tc>
        <w:tc>
          <w:tcPr>
            <w:tcW w:w="1249" w:type="pct"/>
            <w:tcBorders>
              <w:bottom w:val="single" w:color="auto" w:sz="12" w:space="0"/>
            </w:tcBorders>
            <w:shd w:val="clear" w:color="auto" w:fill="D9E2F3"/>
            <w:vAlign w:val="center"/>
          </w:tcPr>
          <w:p w14:paraId="02F1DA1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新建30公里（不含）以上的二级及以上等级公路；新建涉及环境敏感区的二级及以上等级公路</w:t>
            </w:r>
          </w:p>
        </w:tc>
        <w:tc>
          <w:tcPr>
            <w:tcW w:w="391" w:type="pct"/>
            <w:tcBorders>
              <w:bottom w:val="single" w:color="auto" w:sz="12" w:space="0"/>
            </w:tcBorders>
            <w:shd w:val="clear" w:color="auto" w:fill="auto"/>
            <w:vAlign w:val="center"/>
          </w:tcPr>
          <w:p w14:paraId="5894E43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其他</w:t>
            </w:r>
          </w:p>
        </w:tc>
        <w:tc>
          <w:tcPr>
            <w:tcW w:w="390" w:type="pct"/>
            <w:tcBorders>
              <w:bottom w:val="single" w:color="auto" w:sz="12" w:space="0"/>
            </w:tcBorders>
            <w:shd w:val="clear" w:color="auto" w:fill="auto"/>
            <w:vAlign w:val="center"/>
          </w:tcPr>
          <w:p w14:paraId="2C9B1E2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641" w:type="pct"/>
            <w:tcBorders>
              <w:bottom w:val="single" w:color="auto" w:sz="12" w:space="0"/>
              <w:right w:val="nil"/>
            </w:tcBorders>
            <w:shd w:val="clear" w:color="auto" w:fill="auto"/>
            <w:vAlign w:val="center"/>
          </w:tcPr>
          <w:p w14:paraId="08034CD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第三条（一）中的全部区域；第三条（二）中的除（一）外的生态保护红线管控范围，永久基本农田、森林公园、地质公园、重要湿地、天然林；第三条（三）中的全部区域</w:t>
            </w:r>
          </w:p>
        </w:tc>
      </w:tr>
    </w:tbl>
    <w:p w14:paraId="6E59CB20">
      <w:pPr>
        <w:pStyle w:val="124"/>
        <w:rPr>
          <w:color w:val="000000" w:themeColor="text1"/>
          <w14:textFill>
            <w14:solidFill>
              <w14:schemeClr w14:val="tx1"/>
            </w14:solidFill>
          </w14:textFill>
        </w:rPr>
      </w:pPr>
      <w:bookmarkStart w:id="18" w:name="_Hlk90112802"/>
      <w:r>
        <w:rPr>
          <w:rFonts w:hint="eastAsia"/>
          <w:color w:val="000000" w:themeColor="text1"/>
          <w14:textFill>
            <w14:solidFill>
              <w14:schemeClr w14:val="tx1"/>
            </w14:solidFill>
          </w14:textFill>
        </w:rPr>
        <w:t>为此，福清市交通建设投资集团有限公司</w:t>
      </w:r>
      <w:r>
        <w:rPr>
          <w:color w:val="000000" w:themeColor="text1"/>
          <w14:textFill>
            <w14:solidFill>
              <w14:schemeClr w14:val="tx1"/>
            </w14:solidFill>
          </w14:textFill>
        </w:rPr>
        <w:t>于</w:t>
      </w:r>
      <w:bookmarkStart w:id="19" w:name="_Hlk81983045"/>
      <w:r>
        <w:rPr>
          <w:color w:val="000000" w:themeColor="text1"/>
          <w14:textFill>
            <w14:solidFill>
              <w14:schemeClr w14:val="tx1"/>
            </w14:solidFill>
          </w14:textFill>
        </w:rPr>
        <w:t>2025年1月</w:t>
      </w:r>
      <w:bookmarkEnd w:id="19"/>
      <w:r>
        <w:rPr>
          <w:color w:val="000000" w:themeColor="text1"/>
          <w14:textFill>
            <w14:solidFill>
              <w14:schemeClr w14:val="tx1"/>
            </w14:solidFill>
          </w14:textFill>
        </w:rPr>
        <w:t>10</w:t>
      </w:r>
      <w:r>
        <w:rPr>
          <w:rFonts w:hint="eastAsia"/>
          <w:color w:val="000000" w:themeColor="text1"/>
          <w14:textFill>
            <w14:solidFill>
              <w14:schemeClr w14:val="tx1"/>
            </w14:solidFill>
          </w14:textFill>
        </w:rPr>
        <w:t>日委托我公司开展该项目的环境影响评价工作（详见附件1：委托书）。</w:t>
      </w:r>
      <w:bookmarkEnd w:id="18"/>
      <w:r>
        <w:rPr>
          <w:rFonts w:hint="eastAsia"/>
          <w:color w:val="000000" w:themeColor="text1"/>
          <w14:textFill>
            <w14:solidFill>
              <w14:schemeClr w14:val="tx1"/>
            </w14:solidFill>
          </w14:textFill>
        </w:rPr>
        <w:t>我公司接受委托后，组织相关人员进行现场踏勘，收集相关资料及调查研究。根据项目建设性质、规模和项目所在地周围区域环境特征，进行项目环境影响因素识别、污染因子筛选和开展工程分析，对项目产生的主要环境影响进行了预测和评价，并提出针对性的环境影响减缓对策与措施，制定环境管理与监测计划，得出本项目环评结论。</w:t>
      </w:r>
    </w:p>
    <w:p w14:paraId="09474C68">
      <w:pPr>
        <w:ind w:firstLine="480"/>
        <w:rPr>
          <w:color w:val="000000" w:themeColor="text1"/>
          <w14:textFill>
            <w14:solidFill>
              <w14:schemeClr w14:val="tx1"/>
            </w14:solidFill>
          </w14:textFill>
        </w:rPr>
      </w:pPr>
      <w:r>
        <w:rPr>
          <w:color w:val="000000" w:themeColor="text1"/>
          <w14:textFill>
            <w14:solidFill>
              <w14:schemeClr w14:val="tx1"/>
            </w14:solidFill>
          </w14:textFill>
        </w:rPr>
        <w:t>本次环评主要分以下几个阶段：</w:t>
      </w:r>
    </w:p>
    <w:p w14:paraId="6C40E3FC">
      <w:pPr>
        <w:ind w:firstLine="480"/>
        <w:rPr>
          <w:color w:val="000000" w:themeColor="text1"/>
          <w14:textFill>
            <w14:solidFill>
              <w14:schemeClr w14:val="tx1"/>
            </w14:solidFill>
          </w14:textFill>
        </w:rPr>
      </w:pPr>
      <w:r>
        <w:rPr>
          <w:color w:val="000000" w:themeColor="text1"/>
          <w14:textFill>
            <w14:solidFill>
              <w14:schemeClr w14:val="tx1"/>
            </w14:solidFill>
          </w14:textFill>
        </w:rPr>
        <w:t>第一阶段：评价单位接受项目环境影响评价委托后，根据业主提供工可、</w:t>
      </w:r>
      <w:r>
        <w:rPr>
          <w:rFonts w:hint="eastAsia"/>
          <w:color w:val="000000" w:themeColor="text1"/>
          <w14:textFill>
            <w14:solidFill>
              <w14:schemeClr w14:val="tx1"/>
            </w14:solidFill>
          </w14:textFill>
        </w:rPr>
        <w:t>初步</w:t>
      </w:r>
      <w:r>
        <w:rPr>
          <w:color w:val="000000" w:themeColor="text1"/>
          <w14:textFill>
            <w14:solidFill>
              <w14:schemeClr w14:val="tx1"/>
            </w14:solidFill>
          </w14:textFill>
        </w:rPr>
        <w:t>设计</w:t>
      </w:r>
      <w:r>
        <w:rPr>
          <w:rFonts w:hint="eastAsia"/>
          <w:color w:val="000000" w:themeColor="text1"/>
          <w14:textFill>
            <w14:solidFill>
              <w14:schemeClr w14:val="tx1"/>
            </w14:solidFill>
          </w14:textFill>
        </w:rPr>
        <w:t>、施工图</w:t>
      </w:r>
      <w:r>
        <w:rPr>
          <w:color w:val="000000" w:themeColor="text1"/>
          <w14:textFill>
            <w14:solidFill>
              <w14:schemeClr w14:val="tx1"/>
            </w14:solidFill>
          </w14:textFill>
        </w:rPr>
        <w:t>及</w:t>
      </w:r>
      <w:r>
        <w:rPr>
          <w:rFonts w:hint="eastAsia"/>
          <w:color w:val="000000" w:themeColor="text1"/>
          <w14:textFill>
            <w14:solidFill>
              <w14:schemeClr w14:val="tx1"/>
            </w14:solidFill>
          </w14:textFill>
        </w:rPr>
        <w:t>其他</w:t>
      </w:r>
      <w:r>
        <w:rPr>
          <w:color w:val="000000" w:themeColor="text1"/>
          <w14:textFill>
            <w14:solidFill>
              <w14:schemeClr w14:val="tx1"/>
            </w14:solidFill>
          </w14:textFill>
        </w:rPr>
        <w:t>相关设计资料，先确定项目是否符合国家和地方有关法规、政策及相关规划，判定项目的环境影响评价类型；进行初步的工程分析，识别环境影响因素、筛选评价因子，明确评价重点、环境保护目标，确定评价工作等级、评价范围和标准。</w:t>
      </w:r>
    </w:p>
    <w:p w14:paraId="75349D79">
      <w:pPr>
        <w:ind w:firstLine="480"/>
        <w:rPr>
          <w:color w:val="000000" w:themeColor="text1"/>
          <w14:textFill>
            <w14:solidFill>
              <w14:schemeClr w14:val="tx1"/>
            </w14:solidFill>
          </w14:textFill>
        </w:rPr>
      </w:pPr>
      <w:r>
        <w:rPr>
          <w:color w:val="000000" w:themeColor="text1"/>
          <w14:textFill>
            <w14:solidFill>
              <w14:schemeClr w14:val="tx1"/>
            </w14:solidFill>
          </w14:textFill>
        </w:rPr>
        <w:t>第二阶段：进行评价范围内的环境状况调查、监测与评价，了解环境现状情况；进行详细的工程分析，确定各污染因素</w:t>
      </w:r>
      <w:bookmarkStart w:id="20" w:name="hmcheck_a9820839a06b4ef8a2c9c53e51ccd934"/>
      <w:r>
        <w:rPr>
          <w:color w:val="000000" w:themeColor="text1"/>
          <w:shd w:val="clear" w:fill="FFAFAA"/>
          <w14:textFill>
            <w14:solidFill>
              <w14:schemeClr w14:val="tx1"/>
            </w14:solidFill>
          </w14:textFill>
        </w:rPr>
        <w:t>污染源强</w:t>
      </w:r>
      <w:bookmarkEnd w:id="20"/>
      <w:r>
        <w:rPr>
          <w:color w:val="000000" w:themeColor="text1"/>
          <w14:textFill>
            <w14:solidFill>
              <w14:schemeClr w14:val="tx1"/>
            </w14:solidFill>
          </w14:textFill>
        </w:rPr>
        <w:t>，然后进行各环境要素影响预测与评价、各专题环境影响分析与评价。</w:t>
      </w:r>
    </w:p>
    <w:p w14:paraId="6B41A57C">
      <w:pPr>
        <w:ind w:firstLine="480"/>
        <w:rPr>
          <w:color w:val="000000" w:themeColor="text1"/>
          <w14:textFill>
            <w14:solidFill>
              <w14:schemeClr w14:val="tx1"/>
            </w14:solidFill>
          </w14:textFill>
        </w:rPr>
      </w:pPr>
      <w:r>
        <w:rPr>
          <w:color w:val="000000" w:themeColor="text1"/>
          <w14:textFill>
            <w14:solidFill>
              <w14:schemeClr w14:val="tx1"/>
            </w14:solidFill>
          </w14:textFill>
        </w:rPr>
        <w:t>第三阶段：对项目已采取的环保措施及存在的问题进行分析，对项目拟采取环保措施进行技术经济论证，给出项目环境可行结论。</w:t>
      </w:r>
      <w:r>
        <w:rPr>
          <w:rFonts w:hint="eastAsia"/>
          <w:color w:val="000000" w:themeColor="text1"/>
          <w14:textFill>
            <w14:solidFill>
              <w14:schemeClr w14:val="tx1"/>
            </w14:solidFill>
          </w14:textFill>
        </w:rPr>
        <w:t>在此基础上，编制完成了《黄檗山万福寺旅游公路环境影响报告书</w:t>
      </w:r>
      <w:bookmarkStart w:id="21" w:name="hmcheck_0a307b13673e4e4a8a2d02a1c78aeac0"/>
      <w:r>
        <w:rPr>
          <w:rFonts w:hint="eastAsia"/>
          <w:color w:val="000000" w:themeColor="text1"/>
          <w:shd w:val="clear" w:fill="FFAFAA"/>
          <w14:textFill>
            <w14:solidFill>
              <w14:schemeClr w14:val="tx1"/>
            </w14:solidFill>
          </w14:textFill>
        </w:rPr>
        <w:t>》（送审稿）</w:t>
      </w:r>
      <w:bookmarkEnd w:id="21"/>
      <w:r>
        <w:rPr>
          <w:rFonts w:hint="eastAsia"/>
          <w:color w:val="000000" w:themeColor="text1"/>
          <w14:textFill>
            <w14:solidFill>
              <w14:schemeClr w14:val="tx1"/>
            </w14:solidFill>
          </w14:textFill>
        </w:rPr>
        <w:t>，供建设单位上报福州市生态环境局审批。</w:t>
      </w:r>
    </w:p>
    <w:p w14:paraId="74E86AE1">
      <w:pPr>
        <w:ind w:firstLine="480"/>
        <w:rPr>
          <w:color w:val="000000" w:themeColor="text1"/>
          <w14:textFill>
            <w14:solidFill>
              <w14:schemeClr w14:val="tx1"/>
            </w14:solidFill>
          </w14:textFill>
        </w:rPr>
      </w:pPr>
      <w:bookmarkStart w:id="22" w:name="_Hlk90113016"/>
      <w:r>
        <w:rPr>
          <w:color w:val="000000" w:themeColor="text1"/>
          <w14:textFill>
            <w14:solidFill>
              <w14:schemeClr w14:val="tx1"/>
            </w14:solidFill>
          </w14:textFill>
        </w:rPr>
        <w:t>具体评价过程见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_Ref509255735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图1.2-1</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091A575E">
      <w:pPr>
        <w:pStyle w:val="105"/>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59450" cy="5573395"/>
            <wp:effectExtent l="19050" t="19050" r="12700" b="27305"/>
            <wp:docPr id="47" name="图片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
                    <pic:cNvPicPr>
                      <a:picLocks noChangeAspect="1" noChangeArrowheads="1"/>
                    </pic:cNvPicPr>
                  </pic:nvPicPr>
                  <pic:blipFill>
                    <a:blip r:embed="rId38" cstate="email"/>
                    <a:srcRect l="2774" t="5074" r="4990" b="2803"/>
                    <a:stretch>
                      <a:fillRect/>
                    </a:stretch>
                  </pic:blipFill>
                  <pic:spPr>
                    <a:xfrm>
                      <a:off x="0" y="0"/>
                      <a:ext cx="5759450" cy="5573802"/>
                    </a:xfrm>
                    <a:prstGeom prst="rect">
                      <a:avLst/>
                    </a:prstGeom>
                    <a:noFill/>
                    <a:ln w="6350" cmpd="sng">
                      <a:solidFill>
                        <a:srgbClr val="000000"/>
                      </a:solidFill>
                      <a:miter lim="800000"/>
                      <a:headEnd/>
                      <a:tailEnd/>
                    </a:ln>
                    <a:effectLst/>
                  </pic:spPr>
                </pic:pic>
              </a:graphicData>
            </a:graphic>
          </wp:inline>
        </w:drawing>
      </w:r>
    </w:p>
    <w:p w14:paraId="559665D8">
      <w:pPr>
        <w:pStyle w:val="122"/>
        <w:rPr>
          <w:color w:val="000000" w:themeColor="text1"/>
          <w14:textFill>
            <w14:solidFill>
              <w14:schemeClr w14:val="tx1"/>
            </w14:solidFill>
          </w14:textFill>
        </w:rPr>
      </w:pPr>
      <w:bookmarkStart w:id="23" w:name="_Ref509255735"/>
      <w:r>
        <w:rPr>
          <w:color w:val="000000" w:themeColor="text1"/>
          <w14:textFill>
            <w14:solidFill>
              <w14:schemeClr w14:val="tx1"/>
            </w14:solidFill>
          </w14:textFill>
        </w:rPr>
        <w:t>评价工作程序</w:t>
      </w:r>
      <w:bookmarkEnd w:id="23"/>
    </w:p>
    <w:bookmarkEnd w:id="22"/>
    <w:p w14:paraId="40767652">
      <w:pPr>
        <w:pStyle w:val="116"/>
        <w:rPr>
          <w:color w:val="000000" w:themeColor="text1"/>
          <w14:textFill>
            <w14:solidFill>
              <w14:schemeClr w14:val="tx1"/>
            </w14:solidFill>
          </w14:textFill>
        </w:rPr>
      </w:pPr>
      <w:bookmarkStart w:id="24" w:name="_Toc159405447"/>
      <w:bookmarkStart w:id="25" w:name="_Toc924"/>
      <w:bookmarkStart w:id="26" w:name="_Toc193912353"/>
      <w:r>
        <w:rPr>
          <w:color w:val="000000" w:themeColor="text1"/>
          <w14:textFill>
            <w14:solidFill>
              <w14:schemeClr w14:val="tx1"/>
            </w14:solidFill>
          </w14:textFill>
        </w:rPr>
        <w:t>分析判定相关情况</w:t>
      </w:r>
      <w:bookmarkEnd w:id="24"/>
      <w:bookmarkEnd w:id="25"/>
      <w:bookmarkEnd w:id="26"/>
    </w:p>
    <w:p w14:paraId="00C19571">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产业政策符合性判定</w:t>
      </w:r>
    </w:p>
    <w:p w14:paraId="32497123">
      <w:pPr>
        <w:pStyle w:val="67"/>
        <w:tabs>
          <w:tab w:val="left" w:pos="1451"/>
        </w:tabs>
        <w:ind w:firstLine="476"/>
        <w:rPr>
          <w:rFonts w:ascii="Times New Roman" w:hAnsi="Times New Roman" w:cs="Times New Roman"/>
          <w:color w:val="000000" w:themeColor="text1"/>
          <w:spacing w:val="-2"/>
          <w:szCs w:val="24"/>
          <w14:textFill>
            <w14:solidFill>
              <w14:schemeClr w14:val="tx1"/>
            </w14:solidFill>
          </w14:textFill>
        </w:rPr>
      </w:pPr>
      <w:r>
        <w:rPr>
          <w:rFonts w:hint="eastAsia" w:ascii="Times New Roman" w:hAnsi="Times New Roman" w:cs="Times New Roman"/>
          <w:color w:val="000000" w:themeColor="text1"/>
          <w:spacing w:val="-2"/>
          <w:szCs w:val="24"/>
          <w14:textFill>
            <w14:solidFill>
              <w14:schemeClr w14:val="tx1"/>
            </w14:solidFill>
          </w14:textFill>
        </w:rPr>
        <w:t>本项目为旅游公路，设计等级为二级公路，不属于《产业结构调整指导目录（2</w:t>
      </w:r>
      <w:r>
        <w:rPr>
          <w:rFonts w:ascii="Times New Roman" w:hAnsi="Times New Roman" w:cs="Times New Roman"/>
          <w:color w:val="000000" w:themeColor="text1"/>
          <w:spacing w:val="-2"/>
          <w:szCs w:val="24"/>
          <w14:textFill>
            <w14:solidFill>
              <w14:schemeClr w14:val="tx1"/>
            </w14:solidFill>
          </w14:textFill>
        </w:rPr>
        <w:t>024</w:t>
      </w:r>
      <w:r>
        <w:rPr>
          <w:rFonts w:hint="eastAsia" w:ascii="Times New Roman" w:hAnsi="Times New Roman" w:cs="Times New Roman"/>
          <w:color w:val="000000" w:themeColor="text1"/>
          <w:spacing w:val="-2"/>
          <w:szCs w:val="24"/>
          <w14:textFill>
            <w14:solidFill>
              <w14:schemeClr w14:val="tx1"/>
            </w14:solidFill>
          </w14:textFill>
        </w:rPr>
        <w:t>年）》中限制类、淘汰类，工程的建设符合国家产业政策。</w:t>
      </w:r>
    </w:p>
    <w:p w14:paraId="76D35CEB">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“三线一单”生态环境分区管控方案的符合性</w:t>
      </w:r>
    </w:p>
    <w:p w14:paraId="573E7B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（1）生态保护红线</w:t>
      </w:r>
    </w:p>
    <w:p w14:paraId="0471E57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经核对及叠图分析，项目永久占地和临时占地均不涉及基本农田和生态保护红线，不会造成生态保护红线生态功能降低、面积减少、性质的改变，对生态红线区域环境影响较小，不会改变其生态功能。202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 xml:space="preserve"> 年</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19</w:t>
      </w:r>
      <w:r>
        <w:rPr>
          <w:rFonts w:hint="eastAsia"/>
          <w:color w:val="000000" w:themeColor="text1"/>
          <w14:textFill>
            <w14:solidFill>
              <w14:schemeClr w14:val="tx1"/>
            </w14:solidFill>
          </w14:textFill>
        </w:rPr>
        <w:t>日，项目已取得用地预审和选址意见书（用字第</w:t>
      </w:r>
      <w:r>
        <w:rPr>
          <w:rFonts w:cs="Times New Roman"/>
          <w:color w:val="000000" w:themeColor="text1"/>
          <w:kern w:val="0"/>
          <w:szCs w:val="24"/>
          <w:lang w:val="zh-CN"/>
          <w14:textFill>
            <w14:solidFill>
              <w14:schemeClr w14:val="tx1"/>
            </w14:solidFill>
          </w14:textFill>
        </w:rPr>
        <w:t>350181202400085</w:t>
      </w:r>
      <w:r>
        <w:rPr>
          <w:rFonts w:hint="eastAsia"/>
          <w:color w:val="000000" w:themeColor="text1"/>
          <w14:textFill>
            <w14:solidFill>
              <w14:schemeClr w14:val="tx1"/>
            </w14:solidFill>
          </w14:textFill>
        </w:rPr>
        <w:t>号）（附件</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），202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日，福建省林业局批复了使用林地审核同意书（</w:t>
      </w:r>
      <w:r>
        <w:rPr>
          <w:rFonts w:cs="Times New Roman"/>
          <w:color w:val="000000" w:themeColor="text1"/>
          <w:kern w:val="0"/>
          <w:szCs w:val="24"/>
          <w:lang w:val="zh-CN"/>
          <w14:textFill>
            <w14:solidFill>
              <w14:schemeClr w14:val="tx1"/>
            </w14:solidFill>
          </w14:textFill>
        </w:rPr>
        <w:t>闽林地审</w:t>
      </w:r>
      <w:r>
        <w:rPr>
          <w:rFonts w:hint="eastAsia" w:cs="Times New Roman"/>
          <w:color w:val="000000" w:themeColor="text1"/>
          <w:kern w:val="0"/>
          <w:szCs w:val="24"/>
          <w:lang w:val="zh-CN"/>
          <w14:textFill>
            <w14:solidFill>
              <w14:schemeClr w14:val="tx1"/>
            </w14:solidFill>
          </w14:textFill>
        </w:rPr>
        <w:t>〔2024〕251号</w:t>
      </w:r>
      <w:r>
        <w:rPr>
          <w:rFonts w:hint="eastAsia"/>
          <w:color w:val="000000" w:themeColor="text1"/>
          <w14:textFill>
            <w14:solidFill>
              <w14:schemeClr w14:val="tx1"/>
            </w14:solidFill>
          </w14:textFill>
        </w:rPr>
        <w:t>）（附件</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），同意本项目使用林地。</w:t>
      </w:r>
    </w:p>
    <w:p w14:paraId="41589C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因此，本项目符合生态红线管控要求。</w:t>
      </w:r>
    </w:p>
    <w:p w14:paraId="71AB15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（2）环境质量底线</w:t>
      </w:r>
    </w:p>
    <w:p w14:paraId="217B87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所在区域现状大气环境和声环境质量现状均符合相应环境功能区划要求。本工程施工期生活污水利用当地居民排水系统处理不外排，施工期生产废水均处理达标后回用；运营期路面径流通过设置径流收集系统等，预防及减缓路面径流的排放对地表水体的影响。项目建设对地表水环境质量影响不大，不会导致径江水环境变差。</w:t>
      </w:r>
    </w:p>
    <w:p w14:paraId="3783C50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不涉及自然保护区、风景名胜区、生态保护红线、水源保护区等敏感区域，工程均位于环境空气二类功能区范围内，通过采取一系列环保和环境风险防范措施后，项目施工建设，对区域环境空气影响不大，能够符合环境空气功能区划要求。本项目为旅游公路，设计等级为二级，项目建成后，公路两侧高于3层楼的临街建筑物或低于3层楼交通干线边界线外</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m以内面向公路一侧区域划为4a类标准适用区域，执行《声环境质量标准》（GB3096-2008）中的4a类标准，其余区域为2类标准适用区；评价范围内的学校、医院等特殊敏感建筑执行昼间60dB，夜间50dB。项目施工建设和运营会对声环境敏感目标造成一定的影响，在采取了相应的对策措施后，能够满足区域声环境功能要求。因此，本工程实施能满足环境质量底线控制要求。</w:t>
      </w:r>
    </w:p>
    <w:p w14:paraId="007F6B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（3）资源利用</w:t>
      </w:r>
      <w:bookmarkStart w:id="27" w:name="hmcheck_3e4732826ee149938e486ecd9f3a6632"/>
      <w:r>
        <w:rPr>
          <w:rFonts w:hint="eastAsia"/>
          <w:color w:val="000000" w:themeColor="text1"/>
          <w:shd w:val="clear" w:fill="FFAFAA"/>
          <w14:textFill>
            <w14:solidFill>
              <w14:schemeClr w14:val="tx1"/>
            </w14:solidFill>
          </w14:textFill>
        </w:rPr>
        <w:t>上线</w:t>
      </w:r>
      <w:bookmarkEnd w:id="27"/>
    </w:p>
    <w:p w14:paraId="4AB8A0E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本项目施工过程中消耗一定量的水、电及建筑材料，所涉及的区域资源主要为土地资源。项目为公路建设项目，工程永久占地规模</w:t>
      </w:r>
      <w:r>
        <w:rPr>
          <w:color w:val="000000" w:themeColor="text1"/>
          <w14:textFill>
            <w14:solidFill>
              <w14:schemeClr w14:val="tx1"/>
            </w14:solidFill>
          </w14:textFill>
        </w:rPr>
        <w:t>14.6617</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，项目已取得用地预审和选址意见书（用字第</w:t>
      </w:r>
      <w:r>
        <w:rPr>
          <w:rFonts w:cs="Times New Roman"/>
          <w:color w:val="000000" w:themeColor="text1"/>
          <w:kern w:val="0"/>
          <w:szCs w:val="24"/>
          <w:lang w:val="zh-CN"/>
          <w14:textFill>
            <w14:solidFill>
              <w14:schemeClr w14:val="tx1"/>
            </w14:solidFill>
          </w14:textFill>
        </w:rPr>
        <w:t>350181202400085</w:t>
      </w:r>
      <w:r>
        <w:rPr>
          <w:rFonts w:hint="eastAsia"/>
          <w:color w:val="000000" w:themeColor="text1"/>
          <w14:textFill>
            <w14:solidFill>
              <w14:schemeClr w14:val="tx1"/>
            </w14:solidFill>
          </w14:textFill>
        </w:rPr>
        <w:t>号），工程占用农用地在对应村庄土地总面积中所占比例较小，建设单位通过采取相应的恢复治理措施、占补措施后，项目对沿线土地资源占用的影响较小。项目资源消耗量相对区域资源利用总量较少，符合资源利用</w:t>
      </w:r>
      <w:bookmarkStart w:id="28" w:name="hmcheck_5d807c3a1a804e669627eefc7a9654d9"/>
      <w:r>
        <w:rPr>
          <w:rFonts w:hint="eastAsia"/>
          <w:color w:val="000000" w:themeColor="text1"/>
          <w:shd w:val="clear" w:fill="FFAFAA"/>
          <w14:textFill>
            <w14:solidFill>
              <w14:schemeClr w14:val="tx1"/>
            </w14:solidFill>
          </w14:textFill>
        </w:rPr>
        <w:t>上线</w:t>
      </w:r>
      <w:bookmarkEnd w:id="28"/>
      <w:r>
        <w:rPr>
          <w:rFonts w:hint="eastAsia"/>
          <w:color w:val="000000" w:themeColor="text1"/>
          <w14:textFill>
            <w14:solidFill>
              <w14:schemeClr w14:val="tx1"/>
            </w14:solidFill>
          </w14:textFill>
        </w:rPr>
        <w:t>要求。</w:t>
      </w:r>
    </w:p>
    <w:p w14:paraId="46F668C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（4）生态环境准入清单</w:t>
      </w:r>
    </w:p>
    <w:p w14:paraId="17618A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本项目为公路建设项目，符合国家产业政策要求。工程不属于《重点生态功能区产业准入负面清单编制实施办法》和</w:t>
      </w:r>
      <w:bookmarkStart w:id="29" w:name="_Hlk149818927"/>
      <w:r>
        <w:rPr>
          <w:rFonts w:hint="eastAsia"/>
          <w:color w:val="000000" w:themeColor="text1"/>
          <w14:textFill>
            <w14:solidFill>
              <w14:schemeClr w14:val="tx1"/>
            </w14:solidFill>
          </w14:textFill>
        </w:rPr>
        <w:t>《市场准入负面清单（2022年版）》（发改体改规〔2022〕397号）</w:t>
      </w:r>
      <w:bookmarkEnd w:id="29"/>
      <w:r>
        <w:rPr>
          <w:rFonts w:hint="eastAsia"/>
          <w:color w:val="000000" w:themeColor="text1"/>
          <w14:textFill>
            <w14:solidFill>
              <w14:schemeClr w14:val="tx1"/>
            </w14:solidFill>
          </w14:textFill>
        </w:rPr>
        <w:t>中禁止或限制项目。</w:t>
      </w:r>
    </w:p>
    <w:p w14:paraId="2E2BE7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本项目路线及用地性质符合规划，不在区域负面清单内，符合环境准入要求。</w:t>
      </w:r>
    </w:p>
    <w:p w14:paraId="197B3F9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（5）小结</w:t>
      </w:r>
    </w:p>
    <w:p w14:paraId="579FF1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综上所述，本项目选址符合生态保护红线、环境质量底线及资源利用上线要求，且项目建设不在环境准入负面清单内，项目符合“三线一单”要求。</w:t>
      </w:r>
    </w:p>
    <w:p w14:paraId="7DBFBD44">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生态环境分区管控方案</w:t>
      </w:r>
    </w:p>
    <w:p w14:paraId="7AD24CFF">
      <w:pPr>
        <w:ind w:firstLine="480"/>
        <w:rPr>
          <w:rFonts w:cs="Times New Roman"/>
          <w:color w:val="000000" w:themeColor="text1"/>
          <w:spacing w:val="-6"/>
          <w:szCs w:val="24"/>
          <w14:textFill>
            <w14:solidFill>
              <w14:schemeClr w14:val="tx1"/>
            </w14:solidFill>
          </w14:textFill>
        </w:rPr>
      </w:pPr>
      <w:r>
        <w:rPr>
          <w:rFonts w:hint="eastAsia"/>
          <w:color w:val="000000" w:themeColor="text1"/>
          <w14:textFill>
            <w14:solidFill>
              <w14:schemeClr w14:val="tx1"/>
            </w14:solidFill>
          </w14:textFill>
        </w:rPr>
        <w:t>根据《福州市生态环境分区管控方案（2023年更新）》（榕政办规〔2024〕20号），经过叠图分析，项目涉及优先保护单元</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个，一般管控单元</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个，重点管控单元1个，分别为</w:t>
      </w:r>
      <w:r>
        <w:rPr>
          <w:rFonts w:hint="eastAsia" w:cs="Times New Roman"/>
          <w:color w:val="000000" w:themeColor="text1"/>
          <w:spacing w:val="-6"/>
          <w:szCs w:val="24"/>
          <w14:textFill>
            <w14:solidFill>
              <w14:schemeClr w14:val="tx1"/>
            </w14:solidFill>
          </w14:textFill>
        </w:rPr>
        <w:t>福清市一般生态空间－水土保持生态功能重要区域，福清市重点管控单元1，福清市一般管控单元。</w:t>
      </w:r>
    </w:p>
    <w:p w14:paraId="5E9B66B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经分析，本项目属于旅游公路（二级公路），符合国家产业政策要求，经对照生态环境分区管控方案的管控要求，项目所属行业、规划选址及环境保护措施等均满足准入基本条件。</w:t>
      </w:r>
    </w:p>
    <w:p w14:paraId="13ECD47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综上，本项目总体上能够符合福州市生态环境分区管控的管理要求。</w:t>
      </w:r>
    </w:p>
    <w:p w14:paraId="6A9C6F5A">
      <w:pPr>
        <w:ind w:firstLine="480"/>
        <w:rPr>
          <w:color w:val="000000" w:themeColor="text1"/>
          <w:highlight w:val="yellow"/>
          <w14:textFill>
            <w14:solidFill>
              <w14:schemeClr w14:val="tx1"/>
            </w14:solidFill>
          </w14:textFill>
        </w:rPr>
        <w:sectPr>
          <w:headerReference r:id="rId14" w:type="default"/>
          <w:footerReference r:id="rId15" w:type="default"/>
          <w:pgSz w:w="11906" w:h="16838"/>
          <w:pgMar w:top="1418" w:right="1418" w:bottom="1418" w:left="1418" w:header="851" w:footer="851" w:gutter="0"/>
          <w:pgNumType w:start="1"/>
          <w:cols w:space="425" w:num="1"/>
          <w:docGrid w:linePitch="326" w:charSpace="0"/>
        </w:sectPr>
      </w:pPr>
    </w:p>
    <w:p w14:paraId="2BE4E57A">
      <w:pPr>
        <w:pStyle w:val="87"/>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管控单元管控清单</w:t>
      </w:r>
    </w:p>
    <w:tbl>
      <w:tblPr>
        <w:tblStyle w:val="53"/>
        <w:tblW w:w="5062"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95"/>
        <w:gridCol w:w="717"/>
        <w:gridCol w:w="861"/>
        <w:gridCol w:w="7203"/>
        <w:gridCol w:w="4318"/>
      </w:tblGrid>
      <w:tr w14:paraId="62EF0E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84" w:hRule="atLeast"/>
          <w:tblHeader/>
        </w:trPr>
        <w:tc>
          <w:tcPr>
            <w:tcW w:w="450" w:type="pct"/>
            <w:shd w:val="clear" w:color="auto" w:fill="auto"/>
            <w:vAlign w:val="center"/>
          </w:tcPr>
          <w:p w14:paraId="562E1EC5">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环境管控单元名称</w:t>
            </w:r>
          </w:p>
        </w:tc>
        <w:tc>
          <w:tcPr>
            <w:tcW w:w="249" w:type="pct"/>
            <w:shd w:val="clear" w:color="auto" w:fill="auto"/>
            <w:vAlign w:val="center"/>
          </w:tcPr>
          <w:p w14:paraId="3A3862A4">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管控单元类别</w:t>
            </w:r>
          </w:p>
        </w:tc>
        <w:tc>
          <w:tcPr>
            <w:tcW w:w="2800" w:type="pct"/>
            <w:gridSpan w:val="2"/>
            <w:shd w:val="clear" w:color="auto" w:fill="auto"/>
            <w:vAlign w:val="center"/>
          </w:tcPr>
          <w:p w14:paraId="3E9A560A">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管控要求</w:t>
            </w:r>
          </w:p>
        </w:tc>
        <w:tc>
          <w:tcPr>
            <w:tcW w:w="1500" w:type="pct"/>
            <w:shd w:val="clear" w:color="auto" w:fill="auto"/>
            <w:vAlign w:val="center"/>
          </w:tcPr>
          <w:p w14:paraId="327A05CB">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符合性分析</w:t>
            </w:r>
          </w:p>
        </w:tc>
      </w:tr>
      <w:tr w14:paraId="35536B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028" w:hRule="atLeast"/>
        </w:trPr>
        <w:tc>
          <w:tcPr>
            <w:tcW w:w="450" w:type="pct"/>
            <w:vMerge w:val="restart"/>
            <w:shd w:val="clear" w:color="auto" w:fill="auto"/>
            <w:vAlign w:val="center"/>
          </w:tcPr>
          <w:p w14:paraId="0219A92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福清市一般生态空间－水土保持生态功能重要区域（</w:t>
            </w:r>
            <w:r>
              <w:rPr>
                <w:color w:val="000000" w:themeColor="text1"/>
                <w14:textFill>
                  <w14:solidFill>
                    <w14:schemeClr w14:val="tx1"/>
                  </w14:solidFill>
                </w14:textFill>
              </w:rPr>
              <w:t>ZH35018110008</w:t>
            </w:r>
            <w:r>
              <w:rPr>
                <w:rFonts w:hint="eastAsia"/>
                <w:color w:val="000000" w:themeColor="text1"/>
                <w14:textFill>
                  <w14:solidFill>
                    <w14:schemeClr w14:val="tx1"/>
                  </w14:solidFill>
                </w14:textFill>
              </w:rPr>
              <w:t>）</w:t>
            </w:r>
          </w:p>
        </w:tc>
        <w:tc>
          <w:tcPr>
            <w:tcW w:w="249" w:type="pct"/>
            <w:vMerge w:val="restart"/>
            <w:shd w:val="clear" w:color="auto" w:fill="auto"/>
            <w:vAlign w:val="center"/>
          </w:tcPr>
          <w:p w14:paraId="4BF13D9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优先保护单元</w:t>
            </w:r>
          </w:p>
        </w:tc>
        <w:tc>
          <w:tcPr>
            <w:tcW w:w="299" w:type="pct"/>
            <w:shd w:val="clear" w:color="auto" w:fill="auto"/>
            <w:vAlign w:val="center"/>
          </w:tcPr>
          <w:p w14:paraId="77409A7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空间布局约束</w:t>
            </w:r>
          </w:p>
        </w:tc>
        <w:tc>
          <w:tcPr>
            <w:tcW w:w="2501" w:type="pct"/>
            <w:shd w:val="clear" w:color="auto" w:fill="auto"/>
            <w:vAlign w:val="center"/>
          </w:tcPr>
          <w:p w14:paraId="34B120A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除落实一般生态空间的管控要求外，依据《福建省水土保持条例》（2022年）的相关要求进行管理。禁止行为：1.禁止在下列区域挖砂、取土、采石、挖土洗砂或者从事其他可能造成水土流失的活动：（1）小（1）型以上水库设计蓄水线以上、重要饮用水水源地一重山范围内的山坡地；（2）重点流域干流、一级支流两岸外延五百米或者一重山范围内；（3）铁路、公路两侧外延五十米范围内十度以上的山坡地。2.禁止在二十五度以上陡坡地和饮用水水源一级保护区的山坡地开垦种植农作物。3.禁止全坡面开垦、顺坡开垦耕种等不合理的开发生产活动。在水土流失重点治理区禁止皆伐和炼山整地。4.禁止开垦、开发、占用和破坏植物保护带。限制行为：1.在二十五度以上陡坡地种植经济林的，应当科学选择树种，合理确定规模，采取水土保持措施，防止造成水土流失。2.在水土流失重点预防区从事林业生产活动的，提倡实行择伐作业，控制炼山整地。</w:t>
            </w:r>
          </w:p>
        </w:tc>
        <w:tc>
          <w:tcPr>
            <w:tcW w:w="1500" w:type="pct"/>
            <w:shd w:val="clear" w:color="auto" w:fill="auto"/>
            <w:vAlign w:val="center"/>
          </w:tcPr>
          <w:p w14:paraId="7C62B29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公路建设项目，工程建设期间会造成一定的水土流失，但在积极落实各项水土保持措施的情况下，工程施工造成的水土流失是可以得到控制的。本项目已取得福清市水利局关于黄檗山万福寺旅游公路水土保持方案的批复融水利批〔2024〕128号。</w:t>
            </w:r>
          </w:p>
          <w:p w14:paraId="0A41B56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因此，项目在采取合理的防护和恢复措施后，不会对该管控单元的水土保持功能造成影响。</w:t>
            </w:r>
          </w:p>
        </w:tc>
      </w:tr>
      <w:tr w14:paraId="691624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1" w:hRule="atLeast"/>
        </w:trPr>
        <w:tc>
          <w:tcPr>
            <w:tcW w:w="450" w:type="pct"/>
            <w:vMerge w:val="continue"/>
            <w:shd w:val="clear" w:color="auto" w:fill="auto"/>
            <w:vAlign w:val="center"/>
          </w:tcPr>
          <w:p w14:paraId="165F1F85">
            <w:pPr>
              <w:pStyle w:val="105"/>
              <w:ind w:left="-72" w:leftChars="-30" w:right="-72" w:rightChars="-30"/>
              <w:rPr>
                <w:color w:val="000000" w:themeColor="text1"/>
                <w:szCs w:val="21"/>
                <w14:textFill>
                  <w14:solidFill>
                    <w14:schemeClr w14:val="tx1"/>
                  </w14:solidFill>
                </w14:textFill>
              </w:rPr>
            </w:pPr>
          </w:p>
        </w:tc>
        <w:tc>
          <w:tcPr>
            <w:tcW w:w="249" w:type="pct"/>
            <w:vMerge w:val="continue"/>
            <w:shd w:val="clear" w:color="auto" w:fill="auto"/>
            <w:vAlign w:val="center"/>
          </w:tcPr>
          <w:p w14:paraId="2C9EC2B1">
            <w:pPr>
              <w:pStyle w:val="105"/>
              <w:ind w:left="-72" w:leftChars="-30" w:right="-72" w:rightChars="-30"/>
              <w:rPr>
                <w:color w:val="000000" w:themeColor="text1"/>
                <w:szCs w:val="21"/>
                <w14:textFill>
                  <w14:solidFill>
                    <w14:schemeClr w14:val="tx1"/>
                  </w14:solidFill>
                </w14:textFill>
              </w:rPr>
            </w:pPr>
          </w:p>
        </w:tc>
        <w:tc>
          <w:tcPr>
            <w:tcW w:w="299" w:type="pct"/>
            <w:shd w:val="clear" w:color="auto" w:fill="auto"/>
            <w:vAlign w:val="center"/>
          </w:tcPr>
          <w:p w14:paraId="36D8BD2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资源开发效率要求</w:t>
            </w:r>
          </w:p>
        </w:tc>
        <w:tc>
          <w:tcPr>
            <w:tcW w:w="2501" w:type="pct"/>
            <w:shd w:val="clear" w:color="auto" w:fill="auto"/>
            <w:vAlign w:val="center"/>
          </w:tcPr>
          <w:p w14:paraId="60232C9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高污染燃料禁燃区内禁止燃用高污染燃料，禁止新建、扩建燃用高污染燃料的设施。已建的燃用高污染燃料设施，限期改用电、天然气、液化石油气等清洁能源。</w:t>
            </w:r>
          </w:p>
        </w:tc>
        <w:tc>
          <w:tcPr>
            <w:tcW w:w="1500" w:type="pct"/>
            <w:shd w:val="clear" w:color="auto" w:fill="auto"/>
            <w:vAlign w:val="center"/>
          </w:tcPr>
          <w:p w14:paraId="7E3DCF6C">
            <w:pPr>
              <w:pStyle w:val="105"/>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符合。本项目属于公路建设项目，不涉及使用高污染燃料的设施</w:t>
            </w:r>
          </w:p>
        </w:tc>
      </w:tr>
      <w:tr w14:paraId="5C92618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450" w:type="pct"/>
            <w:vMerge w:val="restart"/>
            <w:shd w:val="clear" w:color="auto" w:fill="auto"/>
            <w:vAlign w:val="center"/>
          </w:tcPr>
          <w:p w14:paraId="1EBCE96D">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福清市重点管控单元1（</w:t>
            </w:r>
            <w:r>
              <w:rPr>
                <w:color w:val="000000" w:themeColor="text1"/>
                <w:szCs w:val="21"/>
                <w14:textFill>
                  <w14:solidFill>
                    <w14:schemeClr w14:val="tx1"/>
                  </w14:solidFill>
                </w14:textFill>
              </w:rPr>
              <w:t>ZH35018120008</w:t>
            </w:r>
            <w:r>
              <w:rPr>
                <w:rFonts w:hint="eastAsia"/>
                <w:color w:val="000000" w:themeColor="text1"/>
                <w:szCs w:val="21"/>
                <w14:textFill>
                  <w14:solidFill>
                    <w14:schemeClr w14:val="tx1"/>
                  </w14:solidFill>
                </w14:textFill>
              </w:rPr>
              <w:t>）</w:t>
            </w:r>
          </w:p>
        </w:tc>
        <w:tc>
          <w:tcPr>
            <w:tcW w:w="249" w:type="pct"/>
            <w:vMerge w:val="restart"/>
            <w:shd w:val="clear" w:color="auto" w:fill="auto"/>
            <w:vAlign w:val="center"/>
          </w:tcPr>
          <w:p w14:paraId="1ADEBDD6">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重点管控单元</w:t>
            </w:r>
          </w:p>
        </w:tc>
        <w:tc>
          <w:tcPr>
            <w:tcW w:w="299" w:type="pct"/>
            <w:shd w:val="clear" w:color="auto" w:fill="auto"/>
            <w:vAlign w:val="center"/>
          </w:tcPr>
          <w:p w14:paraId="3FD9EF6D">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空间布局约束</w:t>
            </w:r>
          </w:p>
        </w:tc>
        <w:tc>
          <w:tcPr>
            <w:tcW w:w="2501" w:type="pct"/>
            <w:shd w:val="clear" w:color="auto" w:fill="auto"/>
            <w:vAlign w:val="center"/>
          </w:tcPr>
          <w:p w14:paraId="1B5CCFE4">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严禁在城镇人口密集区新建危险化学品生产企业；现有不符合安全和卫生防护距离要求的危险化学品生产企业2025年底前完成就地改造达标、搬迁进入规范化工园区或关闭退出。城市建成区内现有有色金属、印染、原料药制造、化工等污染较重的企业应有序搬迁改造或依法关闭。2.严格控制包装印刷、工业涂装、制鞋等高VOCs排放的项目建设，相关新建项目必须进入工业园区。3.禁止开发利用未经评估和无害化处理的列入建设用地污染地块名录及开发利用负面清单的土地。</w:t>
            </w:r>
          </w:p>
        </w:tc>
        <w:tc>
          <w:tcPr>
            <w:tcW w:w="1500" w:type="pct"/>
            <w:shd w:val="clear" w:color="auto" w:fill="auto"/>
            <w:vAlign w:val="center"/>
          </w:tcPr>
          <w:p w14:paraId="4B7BADA2">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p w14:paraId="11A3BE80">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本项目属于公路建设项目，不涉及以上空间布局。</w:t>
            </w:r>
          </w:p>
        </w:tc>
      </w:tr>
      <w:tr w14:paraId="3E4264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450" w:type="pct"/>
            <w:vMerge w:val="continue"/>
            <w:shd w:val="clear" w:color="auto" w:fill="auto"/>
            <w:vAlign w:val="center"/>
          </w:tcPr>
          <w:p w14:paraId="30D6B6F0">
            <w:pPr>
              <w:pStyle w:val="105"/>
              <w:ind w:left="-72" w:leftChars="-30" w:right="-72" w:rightChars="-30"/>
              <w:rPr>
                <w:color w:val="000000" w:themeColor="text1"/>
                <w:szCs w:val="21"/>
                <w14:textFill>
                  <w14:solidFill>
                    <w14:schemeClr w14:val="tx1"/>
                  </w14:solidFill>
                </w14:textFill>
              </w:rPr>
            </w:pPr>
          </w:p>
        </w:tc>
        <w:tc>
          <w:tcPr>
            <w:tcW w:w="249" w:type="pct"/>
            <w:vMerge w:val="continue"/>
            <w:shd w:val="clear" w:color="auto" w:fill="auto"/>
            <w:vAlign w:val="center"/>
          </w:tcPr>
          <w:p w14:paraId="7560DA73">
            <w:pPr>
              <w:pStyle w:val="105"/>
              <w:ind w:left="-72" w:leftChars="-30" w:right="-72" w:rightChars="-30"/>
              <w:rPr>
                <w:color w:val="000000" w:themeColor="text1"/>
                <w:szCs w:val="21"/>
                <w14:textFill>
                  <w14:solidFill>
                    <w14:schemeClr w14:val="tx1"/>
                  </w14:solidFill>
                </w14:textFill>
              </w:rPr>
            </w:pPr>
          </w:p>
        </w:tc>
        <w:tc>
          <w:tcPr>
            <w:tcW w:w="299" w:type="pct"/>
            <w:shd w:val="clear" w:color="auto" w:fill="auto"/>
            <w:vAlign w:val="center"/>
          </w:tcPr>
          <w:p w14:paraId="0CF97BE7">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污染物排放管控</w:t>
            </w:r>
          </w:p>
        </w:tc>
        <w:tc>
          <w:tcPr>
            <w:tcW w:w="2501" w:type="pct"/>
            <w:shd w:val="clear" w:color="auto" w:fill="auto"/>
            <w:vAlign w:val="center"/>
          </w:tcPr>
          <w:p w14:paraId="4BDFCBAB">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落实新增二氧化硫、氮氧化物和VOCs排放总量控制要求。</w:t>
            </w:r>
          </w:p>
          <w:p w14:paraId="1A37E685">
            <w:pPr>
              <w:pStyle w:val="105"/>
              <w:ind w:left="-72" w:leftChars="-30" w:right="-72" w:rightChars="-30"/>
              <w:rPr>
                <w:color w:val="000000" w:themeColor="text1"/>
                <w:szCs w:val="21"/>
                <w14:textFill>
                  <w14:solidFill>
                    <w14:schemeClr w14:val="tx1"/>
                  </w14:solidFill>
                </w14:textFill>
              </w:rPr>
            </w:pPr>
          </w:p>
        </w:tc>
        <w:tc>
          <w:tcPr>
            <w:tcW w:w="1500" w:type="pct"/>
            <w:shd w:val="clear" w:color="auto" w:fill="auto"/>
            <w:vAlign w:val="center"/>
          </w:tcPr>
          <w:p w14:paraId="4B4AADB9">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p w14:paraId="617B58FC">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本项目属于公路建设项目，本身不排放污染物，不涉及以上污染物排放。</w:t>
            </w:r>
          </w:p>
        </w:tc>
      </w:tr>
      <w:tr w14:paraId="649D34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450" w:type="pct"/>
            <w:vMerge w:val="continue"/>
            <w:shd w:val="clear" w:color="auto" w:fill="auto"/>
            <w:vAlign w:val="center"/>
          </w:tcPr>
          <w:p w14:paraId="3EEE538F">
            <w:pPr>
              <w:pStyle w:val="105"/>
              <w:ind w:left="-72" w:leftChars="-30" w:right="-72" w:rightChars="-30"/>
              <w:rPr>
                <w:color w:val="000000" w:themeColor="text1"/>
                <w:szCs w:val="21"/>
                <w14:textFill>
                  <w14:solidFill>
                    <w14:schemeClr w14:val="tx1"/>
                  </w14:solidFill>
                </w14:textFill>
              </w:rPr>
            </w:pPr>
          </w:p>
        </w:tc>
        <w:tc>
          <w:tcPr>
            <w:tcW w:w="249" w:type="pct"/>
            <w:vMerge w:val="continue"/>
            <w:shd w:val="clear" w:color="auto" w:fill="auto"/>
            <w:vAlign w:val="center"/>
          </w:tcPr>
          <w:p w14:paraId="605209A7">
            <w:pPr>
              <w:pStyle w:val="105"/>
              <w:ind w:left="-72" w:leftChars="-30" w:right="-72" w:rightChars="-30"/>
              <w:rPr>
                <w:color w:val="000000" w:themeColor="text1"/>
                <w:szCs w:val="21"/>
                <w14:textFill>
                  <w14:solidFill>
                    <w14:schemeClr w14:val="tx1"/>
                  </w14:solidFill>
                </w14:textFill>
              </w:rPr>
            </w:pPr>
          </w:p>
        </w:tc>
        <w:tc>
          <w:tcPr>
            <w:tcW w:w="299" w:type="pct"/>
            <w:shd w:val="clear" w:color="auto" w:fill="auto"/>
            <w:vAlign w:val="center"/>
          </w:tcPr>
          <w:p w14:paraId="7AFD78C4">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环境风险防控</w:t>
            </w:r>
          </w:p>
        </w:tc>
        <w:tc>
          <w:tcPr>
            <w:tcW w:w="2501" w:type="pct"/>
            <w:shd w:val="clear" w:color="auto" w:fill="auto"/>
            <w:vAlign w:val="center"/>
          </w:tcPr>
          <w:p w14:paraId="1612A030">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单元内现有化学原料和化学制品制造业、有色金属冶炼和压延加工业等具有潜在土壤污染环境风险的企业退役后，应开展土壤环境状况评估，经评估认为污染地块可能损害人体健康和环境，应当进行修复的，由造成污染的单位和个人负责被污染土壤的修复。</w:t>
            </w:r>
          </w:p>
        </w:tc>
        <w:tc>
          <w:tcPr>
            <w:tcW w:w="1500" w:type="pct"/>
            <w:shd w:val="clear" w:color="auto" w:fill="auto"/>
            <w:vAlign w:val="center"/>
          </w:tcPr>
          <w:p w14:paraId="73553F52">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w:t>
            </w:r>
          </w:p>
          <w:p w14:paraId="09FC75B1">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本项目属于公路建设项目，不涉及以上环境风险行业。</w:t>
            </w:r>
          </w:p>
        </w:tc>
      </w:tr>
      <w:tr w14:paraId="4F883E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450" w:type="pct"/>
            <w:vMerge w:val="continue"/>
            <w:shd w:val="clear" w:color="auto" w:fill="auto"/>
            <w:vAlign w:val="center"/>
          </w:tcPr>
          <w:p w14:paraId="6C08B875">
            <w:pPr>
              <w:pStyle w:val="105"/>
              <w:ind w:left="-72" w:leftChars="-30" w:right="-72" w:rightChars="-30"/>
              <w:rPr>
                <w:color w:val="000000" w:themeColor="text1"/>
                <w:szCs w:val="21"/>
                <w14:textFill>
                  <w14:solidFill>
                    <w14:schemeClr w14:val="tx1"/>
                  </w14:solidFill>
                </w14:textFill>
              </w:rPr>
            </w:pPr>
          </w:p>
        </w:tc>
        <w:tc>
          <w:tcPr>
            <w:tcW w:w="249" w:type="pct"/>
            <w:vMerge w:val="continue"/>
            <w:shd w:val="clear" w:color="auto" w:fill="auto"/>
            <w:vAlign w:val="center"/>
          </w:tcPr>
          <w:p w14:paraId="4DA173D5">
            <w:pPr>
              <w:pStyle w:val="105"/>
              <w:ind w:left="-72" w:leftChars="-30" w:right="-72" w:rightChars="-30"/>
              <w:rPr>
                <w:color w:val="000000" w:themeColor="text1"/>
                <w:szCs w:val="21"/>
                <w14:textFill>
                  <w14:solidFill>
                    <w14:schemeClr w14:val="tx1"/>
                  </w14:solidFill>
                </w14:textFill>
              </w:rPr>
            </w:pPr>
          </w:p>
        </w:tc>
        <w:tc>
          <w:tcPr>
            <w:tcW w:w="299" w:type="pct"/>
            <w:shd w:val="clear" w:color="auto" w:fill="auto"/>
            <w:vAlign w:val="center"/>
          </w:tcPr>
          <w:p w14:paraId="3EEF062F">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资源开发效率要求</w:t>
            </w:r>
          </w:p>
        </w:tc>
        <w:tc>
          <w:tcPr>
            <w:tcW w:w="2501" w:type="pct"/>
            <w:shd w:val="clear" w:color="auto" w:fill="auto"/>
            <w:vAlign w:val="center"/>
          </w:tcPr>
          <w:p w14:paraId="103088F8">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高污染燃料禁燃区内禁止燃用高污染燃料，禁止新建、扩建燃用高污染燃料的设施。已建的燃用高污染燃料设施，限期改用电、天然气、液化石油气等清洁能源。</w:t>
            </w:r>
          </w:p>
        </w:tc>
        <w:tc>
          <w:tcPr>
            <w:tcW w:w="1500" w:type="pct"/>
            <w:shd w:val="clear" w:color="auto" w:fill="auto"/>
            <w:vAlign w:val="center"/>
          </w:tcPr>
          <w:p w14:paraId="57BF3E5A">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符合。本项目属于公路建设项目，不涉及使用高污染燃料的设施</w:t>
            </w:r>
          </w:p>
        </w:tc>
      </w:tr>
      <w:tr w14:paraId="1855AF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450" w:type="pct"/>
            <w:vMerge w:val="restart"/>
            <w:shd w:val="clear" w:color="auto" w:fill="auto"/>
            <w:vAlign w:val="center"/>
          </w:tcPr>
          <w:p w14:paraId="70DB2A3F">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福清市一般管控单元（</w:t>
            </w:r>
            <w:r>
              <w:rPr>
                <w:rFonts w:hint="eastAsia"/>
                <w:color w:val="000000" w:themeColor="text1"/>
                <w14:textFill>
                  <w14:solidFill>
                    <w14:schemeClr w14:val="tx1"/>
                  </w14:solidFill>
                </w14:textFill>
              </w:rPr>
              <w:t>ZH35018130001</w:t>
            </w:r>
            <w:r>
              <w:rPr>
                <w:rFonts w:hint="eastAsia"/>
                <w:color w:val="000000" w:themeColor="text1"/>
                <w:szCs w:val="21"/>
                <w14:textFill>
                  <w14:solidFill>
                    <w14:schemeClr w14:val="tx1"/>
                  </w14:solidFill>
                </w14:textFill>
              </w:rPr>
              <w:t>）</w:t>
            </w:r>
          </w:p>
        </w:tc>
        <w:tc>
          <w:tcPr>
            <w:tcW w:w="249" w:type="pct"/>
            <w:vMerge w:val="restart"/>
            <w:shd w:val="clear" w:color="auto" w:fill="auto"/>
            <w:vAlign w:val="center"/>
          </w:tcPr>
          <w:p w14:paraId="65DE4CD9">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一般管控单元</w:t>
            </w:r>
          </w:p>
        </w:tc>
        <w:tc>
          <w:tcPr>
            <w:tcW w:w="299" w:type="pct"/>
            <w:shd w:val="clear" w:color="auto" w:fill="auto"/>
            <w:vAlign w:val="center"/>
          </w:tcPr>
          <w:p w14:paraId="28BDA0C4">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空间布局约束</w:t>
            </w:r>
          </w:p>
        </w:tc>
        <w:tc>
          <w:tcPr>
            <w:tcW w:w="2501" w:type="pct"/>
            <w:shd w:val="clear" w:color="auto" w:fill="auto"/>
            <w:vAlign w:val="center"/>
          </w:tcPr>
          <w:p w14:paraId="46372399">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一般建设项目不得占用永久基本农田，重大建设项目选址确实难以避让永久基本农田的，必须依法依规办理。严禁通过擅自调整县乡国土空间规划，规避占用永久基本农田的审批。2.禁止随意砍伐防风固沙林和农田保护林。</w:t>
            </w:r>
          </w:p>
        </w:tc>
        <w:tc>
          <w:tcPr>
            <w:tcW w:w="1500" w:type="pct"/>
            <w:shd w:val="clear" w:color="auto" w:fill="auto"/>
            <w:vAlign w:val="center"/>
          </w:tcPr>
          <w:p w14:paraId="63FD098E">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符合。本项目永久占地和临时占地均不涉及永久基本农田。本项目已取得使用林地审核同意书。</w:t>
            </w:r>
          </w:p>
        </w:tc>
      </w:tr>
      <w:tr w14:paraId="545CD00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rPr>
        <w:tc>
          <w:tcPr>
            <w:tcW w:w="450" w:type="pct"/>
            <w:vMerge w:val="continue"/>
            <w:shd w:val="clear" w:color="auto" w:fill="auto"/>
            <w:vAlign w:val="center"/>
          </w:tcPr>
          <w:p w14:paraId="30147C73">
            <w:pPr>
              <w:pStyle w:val="105"/>
              <w:ind w:left="-72" w:leftChars="-30" w:right="-72" w:rightChars="-30"/>
              <w:rPr>
                <w:color w:val="000000" w:themeColor="text1"/>
                <w:szCs w:val="21"/>
                <w14:textFill>
                  <w14:solidFill>
                    <w14:schemeClr w14:val="tx1"/>
                  </w14:solidFill>
                </w14:textFill>
              </w:rPr>
            </w:pPr>
          </w:p>
        </w:tc>
        <w:tc>
          <w:tcPr>
            <w:tcW w:w="249" w:type="pct"/>
            <w:vMerge w:val="continue"/>
            <w:shd w:val="clear" w:color="auto" w:fill="auto"/>
            <w:vAlign w:val="center"/>
          </w:tcPr>
          <w:p w14:paraId="0E8BCD47">
            <w:pPr>
              <w:pStyle w:val="105"/>
              <w:ind w:left="-72" w:leftChars="-30" w:right="-72" w:rightChars="-30"/>
              <w:rPr>
                <w:color w:val="000000" w:themeColor="text1"/>
                <w:szCs w:val="21"/>
                <w14:textFill>
                  <w14:solidFill>
                    <w14:schemeClr w14:val="tx1"/>
                  </w14:solidFill>
                </w14:textFill>
              </w:rPr>
            </w:pPr>
          </w:p>
        </w:tc>
        <w:tc>
          <w:tcPr>
            <w:tcW w:w="299" w:type="pct"/>
            <w:shd w:val="clear" w:color="auto" w:fill="auto"/>
            <w:vAlign w:val="center"/>
          </w:tcPr>
          <w:p w14:paraId="36E2E0FF">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资源开发效率要求</w:t>
            </w:r>
          </w:p>
        </w:tc>
        <w:tc>
          <w:tcPr>
            <w:tcW w:w="2501" w:type="pct"/>
            <w:shd w:val="clear" w:color="auto" w:fill="auto"/>
            <w:vAlign w:val="center"/>
          </w:tcPr>
          <w:p w14:paraId="462E09E2">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高污染燃料禁燃区内禁止燃用高污染燃料，禁止新建、扩建燃用高污染燃料的设施。已建的燃用高污染燃料设施，限期改用电、天然气、液化石油气等清洁能源。</w:t>
            </w:r>
          </w:p>
        </w:tc>
        <w:tc>
          <w:tcPr>
            <w:tcW w:w="1500" w:type="pct"/>
            <w:shd w:val="clear" w:color="auto" w:fill="auto"/>
            <w:vAlign w:val="center"/>
          </w:tcPr>
          <w:p w14:paraId="0301326B">
            <w:pPr>
              <w:pStyle w:val="105"/>
              <w:ind w:left="-72" w:leftChars="-30" w:right="-72" w:rightChars="-3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符合。本项目属于公路建设项目，不涉及使用高污染燃料的设施</w:t>
            </w:r>
          </w:p>
        </w:tc>
      </w:tr>
    </w:tbl>
    <w:p w14:paraId="64137241">
      <w:pPr>
        <w:ind w:firstLine="480"/>
        <w:rPr>
          <w:color w:val="000000" w:themeColor="text1"/>
          <w14:textFill>
            <w14:solidFill>
              <w14:schemeClr w14:val="tx1"/>
            </w14:solidFill>
          </w14:textFill>
        </w:rPr>
      </w:pPr>
    </w:p>
    <w:p w14:paraId="749E776C">
      <w:pPr>
        <w:ind w:firstLine="480"/>
        <w:rPr>
          <w:color w:val="000000" w:themeColor="text1"/>
          <w14:textFill>
            <w14:solidFill>
              <w14:schemeClr w14:val="tx1"/>
            </w14:solidFill>
          </w14:textFill>
        </w:rPr>
        <w:sectPr>
          <w:pgSz w:w="16838" w:h="11906" w:orient="landscape"/>
          <w:pgMar w:top="1418" w:right="1418" w:bottom="1418" w:left="1418" w:header="851" w:footer="851" w:gutter="0"/>
          <w:cols w:space="425" w:num="1"/>
          <w:docGrid w:linePitch="326" w:charSpace="0"/>
        </w:sectPr>
      </w:pPr>
    </w:p>
    <w:p w14:paraId="47727DC5">
      <w:pPr>
        <w:pStyle w:val="105"/>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1534795</wp:posOffset>
                </wp:positionH>
                <wp:positionV relativeFrom="paragraph">
                  <wp:posOffset>1774825</wp:posOffset>
                </wp:positionV>
                <wp:extent cx="605790" cy="140335"/>
                <wp:effectExtent l="0" t="0" r="3810" b="12700"/>
                <wp:wrapNone/>
                <wp:docPr id="1622346445" name="文本框 1622346445"/>
                <wp:cNvGraphicFramePr/>
                <a:graphic xmlns:a="http://schemas.openxmlformats.org/drawingml/2006/main">
                  <a:graphicData uri="http://schemas.microsoft.com/office/word/2010/wordprocessingShape">
                    <wps:wsp>
                      <wps:cNvSpPr txBox="1"/>
                      <wps:spPr>
                        <a:xfrm>
                          <a:off x="0" y="0"/>
                          <a:ext cx="605860" cy="140245"/>
                        </a:xfrm>
                        <a:prstGeom prst="rect">
                          <a:avLst/>
                        </a:prstGeom>
                        <a:noFill/>
                        <a:ln w="6350">
                          <a:noFill/>
                        </a:ln>
                      </wps:spPr>
                      <wps:txbx>
                        <w:txbxContent>
                          <w:p w14:paraId="50140FD3">
                            <w:pPr>
                              <w:ind w:firstLine="0" w:firstLineChars="0"/>
                              <w:rPr>
                                <w:b/>
                                <w:bCs/>
                                <w:color w:val="FF0000"/>
                                <w:sz w:val="15"/>
                                <w:szCs w:val="13"/>
                              </w:rPr>
                            </w:pPr>
                            <w:r>
                              <w:rPr>
                                <w:rFonts w:hint="eastAsia"/>
                                <w:b/>
                                <w:bCs/>
                                <w:color w:val="FF0000"/>
                                <w:sz w:val="15"/>
                                <w:szCs w:val="13"/>
                              </w:rPr>
                              <w:t>一般管控单元</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20.85pt;margin-top:139.75pt;height:11.05pt;width:47.7pt;z-index:251710464;mso-width-relative:page;mso-height-relative:page;" filled="f" stroked="f" coordsize="21600,21600" o:gfxdata="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CVxk/ZAAAACwEAAA8AAAAAAAAAAQAgAAAAIgAAAGRycy9k&#10;b3ducmV2LnhtbFBLAQIUABQAAAAIAIdO4kBJTSEBOgIAAGcEAAAOAAAAAAAAAAEAIAAAACgBAABk&#10;cnMvZTJvRG9jLnhtbFBLBQYAAAAABgAGAFkBAADUBQAAAAA=&#10;">
                <v:fill on="f" focussize="0,0"/>
                <v:stroke on="f" weight="0.5pt"/>
                <v:imagedata o:title=""/>
                <o:lock v:ext="edit" aspectratio="f"/>
                <v:textbox inset="0mm,0mm,0mm,0mm">
                  <w:txbxContent>
                    <w:p w14:paraId="50140FD3">
                      <w:pPr>
                        <w:ind w:firstLine="0" w:firstLineChars="0"/>
                        <w:rPr>
                          <w:b/>
                          <w:bCs/>
                          <w:color w:val="FF0000"/>
                          <w:sz w:val="15"/>
                          <w:szCs w:val="13"/>
                        </w:rPr>
                      </w:pPr>
                      <w:r>
                        <w:rPr>
                          <w:rFonts w:hint="eastAsia"/>
                          <w:b/>
                          <w:bCs/>
                          <w:color w:val="FF0000"/>
                          <w:sz w:val="15"/>
                          <w:szCs w:val="13"/>
                        </w:rPr>
                        <w:t>一般管控单元</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3075940</wp:posOffset>
                </wp:positionH>
                <wp:positionV relativeFrom="paragraph">
                  <wp:posOffset>2004060</wp:posOffset>
                </wp:positionV>
                <wp:extent cx="605790" cy="140335"/>
                <wp:effectExtent l="0" t="0" r="3810" b="12700"/>
                <wp:wrapNone/>
                <wp:docPr id="51" name="文本框 51"/>
                <wp:cNvGraphicFramePr/>
                <a:graphic xmlns:a="http://schemas.openxmlformats.org/drawingml/2006/main">
                  <a:graphicData uri="http://schemas.microsoft.com/office/word/2010/wordprocessingShape">
                    <wps:wsp>
                      <wps:cNvSpPr txBox="1"/>
                      <wps:spPr>
                        <a:xfrm>
                          <a:off x="0" y="0"/>
                          <a:ext cx="605860" cy="140245"/>
                        </a:xfrm>
                        <a:prstGeom prst="rect">
                          <a:avLst/>
                        </a:prstGeom>
                        <a:noFill/>
                        <a:ln w="6350">
                          <a:noFill/>
                        </a:ln>
                      </wps:spPr>
                      <wps:txbx>
                        <w:txbxContent>
                          <w:p w14:paraId="2A867802">
                            <w:pPr>
                              <w:ind w:firstLine="0" w:firstLineChars="0"/>
                              <w:rPr>
                                <w:b/>
                                <w:bCs/>
                                <w:color w:val="FF0000"/>
                                <w:sz w:val="15"/>
                                <w:szCs w:val="13"/>
                              </w:rPr>
                            </w:pPr>
                            <w:r>
                              <w:rPr>
                                <w:rFonts w:hint="eastAsia"/>
                                <w:b/>
                                <w:bCs/>
                                <w:color w:val="FF0000"/>
                                <w:sz w:val="15"/>
                                <w:szCs w:val="13"/>
                              </w:rPr>
                              <w:t>优先保护单元</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42.2pt;margin-top:157.8pt;height:11.05pt;width:47.7pt;z-index:251707392;mso-width-relative:page;mso-height-relative:page;" filled="f" stroked="f" coordsize="21600,21600" o:gfxdata="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H0GMk2gAAAAsBAAAPAAAAAAAAAAEAIAAAACIAAABkcnMvZG93bnJldi54&#10;bWxQSwECFAAUAAAACACHTuJAY2UvCjECAABXBAAADgAAAAAAAAABACAAAAApAQAAZHJzL2Uyb0Rv&#10;Yy54bWxQSwUGAAAAAAYABgBZAQAAzAUAAAAA&#10;">
                <v:fill on="f" focussize="0,0"/>
                <v:stroke on="f" weight="0.5pt"/>
                <v:imagedata o:title=""/>
                <o:lock v:ext="edit" aspectratio="f"/>
                <v:textbox inset="0mm,0mm,0mm,0mm">
                  <w:txbxContent>
                    <w:p w14:paraId="2A867802">
                      <w:pPr>
                        <w:ind w:firstLine="0" w:firstLineChars="0"/>
                        <w:rPr>
                          <w:b/>
                          <w:bCs/>
                          <w:color w:val="FF0000"/>
                          <w:sz w:val="15"/>
                          <w:szCs w:val="13"/>
                        </w:rPr>
                      </w:pPr>
                      <w:r>
                        <w:rPr>
                          <w:rFonts w:hint="eastAsia"/>
                          <w:b/>
                          <w:bCs/>
                          <w:color w:val="FF0000"/>
                          <w:sz w:val="15"/>
                          <w:szCs w:val="13"/>
                        </w:rPr>
                        <w:t>优先保护单元</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1623695</wp:posOffset>
                </wp:positionH>
                <wp:positionV relativeFrom="paragraph">
                  <wp:posOffset>2423160</wp:posOffset>
                </wp:positionV>
                <wp:extent cx="492760" cy="224790"/>
                <wp:effectExtent l="0" t="304800" r="193040" b="22860"/>
                <wp:wrapNone/>
                <wp:docPr id="10" name="对话气泡: 圆角矩形 10"/>
                <wp:cNvGraphicFramePr/>
                <a:graphic xmlns:a="http://schemas.openxmlformats.org/drawingml/2006/main">
                  <a:graphicData uri="http://schemas.microsoft.com/office/word/2010/wordprocessingShape">
                    <wps:wsp>
                      <wps:cNvSpPr/>
                      <wps:spPr>
                        <a:xfrm>
                          <a:off x="0" y="0"/>
                          <a:ext cx="492760" cy="224790"/>
                        </a:xfrm>
                        <a:prstGeom prst="wedgeRoundRectCallout">
                          <a:avLst>
                            <a:gd name="adj1" fmla="val 75257"/>
                            <a:gd name="adj2" fmla="val -16740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333665">
                            <w:pPr>
                              <w:pStyle w:val="105"/>
                              <w:spacing w:before="0" w:after="0"/>
                              <w:jc w:val="center"/>
                              <w:rPr>
                                <w:b/>
                                <w:bCs/>
                                <w:color w:val="FF0000"/>
                              </w:rPr>
                            </w:pPr>
                            <w:r>
                              <w:rPr>
                                <w:rFonts w:hint="eastAsia"/>
                                <w:b/>
                                <w:bCs/>
                                <w:color w:val="FF0000"/>
                              </w:rPr>
                              <w:t>本项目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对话气泡: 圆角矩形 10" o:spid="_x0000_s1026" o:spt="62" type="#_x0000_t62" style="position:absolute;left:0pt;margin-left:127.85pt;margin-top:190.8pt;height:17.7pt;width:38.8pt;z-index:251660288;v-text-anchor:middle;mso-width-relative:page;mso-height-relative:page;" fillcolor="#FFFFFF [3212]" filled="t" stroked="t" coordsize="21600,21600" o:gfxdata="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vJIpT1wAA&#10;AAsBAAAPAAAAAAAAAAEAIAAAACIAAABkcnMvZG93bnJldi54bWxQSwECFAAUAAAACACHTuJAVtt4&#10;qcoCAACMBQAADgAAAAAAAAABACAAAAAmAQAAZHJzL2Uyb0RvYy54bWxQSwUGAAAAAAYABgBZAQAA&#10;YgYAAAAA&#10;" adj="27056,-25359,14400">
                <v:fill on="t" focussize="0,0"/>
                <v:stroke weight="1pt" color="#000000 [3213]" miterlimit="8" joinstyle="miter"/>
                <v:imagedata o:title=""/>
                <o:lock v:ext="edit" aspectratio="f"/>
                <v:textbox inset="0mm,0mm,0mm,0mm">
                  <w:txbxContent>
                    <w:p w14:paraId="59333665">
                      <w:pPr>
                        <w:pStyle w:val="105"/>
                        <w:spacing w:before="0" w:after="0"/>
                        <w:jc w:val="center"/>
                        <w:rPr>
                          <w:b/>
                          <w:bCs/>
                          <w:color w:val="FF0000"/>
                        </w:rPr>
                      </w:pPr>
                      <w:r>
                        <w:rPr>
                          <w:rFonts w:hint="eastAsia"/>
                          <w:b/>
                          <w:bCs/>
                          <w:color w:val="FF0000"/>
                        </w:rPr>
                        <w:t>本项目</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3206115</wp:posOffset>
                </wp:positionH>
                <wp:positionV relativeFrom="paragraph">
                  <wp:posOffset>2426970</wp:posOffset>
                </wp:positionV>
                <wp:extent cx="605790" cy="140335"/>
                <wp:effectExtent l="99695" t="0" r="160655" b="0"/>
                <wp:wrapNone/>
                <wp:docPr id="1622346434" name="文本框 1622346434"/>
                <wp:cNvGraphicFramePr/>
                <a:graphic xmlns:a="http://schemas.openxmlformats.org/drawingml/2006/main">
                  <a:graphicData uri="http://schemas.microsoft.com/office/word/2010/wordprocessingShape">
                    <wps:wsp>
                      <wps:cNvSpPr txBox="1"/>
                      <wps:spPr>
                        <a:xfrm rot="18211787">
                          <a:off x="0" y="0"/>
                          <a:ext cx="605860" cy="140245"/>
                        </a:xfrm>
                        <a:prstGeom prst="rect">
                          <a:avLst/>
                        </a:prstGeom>
                        <a:noFill/>
                        <a:ln w="6350">
                          <a:noFill/>
                        </a:ln>
                      </wps:spPr>
                      <wps:txbx>
                        <w:txbxContent>
                          <w:p w14:paraId="21BF910B">
                            <w:pPr>
                              <w:ind w:firstLine="0" w:firstLineChars="0"/>
                              <w:rPr>
                                <w:b/>
                                <w:bCs/>
                                <w:color w:val="FF0000"/>
                                <w:sz w:val="15"/>
                                <w:szCs w:val="13"/>
                              </w:rPr>
                            </w:pPr>
                            <w:r>
                              <w:rPr>
                                <w:rFonts w:hint="eastAsia"/>
                                <w:b/>
                                <w:bCs/>
                                <w:color w:val="FF0000"/>
                                <w:sz w:val="15"/>
                                <w:szCs w:val="13"/>
                              </w:rPr>
                              <w:t>重点管控单元</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2.45pt;margin-top:191.1pt;height:11.05pt;width:47.7pt;rotation:-3700832f;z-index:251709440;mso-width-relative:page;mso-height-relative:page;" filled="f" stroked="f" coordsize="21600,21600" o:gfxdata="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lLNy/aAAAACwEAAA8AAAAAAAAAAQAg&#10;AAAAIgAAAGRycy9kb3ducmV2LnhtbFBLAQIUABQAAAAIAIdO4kBPciDyRQIAAHYEAAAOAAAAAAAA&#10;AAEAIAAAACkBAABkcnMvZTJvRG9jLnhtbFBLBQYAAAAABgAGAFkBAADgBQAAAAA=&#10;">
                <v:fill on="f" focussize="0,0"/>
                <v:stroke on="f" weight="0.5pt"/>
                <v:imagedata o:title=""/>
                <o:lock v:ext="edit" aspectratio="f"/>
                <v:textbox inset="0mm,0mm,0mm,0mm">
                  <w:txbxContent>
                    <w:p w14:paraId="21BF910B">
                      <w:pPr>
                        <w:ind w:firstLine="0" w:firstLineChars="0"/>
                        <w:rPr>
                          <w:b/>
                          <w:bCs/>
                          <w:color w:val="FF0000"/>
                          <w:sz w:val="15"/>
                          <w:szCs w:val="13"/>
                        </w:rPr>
                      </w:pPr>
                      <w:r>
                        <w:rPr>
                          <w:rFonts w:hint="eastAsia"/>
                          <w:b/>
                          <w:bCs/>
                          <w:color w:val="FF0000"/>
                          <w:sz w:val="15"/>
                          <w:szCs w:val="13"/>
                        </w:rPr>
                        <w:t>重点管控单元</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-97790</wp:posOffset>
                </wp:positionH>
                <wp:positionV relativeFrom="paragraph">
                  <wp:posOffset>1399540</wp:posOffset>
                </wp:positionV>
                <wp:extent cx="605790" cy="140335"/>
                <wp:effectExtent l="80645" t="14605" r="122555" b="8255"/>
                <wp:wrapNone/>
                <wp:docPr id="63" name="文本框 63"/>
                <wp:cNvGraphicFramePr/>
                <a:graphic xmlns:a="http://schemas.openxmlformats.org/drawingml/2006/main">
                  <a:graphicData uri="http://schemas.microsoft.com/office/word/2010/wordprocessingShape">
                    <wps:wsp>
                      <wps:cNvSpPr txBox="1"/>
                      <wps:spPr>
                        <a:xfrm rot="3904496">
                          <a:off x="0" y="0"/>
                          <a:ext cx="605860" cy="140245"/>
                        </a:xfrm>
                        <a:prstGeom prst="rect">
                          <a:avLst/>
                        </a:prstGeom>
                        <a:noFill/>
                        <a:ln w="6350">
                          <a:noFill/>
                        </a:ln>
                      </wps:spPr>
                      <wps:txbx>
                        <w:txbxContent>
                          <w:p w14:paraId="79B634BE">
                            <w:pPr>
                              <w:ind w:firstLine="0" w:firstLineChars="0"/>
                              <w:rPr>
                                <w:b/>
                                <w:bCs/>
                                <w:color w:val="FF0000"/>
                                <w:sz w:val="15"/>
                                <w:szCs w:val="13"/>
                              </w:rPr>
                            </w:pPr>
                            <w:r>
                              <w:rPr>
                                <w:rFonts w:hint="eastAsia"/>
                                <w:b/>
                                <w:bCs/>
                                <w:color w:val="FF0000"/>
                                <w:sz w:val="15"/>
                                <w:szCs w:val="13"/>
                              </w:rPr>
                              <w:t>优先保护单元</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7pt;margin-top:110.2pt;height:11.05pt;width:47.7pt;rotation:4264751f;z-index:251708416;mso-width-relative:page;mso-height-relative:page;" filled="f" stroked="f" coordsize="21600,21600" o:gfxdata="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N/QbYAAAACgEAAA8AAAAAAAAAAQAgAAAAIgAAAGRycy9k&#10;b3ducmV2LnhtbFBLAQIUABQAAAAIAIdO4kC6ZbXdOwIAAGUEAAAOAAAAAAAAAAEAIAAAACcBAABk&#10;cnMvZTJvRG9jLnhtbFBLBQYAAAAABgAGAFkBAADUBQAAAAA=&#10;">
                <v:fill on="f" focussize="0,0"/>
                <v:stroke on="f" weight="0.5pt"/>
                <v:imagedata o:title=""/>
                <o:lock v:ext="edit" aspectratio="f"/>
                <v:textbox inset="0mm,0mm,0mm,0mm">
                  <w:txbxContent>
                    <w:p w14:paraId="79B634BE">
                      <w:pPr>
                        <w:ind w:firstLine="0" w:firstLineChars="0"/>
                        <w:rPr>
                          <w:b/>
                          <w:bCs/>
                          <w:color w:val="FF0000"/>
                          <w:sz w:val="15"/>
                          <w:szCs w:val="13"/>
                        </w:rPr>
                      </w:pPr>
                      <w:r>
                        <w:rPr>
                          <w:rFonts w:hint="eastAsia"/>
                          <w:b/>
                          <w:bCs/>
                          <w:color w:val="FF0000"/>
                          <w:sz w:val="15"/>
                          <w:szCs w:val="13"/>
                        </w:rPr>
                        <w:t>优先保护单元</w:t>
                      </w:r>
                    </w:p>
                  </w:txbxContent>
                </v:textbox>
              </v:shape>
            </w:pict>
          </mc:Fallback>
        </mc:AlternateContent>
      </w:r>
      <w:r>
        <w:rPr>
          <w:color w:val="000000" w:themeColor="text1"/>
          <w14:textFill>
            <w14:solidFill>
              <w14:schemeClr w14:val="tx1"/>
            </w14:solidFill>
          </w14:textFill>
        </w:rPr>
        <w:drawing>
          <wp:inline distT="0" distB="0" distL="0" distR="0">
            <wp:extent cx="5896610" cy="3640455"/>
            <wp:effectExtent l="0" t="0" r="889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9" cstate="email"/>
                    <a:stretch>
                      <a:fillRect/>
                    </a:stretch>
                  </pic:blipFill>
                  <pic:spPr>
                    <a:xfrm>
                      <a:off x="0" y="0"/>
                      <a:ext cx="5902233" cy="3643851"/>
                    </a:xfrm>
                    <a:prstGeom prst="rect">
                      <a:avLst/>
                    </a:prstGeom>
                  </pic:spPr>
                </pic:pic>
              </a:graphicData>
            </a:graphic>
          </wp:inline>
        </w:drawing>
      </w:r>
    </w:p>
    <w:p w14:paraId="1C0DA4A1">
      <w:pPr>
        <w:pStyle w:val="122"/>
        <w:ind w:left="420" w:hanging="420"/>
        <w:rPr>
          <w:color w:val="000000" w:themeColor="text1"/>
          <w14:textFill>
            <w14:solidFill>
              <w14:schemeClr w14:val="tx1"/>
            </w14:solidFill>
          </w14:textFill>
        </w:rPr>
      </w:pPr>
      <w:r>
        <w:rPr>
          <w:rFonts w:hint="eastAsia"/>
          <w:color w:val="000000" w:themeColor="text1"/>
          <w14:textFill>
            <w14:solidFill>
              <w14:schemeClr w14:val="tx1"/>
            </w14:solidFill>
          </w14:textFill>
        </w:rPr>
        <w:t>项目与“三线一单”生态环境分区管控单元位置关系图</w:t>
      </w:r>
    </w:p>
    <w:p w14:paraId="03D086A5">
      <w:pPr>
        <w:pStyle w:val="120"/>
        <w:rPr>
          <w:color w:val="000000" w:themeColor="text1"/>
          <w14:textFill>
            <w14:solidFill>
              <w14:schemeClr w14:val="tx1"/>
            </w14:solidFill>
          </w14:textFill>
        </w:rPr>
      </w:pPr>
      <w:r>
        <w:rPr>
          <w:color w:val="000000" w:themeColor="text1"/>
          <w14:textFill>
            <w14:solidFill>
              <w14:schemeClr w14:val="tx1"/>
            </w14:solidFill>
          </w14:textFill>
        </w:rPr>
        <w:t>与国土空间规划“三区三线”符合性分析</w:t>
      </w:r>
    </w:p>
    <w:p w14:paraId="70975F58">
      <w:pPr>
        <w:ind w:firstLine="480"/>
        <w:rPr>
          <w:color w:val="000000" w:themeColor="text1"/>
          <w:szCs w:val="24"/>
          <w14:textFill>
            <w14:solidFill>
              <w14:schemeClr w14:val="tx1"/>
            </w14:solidFill>
          </w14:textFill>
        </w:rPr>
      </w:pPr>
      <w:r>
        <w:rPr>
          <w:color w:val="000000" w:themeColor="text1"/>
          <w14:textFill>
            <w14:solidFill>
              <w14:schemeClr w14:val="tx1"/>
            </w14:solidFill>
          </w14:textFill>
        </w:rPr>
        <w:t>项目位于福建省福清市</w:t>
      </w:r>
      <w:r>
        <w:rPr>
          <w:rFonts w:hint="eastAsia"/>
          <w:color w:val="000000" w:themeColor="text1"/>
          <w14:textFill>
            <w14:solidFill>
              <w14:schemeClr w14:val="tx1"/>
            </w14:solidFill>
          </w14:textFill>
        </w:rPr>
        <w:t>渔溪镇、上迳镇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对照</w:t>
      </w:r>
      <w:r>
        <w:rPr>
          <w:color w:val="000000" w:themeColor="text1"/>
          <w14:textFill>
            <w14:solidFill>
              <w14:schemeClr w14:val="tx1"/>
            </w14:solidFill>
          </w14:textFill>
        </w:rPr>
        <w:t>国土空间规划</w:t>
      </w:r>
      <w:r>
        <w:rPr>
          <w:rFonts w:hint="eastAsia"/>
          <w:color w:val="000000" w:themeColor="text1"/>
          <w14:textFill>
            <w14:solidFill>
              <w14:schemeClr w14:val="tx1"/>
            </w14:solidFill>
          </w14:textFill>
        </w:rPr>
        <w:t>“三区三线”</w:t>
      </w:r>
      <w:r>
        <w:rPr>
          <w:rFonts w:hint="eastAsia"/>
          <w:color w:val="000000" w:themeColor="text1"/>
          <w:szCs w:val="24"/>
          <w14:textFill>
            <w14:solidFill>
              <w14:schemeClr w14:val="tx1"/>
            </w14:solidFill>
          </w14:textFill>
        </w:rPr>
        <w:t>，</w:t>
      </w:r>
      <w:r>
        <w:rPr>
          <w:color w:val="000000" w:themeColor="text1"/>
          <w14:textFill>
            <w14:solidFill>
              <w14:schemeClr w14:val="tx1"/>
            </w14:solidFill>
          </w14:textFill>
        </w:rPr>
        <w:t>拟建项目</w:t>
      </w:r>
      <w:r>
        <w:rPr>
          <w:rFonts w:hint="eastAsia"/>
          <w:color w:val="000000" w:themeColor="text1"/>
          <w14:textFill>
            <w14:solidFill>
              <w14:schemeClr w14:val="tx1"/>
            </w14:solidFill>
          </w14:textFill>
        </w:rPr>
        <w:t>不涉及永久</w:t>
      </w:r>
      <w:r>
        <w:rPr>
          <w:color w:val="000000" w:themeColor="text1"/>
          <w14:textFill>
            <w14:solidFill>
              <w14:schemeClr w14:val="tx1"/>
            </w14:solidFill>
          </w14:textFill>
        </w:rPr>
        <w:t>基本农田</w:t>
      </w:r>
      <w:r>
        <w:rPr>
          <w:rFonts w:hint="eastAsia"/>
          <w:color w:val="000000" w:themeColor="text1"/>
          <w14:textFill>
            <w14:solidFill>
              <w14:schemeClr w14:val="tx1"/>
            </w14:solidFill>
          </w14:textFill>
        </w:rPr>
        <w:t>，不</w:t>
      </w:r>
      <w:r>
        <w:rPr>
          <w:color w:val="000000" w:themeColor="text1"/>
          <w:szCs w:val="24"/>
          <w14:textFill>
            <w14:solidFill>
              <w14:schemeClr w14:val="tx1"/>
            </w14:solidFill>
          </w14:textFill>
        </w:rPr>
        <w:t>涉及生态红线。</w:t>
      </w:r>
    </w:p>
    <w:p w14:paraId="19234238">
      <w:pPr>
        <w:ind w:firstLine="480"/>
        <w:rPr>
          <w:color w:val="000000" w:themeColor="text1"/>
          <w14:textFill>
            <w14:solidFill>
              <w14:schemeClr w14:val="tx1"/>
            </w14:solidFill>
          </w14:textFill>
        </w:rPr>
      </w:pPr>
      <w:r>
        <w:rPr>
          <w:color w:val="000000" w:themeColor="text1"/>
          <w14:textFill>
            <w14:solidFill>
              <w14:schemeClr w14:val="tx1"/>
            </w14:solidFill>
          </w14:textFill>
        </w:rPr>
        <w:t>综上所述，满足国土空间规划“三区三线”的要求。</w:t>
      </w:r>
    </w:p>
    <w:p w14:paraId="27232668">
      <w:pPr>
        <w:pStyle w:val="12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区域规划</w:t>
      </w:r>
      <w:r>
        <w:rPr>
          <w:color w:val="000000" w:themeColor="text1"/>
          <w14:textFill>
            <w14:solidFill>
              <w14:schemeClr w14:val="tx1"/>
            </w14:solidFill>
          </w14:textFill>
        </w:rPr>
        <w:t>符合性</w:t>
      </w:r>
    </w:p>
    <w:p w14:paraId="10566C5F">
      <w:pPr>
        <w:ind w:firstLine="480"/>
        <w:rPr>
          <w:color w:val="000000" w:themeColor="text1"/>
          <w:lang w:val="zh-CN"/>
          <w14:textFill>
            <w14:solidFill>
              <w14:schemeClr w14:val="tx1"/>
            </w14:solidFill>
          </w14:textFill>
        </w:rPr>
      </w:pPr>
      <w:r>
        <w:rPr>
          <w:color w:val="000000" w:themeColor="text1"/>
          <w14:textFill>
            <w14:solidFill>
              <w14:schemeClr w14:val="tx1"/>
            </w14:solidFill>
          </w14:textFill>
        </w:rPr>
        <w:t>项目建成后，将极大改善该区域原有公路网的通行能力，对该地区经济的发展起到非常重要的作用。项目符合</w:t>
      </w:r>
      <w:r>
        <w:rPr>
          <w:rFonts w:hint="eastAsia"/>
          <w:color w:val="000000" w:themeColor="text1"/>
          <w14:textFill>
            <w14:solidFill>
              <w14:schemeClr w14:val="tx1"/>
            </w14:solidFill>
          </w14:textFill>
        </w:rPr>
        <w:t>《福清市国土空间总体规划（2021—2035年）》“</w:t>
      </w:r>
      <w:r>
        <w:rPr>
          <w:rFonts w:hint="eastAsia"/>
          <w:color w:val="000000" w:themeColor="text1"/>
          <w:lang w:val="zh-CN"/>
          <w14:textFill>
            <w14:solidFill>
              <w14:schemeClr w14:val="tx1"/>
            </w14:solidFill>
          </w14:textFill>
        </w:rPr>
        <w:t>三区三线</w:t>
      </w:r>
      <w:r>
        <w:rPr>
          <w:rFonts w:hint="eastAsia"/>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要求</w:t>
      </w:r>
      <w:r>
        <w:rPr>
          <w:color w:val="000000" w:themeColor="text1"/>
          <w:lang w:val="zh-CN"/>
          <w14:textFill>
            <w14:solidFill>
              <w14:schemeClr w14:val="tx1"/>
            </w14:solidFill>
          </w14:textFill>
        </w:rPr>
        <w:t>。</w:t>
      </w:r>
      <w:r>
        <w:rPr>
          <w:rFonts w:hint="eastAsia"/>
          <w:color w:val="000000" w:themeColor="text1"/>
          <w:lang w:val="zh-CN"/>
          <w14:textFill>
            <w14:solidFill>
              <w14:schemeClr w14:val="tx1"/>
            </w14:solidFill>
          </w14:textFill>
        </w:rPr>
        <w:t>项目的建设对于改善万福寺及沿线交通出行条件、整合旅游资源、完善交通网络、缓解交通压力等都具有重要的作用。</w:t>
      </w:r>
    </w:p>
    <w:p w14:paraId="3AEE11EA">
      <w:pPr>
        <w:pStyle w:val="116"/>
        <w:rPr>
          <w:color w:val="000000" w:themeColor="text1"/>
          <w14:textFill>
            <w14:solidFill>
              <w14:schemeClr w14:val="tx1"/>
            </w14:solidFill>
          </w14:textFill>
        </w:rPr>
      </w:pPr>
      <w:bookmarkStart w:id="30" w:name="_Toc159405448"/>
      <w:bookmarkStart w:id="31" w:name="_Toc193912354"/>
      <w:bookmarkStart w:id="32" w:name="_Toc12206"/>
      <w:r>
        <w:rPr>
          <w:color w:val="000000" w:themeColor="text1"/>
          <w14:textFill>
            <w14:solidFill>
              <w14:schemeClr w14:val="tx1"/>
            </w14:solidFill>
          </w14:textFill>
        </w:rPr>
        <w:t>关注的主要环境问题</w:t>
      </w:r>
      <w:bookmarkEnd w:id="30"/>
      <w:bookmarkEnd w:id="31"/>
      <w:bookmarkEnd w:id="32"/>
    </w:p>
    <w:p w14:paraId="274BBB3E">
      <w:pPr>
        <w:pStyle w:val="19"/>
        <w:ind w:firstLine="474"/>
        <w:rPr>
          <w:rFonts w:ascii="Times New Roman" w:hAnsi="Times New Roman" w:cs="Times New Roman"/>
          <w:color w:val="000000" w:themeColor="text1"/>
          <w:spacing w:val="-3"/>
          <w14:textFill>
            <w14:solidFill>
              <w14:schemeClr w14:val="tx1"/>
            </w14:solidFill>
          </w14:textFill>
        </w:rPr>
      </w:pPr>
      <w:r>
        <w:rPr>
          <w:rFonts w:hint="eastAsia" w:ascii="Times New Roman" w:hAnsi="Times New Roman" w:cs="Times New Roman"/>
          <w:color w:val="000000" w:themeColor="text1"/>
          <w:spacing w:val="-3"/>
          <w14:textFill>
            <w14:solidFill>
              <w14:schemeClr w14:val="tx1"/>
            </w14:solidFill>
          </w14:textFill>
        </w:rPr>
        <w:t>本项目全线位于福清市境内，全线不涉及自然保护区、风景名胜区、水源保护区，不涉及生态保护红线和基本农田。</w:t>
      </w:r>
      <w:r>
        <w:rPr>
          <w:rFonts w:ascii="Times New Roman" w:hAnsi="Times New Roman" w:cs="Times New Roman"/>
          <w:color w:val="000000" w:themeColor="text1"/>
          <w:spacing w:val="-3"/>
          <w14:textFill>
            <w14:solidFill>
              <w14:schemeClr w14:val="tx1"/>
            </w14:solidFill>
          </w14:textFill>
        </w:rPr>
        <w:t>项目属于生态型项目，</w:t>
      </w:r>
      <w:r>
        <w:rPr>
          <w:rFonts w:hint="eastAsia" w:ascii="Times New Roman" w:hAnsi="Times New Roman" w:cs="Times New Roman"/>
          <w:color w:val="000000" w:themeColor="text1"/>
          <w:spacing w:val="-3"/>
          <w14:textFill>
            <w14:solidFill>
              <w14:schemeClr w14:val="tx1"/>
            </w14:solidFill>
          </w14:textFill>
        </w:rPr>
        <w:t>项目的环境影响主要包括施工期和运营期的影响：</w:t>
      </w:r>
    </w:p>
    <w:p w14:paraId="64E2D0BF">
      <w:pPr>
        <w:pStyle w:val="19"/>
        <w:ind w:firstLine="474"/>
        <w:rPr>
          <w:rFonts w:ascii="Times New Roman" w:hAnsi="Times New Roman" w:cs="Times New Roman"/>
          <w:color w:val="000000" w:themeColor="text1"/>
          <w:spacing w:val="-3"/>
          <w14:textFill>
            <w14:solidFill>
              <w14:schemeClr w14:val="tx1"/>
            </w14:solidFill>
          </w14:textFill>
        </w:rPr>
      </w:pPr>
      <w:r>
        <w:rPr>
          <w:rFonts w:hint="eastAsia" w:ascii="Times New Roman" w:hAnsi="Times New Roman" w:cs="Times New Roman"/>
          <w:color w:val="000000" w:themeColor="text1"/>
          <w:spacing w:val="-3"/>
          <w14:textFill>
            <w14:solidFill>
              <w14:schemeClr w14:val="tx1"/>
            </w14:solidFill>
          </w14:textFill>
        </w:rPr>
        <w:t>施工期的环境影响主要是土地占用、工程开挖对植被、水土流失等的生态环境影响；施工扬尘、粉尘、沥青烟气对环境空气的影响；施工机械噪声对周围声环境的影响；施工期生活污水和施工废水对周围水体的影响。</w:t>
      </w:r>
    </w:p>
    <w:p w14:paraId="2A7EAC88">
      <w:pPr>
        <w:pStyle w:val="19"/>
        <w:ind w:firstLine="474"/>
        <w:rPr>
          <w:rFonts w:ascii="Times New Roman" w:hAnsi="Times New Roman" w:cs="Times New Roman"/>
          <w:color w:val="000000" w:themeColor="text1"/>
          <w:spacing w:val="-3"/>
          <w14:textFill>
            <w14:solidFill>
              <w14:schemeClr w14:val="tx1"/>
            </w14:solidFill>
          </w14:textFill>
        </w:rPr>
      </w:pPr>
      <w:r>
        <w:rPr>
          <w:rFonts w:hint="eastAsia" w:ascii="Times New Roman" w:hAnsi="Times New Roman" w:cs="Times New Roman"/>
          <w:color w:val="000000" w:themeColor="text1"/>
          <w:spacing w:val="-3"/>
          <w14:textFill>
            <w14:solidFill>
              <w14:schemeClr w14:val="tx1"/>
            </w14:solidFill>
          </w14:textFill>
        </w:rPr>
        <w:t>运营期的环境影响主要是交通噪声对沿线居民的影响；交通尾气对周边环境空气质量造成一定的不利影响；地面径流对周边水环境的影响；</w:t>
      </w:r>
      <w:r>
        <w:rPr>
          <w:rFonts w:ascii="Times New Roman" w:hAnsi="Times New Roman" w:cs="Times New Roman"/>
          <w:color w:val="000000" w:themeColor="text1"/>
          <w:spacing w:val="-3"/>
          <w14:textFill>
            <w14:solidFill>
              <w14:schemeClr w14:val="tx1"/>
            </w14:solidFill>
          </w14:textFill>
        </w:rPr>
        <w:t>车辆事故可能引发水污染、环境空气、土壤污染等事件。</w:t>
      </w:r>
    </w:p>
    <w:p w14:paraId="4F2E3F19">
      <w:pPr>
        <w:pStyle w:val="116"/>
        <w:rPr>
          <w:color w:val="000000" w:themeColor="text1"/>
          <w14:textFill>
            <w14:solidFill>
              <w14:schemeClr w14:val="tx1"/>
            </w14:solidFill>
          </w14:textFill>
        </w:rPr>
      </w:pPr>
      <w:bookmarkStart w:id="33" w:name="_Toc4327"/>
      <w:bookmarkStart w:id="34" w:name="_Toc159405449"/>
      <w:bookmarkStart w:id="35" w:name="_Toc193912355"/>
      <w:r>
        <w:rPr>
          <w:color w:val="000000" w:themeColor="text1"/>
          <w14:textFill>
            <w14:solidFill>
              <w14:schemeClr w14:val="tx1"/>
            </w14:solidFill>
          </w14:textFill>
        </w:rPr>
        <w:t>环境影响报告书的主要结论</w:t>
      </w:r>
      <w:bookmarkEnd w:id="33"/>
      <w:bookmarkEnd w:id="34"/>
      <w:bookmarkEnd w:id="35"/>
    </w:p>
    <w:p w14:paraId="609C6FE4">
      <w:pPr>
        <w:ind w:firstLine="480"/>
        <w:rPr>
          <w:color w:val="000000" w:themeColor="text1"/>
          <w14:textFill>
            <w14:solidFill>
              <w14:schemeClr w14:val="tx1"/>
            </w14:solidFill>
          </w14:textFill>
        </w:rPr>
      </w:pPr>
      <w:bookmarkStart w:id="36" w:name="_Hlk177551740"/>
      <w:bookmarkStart w:id="37" w:name="_Hlk177552200"/>
      <w:r>
        <w:rPr>
          <w:rFonts w:hint="eastAsia"/>
          <w:color w:val="000000" w:themeColor="text1"/>
          <w14:textFill>
            <w14:solidFill>
              <w14:schemeClr w14:val="tx1"/>
            </w14:solidFill>
          </w14:textFill>
        </w:rPr>
        <w:t>黄檗山万福寺</w:t>
      </w:r>
      <w:r>
        <w:rPr>
          <w:color w:val="000000" w:themeColor="text1"/>
          <w14:textFill>
            <w14:solidFill>
              <w14:schemeClr w14:val="tx1"/>
            </w14:solidFill>
          </w14:textFill>
        </w:rPr>
        <w:t>旅游公路工程</w:t>
      </w:r>
      <w:bookmarkEnd w:id="36"/>
      <w:r>
        <w:rPr>
          <w:color w:val="000000" w:themeColor="text1"/>
          <w14:textFill>
            <w14:solidFill>
              <w14:schemeClr w14:val="tx1"/>
            </w14:solidFill>
          </w14:textFill>
        </w:rPr>
        <w:t>位于</w:t>
      </w:r>
      <w:r>
        <w:rPr>
          <w:rFonts w:hint="eastAsia"/>
          <w:color w:val="000000" w:themeColor="text1"/>
          <w14:textFill>
            <w14:solidFill>
              <w14:schemeClr w14:val="tx1"/>
            </w14:solidFill>
          </w14:textFill>
        </w:rPr>
        <w:t>福州市福清市</w:t>
      </w:r>
      <w:r>
        <w:rPr>
          <w:rFonts w:hint="eastAsia"/>
          <w:color w:val="000000" w:themeColor="text1"/>
          <w:shd w:val="clear" w:color="auto" w:fill="FFFFFF"/>
          <w14:textFill>
            <w14:solidFill>
              <w14:schemeClr w14:val="tx1"/>
            </w14:solidFill>
          </w14:textFill>
        </w:rPr>
        <w:t>上迳镇、渔溪镇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路线全长5.200km</w:t>
      </w:r>
      <w:r>
        <w:rPr>
          <w:color w:val="000000" w:themeColor="text1"/>
          <w:lang w:val="zh-CN"/>
          <w14:textFill>
            <w14:solidFill>
              <w14:schemeClr w14:val="tx1"/>
            </w14:solidFill>
          </w14:textFill>
        </w:rPr>
        <w:t>，</w:t>
      </w:r>
      <w:r>
        <w:rPr>
          <w:rFonts w:hint="eastAsia"/>
          <w:color w:val="000000" w:themeColor="text1"/>
          <w14:textFill>
            <w14:solidFill>
              <w14:schemeClr w14:val="tx1"/>
            </w14:solidFill>
          </w14:textFill>
        </w:rPr>
        <w:t>其中主线5.110km（含下穿福厦高铁段落），接线0.090km，</w:t>
      </w:r>
      <w:r>
        <w:rPr>
          <w:color w:val="000000" w:themeColor="text1"/>
          <w:lang w:val="zh-CN"/>
          <w14:textFill>
            <w14:solidFill>
              <w14:schemeClr w14:val="tx1"/>
            </w14:solidFill>
          </w14:textFill>
        </w:rPr>
        <w:t>设计速度60km/h，</w:t>
      </w:r>
      <w:r>
        <w:rPr>
          <w:color w:val="000000" w:themeColor="text1"/>
          <w14:textFill>
            <w14:solidFill>
              <w14:schemeClr w14:val="tx1"/>
            </w14:solidFill>
          </w14:textFill>
        </w:rPr>
        <w:t>采用二级公路建设</w:t>
      </w:r>
      <w:r>
        <w:rPr>
          <w:color w:val="000000" w:themeColor="text1"/>
          <w:lang w:val="zh-CN"/>
          <w14:textFill>
            <w14:solidFill>
              <w14:schemeClr w14:val="tx1"/>
            </w14:solidFill>
          </w14:textFill>
        </w:rPr>
        <w:t>。</w:t>
      </w:r>
      <w:bookmarkEnd w:id="37"/>
      <w:r>
        <w:rPr>
          <w:color w:val="000000" w:themeColor="text1"/>
          <w14:textFill>
            <w14:solidFill>
              <w14:schemeClr w14:val="tx1"/>
            </w14:solidFill>
          </w14:textFill>
        </w:rPr>
        <w:t>项目建设符合国家产业政策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符合</w:t>
      </w:r>
      <w:r>
        <w:rPr>
          <w:rFonts w:hint="eastAsia"/>
          <w:color w:val="000000" w:themeColor="text1"/>
          <w14:textFill>
            <w14:solidFill>
              <w14:schemeClr w14:val="tx1"/>
            </w14:solidFill>
          </w14:textFill>
        </w:rPr>
        <w:t>《福清市国土空间总体规划（2021-2035 年）》，符合福清市国土空间规划生态环境分区管控要求。</w:t>
      </w:r>
      <w:r>
        <w:rPr>
          <w:color w:val="000000" w:themeColor="text1"/>
          <w14:textFill>
            <w14:solidFill>
              <w14:schemeClr w14:val="tx1"/>
            </w14:solidFill>
          </w14:textFill>
        </w:rPr>
        <w:t>项目所在地现状环境质量较好，有较大的环境容量；采取的环保措施可行，能实现达标排放；各类污染物达标排放影响预测评价结果表明，项目建设</w:t>
      </w:r>
      <w:r>
        <w:rPr>
          <w:rFonts w:hint="eastAsia"/>
          <w:color w:val="000000" w:themeColor="text1"/>
          <w14:textFill>
            <w14:solidFill>
              <w14:schemeClr w14:val="tx1"/>
            </w14:solidFill>
          </w14:textFill>
        </w:rPr>
        <w:t>运营</w:t>
      </w:r>
      <w:r>
        <w:rPr>
          <w:color w:val="000000" w:themeColor="text1"/>
          <w14:textFill>
            <w14:solidFill>
              <w14:schemeClr w14:val="tx1"/>
            </w14:solidFill>
          </w14:textFill>
        </w:rPr>
        <w:t>对周围环境质量影响较小。</w:t>
      </w:r>
    </w:p>
    <w:p w14:paraId="422F2076">
      <w:pPr>
        <w:ind w:firstLine="480"/>
        <w:rPr>
          <w:rFonts w:cs="Times New Roman"/>
          <w:color w:val="000000" w:themeColor="text1"/>
          <w:spacing w:val="-3"/>
          <w14:textFill>
            <w14:solidFill>
              <w14:schemeClr w14:val="tx1"/>
            </w14:solidFill>
          </w14:textFill>
        </w:rPr>
      </w:pPr>
      <w:r>
        <w:rPr>
          <w:color w:val="000000" w:themeColor="text1"/>
          <w14:textFill>
            <w14:solidFill>
              <w14:schemeClr w14:val="tx1"/>
            </w14:solidFill>
          </w14:textFill>
        </w:rPr>
        <w:t>因此，工程建设将对沿线区域的声环境与生态环境、大气环境产生一定的影响，在认真落实本报告提出的减缓措施，落实</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三同时</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制度，所产生的负面影响可有效控制并能为环境所接受。从环境影响角度分析该项目建设是可行的。</w:t>
      </w:r>
    </w:p>
    <w:p w14:paraId="0CC5728A">
      <w:pPr>
        <w:spacing w:line="362" w:lineRule="auto"/>
        <w:ind w:firstLine="480"/>
        <w:rPr>
          <w:rFonts w:cs="Times New Roman"/>
          <w:color w:val="000000" w:themeColor="text1"/>
          <w14:textFill>
            <w14:solidFill>
              <w14:schemeClr w14:val="tx1"/>
            </w14:solidFill>
          </w14:textFill>
        </w:rPr>
        <w:sectPr>
          <w:pgSz w:w="11910" w:h="16840"/>
          <w:pgMar w:top="1418" w:right="1418" w:bottom="1418" w:left="1418" w:header="851" w:footer="851" w:gutter="0"/>
          <w:cols w:space="720" w:num="1"/>
          <w:docGrid w:linePitch="326" w:charSpace="0"/>
        </w:sectPr>
      </w:pPr>
    </w:p>
    <w:p w14:paraId="20BF391E">
      <w:pPr>
        <w:pStyle w:val="114"/>
        <w:rPr>
          <w:color w:val="000000" w:themeColor="text1"/>
          <w14:textFill>
            <w14:solidFill>
              <w14:schemeClr w14:val="tx1"/>
            </w14:solidFill>
          </w14:textFill>
        </w:rPr>
      </w:pPr>
      <w:bookmarkStart w:id="38" w:name="1总则"/>
      <w:bookmarkEnd w:id="38"/>
      <w:bookmarkStart w:id="39" w:name="_Toc193912356"/>
      <w:bookmarkStart w:id="40" w:name="_Toc159405450"/>
      <w:bookmarkStart w:id="41" w:name="_Toc10802"/>
      <w:r>
        <w:rPr>
          <w:color w:val="000000" w:themeColor="text1"/>
          <w14:textFill>
            <w14:solidFill>
              <w14:schemeClr w14:val="tx1"/>
            </w14:solidFill>
          </w14:textFill>
        </w:rPr>
        <w:t>总则</w:t>
      </w:r>
      <w:bookmarkEnd w:id="39"/>
      <w:bookmarkEnd w:id="40"/>
      <w:bookmarkEnd w:id="41"/>
    </w:p>
    <w:p w14:paraId="1B63F52D">
      <w:pPr>
        <w:pStyle w:val="116"/>
        <w:rPr>
          <w:color w:val="000000" w:themeColor="text1"/>
          <w14:textFill>
            <w14:solidFill>
              <w14:schemeClr w14:val="tx1"/>
            </w14:solidFill>
          </w14:textFill>
        </w:rPr>
      </w:pPr>
      <w:bookmarkStart w:id="42" w:name="1.1编制依据"/>
      <w:bookmarkEnd w:id="42"/>
      <w:bookmarkStart w:id="43" w:name="_Toc193912357"/>
      <w:bookmarkStart w:id="44" w:name="_Toc159405451"/>
      <w:bookmarkStart w:id="45" w:name="_Toc23264"/>
      <w:r>
        <w:rPr>
          <w:color w:val="000000" w:themeColor="text1"/>
          <w14:textFill>
            <w14:solidFill>
              <w14:schemeClr w14:val="tx1"/>
            </w14:solidFill>
          </w14:textFill>
        </w:rPr>
        <w:t>编制依据</w:t>
      </w:r>
      <w:bookmarkEnd w:id="43"/>
      <w:bookmarkEnd w:id="44"/>
      <w:bookmarkEnd w:id="45"/>
    </w:p>
    <w:p w14:paraId="7EE6C9C2">
      <w:pPr>
        <w:pStyle w:val="120"/>
        <w:rPr>
          <w:color w:val="000000" w:themeColor="text1"/>
          <w14:textFill>
            <w14:solidFill>
              <w14:schemeClr w14:val="tx1"/>
            </w14:solidFill>
          </w14:textFill>
        </w:rPr>
      </w:pPr>
      <w:bookmarkStart w:id="46" w:name="1.1.1法律法规"/>
      <w:bookmarkEnd w:id="46"/>
      <w:r>
        <w:rPr>
          <w:rFonts w:hint="eastAsia"/>
          <w:color w:val="000000" w:themeColor="text1"/>
          <w14:textFill>
            <w14:solidFill>
              <w14:schemeClr w14:val="tx1"/>
            </w14:solidFill>
          </w14:textFill>
        </w:rPr>
        <w:t>国家法律法规</w:t>
      </w:r>
    </w:p>
    <w:p w14:paraId="50DC5329">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bookmarkStart w:id="47" w:name="_Hlk90112882"/>
      <w:r>
        <w:rPr>
          <w:rFonts w:ascii="Times New Roman" w:hAnsi="Times New Roman" w:cs="Times New Roman"/>
          <w:color w:val="000000" w:themeColor="text1"/>
          <w14:textFill>
            <w14:solidFill>
              <w14:schemeClr w14:val="tx1"/>
            </w14:solidFill>
          </w14:textFill>
        </w:rPr>
        <w:t>《中华人民共和国环境保护法》（2015年1月1日起施行）</w:t>
      </w:r>
    </w:p>
    <w:p w14:paraId="7D354A10">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《中华人民共和国环境影响评价法》（2018年12月29日起施行）</w:t>
      </w:r>
    </w:p>
    <w:p w14:paraId="2E6241C2">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《中华人民共和国大气污染防治法》（2018年12月29日起施行）</w:t>
      </w:r>
    </w:p>
    <w:p w14:paraId="0FA398D3">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《中华人民共和国水污染防治法》（2018年1月1日起施行）</w:t>
      </w:r>
    </w:p>
    <w:p w14:paraId="4EC9A7B6">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《中华人民共和国噪声污染防治法》（自2022年6月5日起施行）</w:t>
      </w:r>
    </w:p>
    <w:p w14:paraId="5BD80C86">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《中华人民共和国固体废物污染环境防治法》（2020年9月1日起施行）</w:t>
      </w:r>
    </w:p>
    <w:p w14:paraId="66251962">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《中华人民共和国水土保持法》（2010年12月25日起施行）</w:t>
      </w:r>
    </w:p>
    <w:p w14:paraId="63224A76">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《中华人民共和国土地管理法》（2020年1月1日起施行）</w:t>
      </w:r>
    </w:p>
    <w:p w14:paraId="4FCC50A5">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《中华人民共和国土地管理法实施条例》（2021年9月1日起施行）</w:t>
      </w:r>
    </w:p>
    <w:p w14:paraId="16321FAB">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《中华人民共和国土壤污染防治法》（2019年1月1日起施行）</w:t>
      </w:r>
    </w:p>
    <w:p w14:paraId="5B343EA5">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《中华人民共和国农业法》（2013年1月1日起施行）</w:t>
      </w:r>
    </w:p>
    <w:p w14:paraId="16A0FC0A">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《中华人民共和国森林法》（2020年7月1日起施行）</w:t>
      </w:r>
    </w:p>
    <w:p w14:paraId="5EAA56B0">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《中华人民共和国野生动物保护法》</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2023 年 5月1日起施行）</w:t>
      </w:r>
    </w:p>
    <w:p w14:paraId="54FDE9EF">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《中华人民共和国防洪法》（2016年7月2日起施行）</w:t>
      </w:r>
    </w:p>
    <w:p w14:paraId="59588B0E">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《中华人民共和国文物保护法》（2017年11月4日起施行）</w:t>
      </w:r>
    </w:p>
    <w:p w14:paraId="5DA16059">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《中华人民共和国湿地保护法》（2022年6月1日起施行）</w:t>
      </w:r>
    </w:p>
    <w:p w14:paraId="34B96252">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《中华人民共和国城乡规划法》（2019年4月23日第二次修正）</w:t>
      </w:r>
    </w:p>
    <w:p w14:paraId="15DC309C">
      <w:pPr>
        <w:pStyle w:val="67"/>
        <w:numPr>
          <w:ilvl w:val="0"/>
          <w:numId w:val="14"/>
        </w:numPr>
        <w:tabs>
          <w:tab w:val="left" w:pos="851"/>
          <w:tab w:val="left" w:pos="993"/>
          <w:tab w:val="left" w:pos="1134"/>
        </w:tabs>
        <w:ind w:left="0" w:firstLine="480"/>
        <w:jc w:val="left"/>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《中华人民共和国生物安全法》（2021年4月15日起施行）</w:t>
      </w:r>
    </w:p>
    <w:bookmarkEnd w:id="47"/>
    <w:p w14:paraId="608A3809">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部门规章及规范性文件</w:t>
      </w:r>
    </w:p>
    <w:p w14:paraId="08836708">
      <w:pPr>
        <w:pStyle w:val="67"/>
        <w:numPr>
          <w:ilvl w:val="0"/>
          <w:numId w:val="15"/>
        </w:numPr>
        <w:ind w:firstLine="48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《建设项目环境保护管理条例》（2017年10月1日起施行）</w:t>
      </w:r>
    </w:p>
    <w:p w14:paraId="0667A738">
      <w:pPr>
        <w:pStyle w:val="67"/>
        <w:numPr>
          <w:ilvl w:val="0"/>
          <w:numId w:val="15"/>
        </w:numPr>
        <w:ind w:firstLine="48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《中华人民共和国陆生野生动物保护实施条例》（2016年第二次修订）</w:t>
      </w:r>
    </w:p>
    <w:p w14:paraId="68DC4022">
      <w:pPr>
        <w:pStyle w:val="67"/>
        <w:numPr>
          <w:ilvl w:val="0"/>
          <w:numId w:val="15"/>
        </w:numPr>
        <w:ind w:firstLine="48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《中华人民共和国野生植物保护条例》（2017年10月7日修订）</w:t>
      </w:r>
    </w:p>
    <w:p w14:paraId="0B5CD95D">
      <w:pPr>
        <w:pStyle w:val="67"/>
        <w:numPr>
          <w:ilvl w:val="0"/>
          <w:numId w:val="15"/>
        </w:numPr>
        <w:ind w:firstLine="48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《中华人民共和国森林法实施条例》（2019年12月28日修订）</w:t>
      </w:r>
    </w:p>
    <w:p w14:paraId="5ABDCDF5">
      <w:pPr>
        <w:pStyle w:val="67"/>
        <w:numPr>
          <w:ilvl w:val="0"/>
          <w:numId w:val="15"/>
        </w:numPr>
        <w:ind w:firstLine="48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《中华人民共和国河道管理条例》（2017年3月1日）</w:t>
      </w:r>
    </w:p>
    <w:p w14:paraId="207EDEB3">
      <w:pPr>
        <w:pStyle w:val="67"/>
        <w:numPr>
          <w:ilvl w:val="0"/>
          <w:numId w:val="15"/>
        </w:numPr>
        <w:ind w:firstLine="480"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《中华人民共和国文物保护法实施条例》（2017年3月1日修订）</w:t>
      </w:r>
    </w:p>
    <w:p w14:paraId="494C88F6">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《基本农田保护条例》（2011年1月8日起施行）</w:t>
      </w:r>
    </w:p>
    <w:p w14:paraId="06B5BFCC">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《土地复垦条例实施办法》（2013年3月1日起施行，2019年7月修正）</w:t>
      </w:r>
    </w:p>
    <w:p w14:paraId="45D5C932">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14:textFill>
            <w14:solidFill>
              <w14:schemeClr w14:val="tx1"/>
            </w14:solidFill>
          </w14:textFill>
        </w:rPr>
        <w:t>《建设项目环境影响评价分类管理名录（2021年版）》（</w:t>
      </w:r>
      <w:bookmarkStart w:id="48" w:name="hmcheck_bb34561415c049d5b57e05d68761309a"/>
      <w:r>
        <w:rPr>
          <w:rFonts w:hint="eastAsia" w:ascii="Times New Roman" w:hAnsi="Times New Roman" w:cs="Times New Roman"/>
          <w:color w:val="000000" w:themeColor="text1"/>
          <w:shd w:val="clear" w:fill="B2E9BC"/>
          <w:lang w:eastAsia="zh-CN"/>
          <w14:textFill>
            <w14:solidFill>
              <w14:schemeClr w14:val="tx1"/>
            </w14:solidFill>
          </w14:textFill>
        </w:rPr>
        <w:t>生态环境部</w:t>
      </w:r>
      <w:bookmarkEnd w:id="48"/>
      <w:r>
        <w:rPr>
          <w:rFonts w:hint="eastAsia" w:ascii="Times New Roman" w:hAnsi="Times New Roman" w:cs="Times New Roman"/>
          <w:color w:val="000000" w:themeColor="text1"/>
          <w14:textFill>
            <w14:solidFill>
              <w14:schemeClr w14:val="tx1"/>
            </w14:solidFill>
          </w14:textFill>
        </w:rPr>
        <w:t>令第16号，2020年11月30日）</w:t>
      </w:r>
    </w:p>
    <w:p w14:paraId="72AE4181">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《产业结构调整指导目录（2024年本）》（2024年2月1日起施行）</w:t>
      </w:r>
    </w:p>
    <w:p w14:paraId="6E11D04D">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《关于进一步加强环境影响评价管理防范环境风险的通知》，（环发</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2012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77号）</w:t>
      </w:r>
    </w:p>
    <w:p w14:paraId="65229B2E">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《关于切实加强风险防范严格环境影响评价管理的通知》（环发</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2012</w:t>
      </w:r>
      <w:r>
        <w:rPr>
          <w:rFonts w:hint="eastAsia" w:ascii="Times New Roman" w:hAnsi="Times New Roman" w:cs="Times New Roman"/>
          <w:color w:val="000000" w:themeColor="text1"/>
          <w14:textFill>
            <w14:solidFill>
              <w14:schemeClr w14:val="tx1"/>
            </w14:solidFill>
          </w14:textFill>
        </w:rPr>
        <w:t>〕</w:t>
      </w:r>
      <w:r>
        <w:rPr>
          <w:rFonts w:ascii="Times New Roman" w:hAnsi="Times New Roman" w:cs="Times New Roman"/>
          <w:color w:val="000000" w:themeColor="text1"/>
          <w14:textFill>
            <w14:solidFill>
              <w14:schemeClr w14:val="tx1"/>
            </w14:solidFill>
          </w14:textFill>
        </w:rPr>
        <w:t>98号）</w:t>
      </w:r>
    </w:p>
    <w:p w14:paraId="4E1AA69E">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《环境影响评价公众参与办法》（生态环境部第4号，2019年1月1日）</w:t>
      </w:r>
    </w:p>
    <w:p w14:paraId="43422F8A">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w:t>
      </w:r>
      <w:r>
        <w:rPr>
          <w:rFonts w:hint="eastAsia" w:ascii="Times New Roman" w:hAnsi="Times New Roman" w:cs="Times New Roman"/>
          <w:color w:val="000000" w:themeColor="text1"/>
          <w14:textFill>
            <w14:solidFill>
              <w14:schemeClr w14:val="tx1"/>
            </w14:solidFill>
          </w14:textFill>
        </w:rPr>
        <w:t>自然资源要素支撑产业高质量发展指导目录（2024年本）》（自然资发〔2024〕273号）</w:t>
      </w:r>
    </w:p>
    <w:p w14:paraId="66C967CB">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《关于以改善环境质量为核心加强环境影响评价管理的通知》（</w:t>
      </w:r>
      <w:r>
        <w:rPr>
          <w:rFonts w:hint="eastAsia" w:ascii="Times New Roman" w:hAnsi="Times New Roman" w:cs="Times New Roman"/>
          <w:color w:val="000000" w:themeColor="text1"/>
          <w14:textFill>
            <w14:solidFill>
              <w14:schemeClr w14:val="tx1"/>
            </w14:solidFill>
          </w14:textFill>
        </w:rPr>
        <w:t>环环评〔2016〕150号</w:t>
      </w:r>
      <w:r>
        <w:rPr>
          <w:rFonts w:ascii="Times New Roman" w:hAnsi="Times New Roman" w:cs="Times New Roman"/>
          <w:color w:val="000000" w:themeColor="text1"/>
          <w14:textFill>
            <w14:solidFill>
              <w14:schemeClr w14:val="tx1"/>
            </w14:solidFill>
          </w14:textFill>
        </w:rPr>
        <w:t>，2016年10月26日）</w:t>
      </w:r>
    </w:p>
    <w:p w14:paraId="19AABC98">
      <w:pPr>
        <w:pStyle w:val="67"/>
        <w:numPr>
          <w:ilvl w:val="0"/>
          <w:numId w:val="15"/>
        </w:numPr>
        <w:ind w:firstLineChars="0"/>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14:textFill>
            <w14:solidFill>
              <w14:schemeClr w14:val="tx1"/>
            </w14:solidFill>
          </w14:textFill>
        </w:rPr>
        <w:t>《建设项目使用林地审核审批管理规范》（林资规〔2021〕5号），国家林业和草原局</w:t>
      </w:r>
    </w:p>
    <w:p w14:paraId="75450671">
      <w:pPr>
        <w:pStyle w:val="130"/>
        <w:numPr>
          <w:ilvl w:val="0"/>
          <w:numId w:val="15"/>
        </w:numPr>
        <w:ind w:firstLineChars="0"/>
        <w:rPr>
          <w:color w:val="000000" w:themeColor="text1"/>
          <w:lang w:val="zh-CN"/>
          <w14:textFill>
            <w14:solidFill>
              <w14:schemeClr w14:val="tx1"/>
            </w14:solidFill>
          </w14:textFill>
        </w:rPr>
      </w:pPr>
      <w:r>
        <w:rPr>
          <w:color w:val="000000" w:themeColor="text1"/>
          <w:szCs w:val="22"/>
          <w14:textFill>
            <w14:solidFill>
              <w14:schemeClr w14:val="tx1"/>
            </w14:solidFill>
          </w14:textFill>
        </w:rPr>
        <w:t>《</w:t>
      </w:r>
      <w:bookmarkStart w:id="49" w:name="hmcheck_ceb4cf4d1f0748f8ac5fd0385136b25f"/>
      <w:r>
        <w:rPr>
          <w:rFonts w:hint="eastAsia"/>
          <w:color w:val="000000" w:themeColor="text1"/>
          <w:szCs w:val="22"/>
          <w:shd w:val="clear" w:fill="B2E9BC"/>
          <w:lang w:eastAsia="zh-CN"/>
          <w14:textFill>
            <w14:solidFill>
              <w14:schemeClr w14:val="tx1"/>
            </w14:solidFill>
          </w14:textFill>
        </w:rPr>
        <w:t>国家林业和草原局</w:t>
      </w:r>
      <w:bookmarkEnd w:id="49"/>
      <w:r>
        <w:rPr>
          <w:color w:val="000000" w:themeColor="text1"/>
          <w:szCs w:val="22"/>
          <w14:textFill>
            <w14:solidFill>
              <w14:schemeClr w14:val="tx1"/>
            </w14:solidFill>
          </w14:textFill>
        </w:rPr>
        <w:t>关于修改〈湿地保护管理规定〉的决定》（</w:t>
      </w:r>
      <w:bookmarkStart w:id="50" w:name="hmcheck_8f3a620530d04742bbd928774be8fdb1"/>
      <w:r>
        <w:rPr>
          <w:rFonts w:hint="eastAsia"/>
          <w:color w:val="000000" w:themeColor="text1"/>
          <w:szCs w:val="22"/>
          <w:shd w:val="clear" w:fill="B2E9BC"/>
          <w:lang w:eastAsia="zh-CN"/>
          <w14:textFill>
            <w14:solidFill>
              <w14:schemeClr w14:val="tx1"/>
            </w14:solidFill>
          </w14:textFill>
        </w:rPr>
        <w:t>国家林业和草原局</w:t>
      </w:r>
      <w:bookmarkEnd w:id="50"/>
      <w:r>
        <w:rPr>
          <w:color w:val="000000" w:themeColor="text1"/>
          <w:szCs w:val="22"/>
          <w14:textFill>
            <w14:solidFill>
              <w14:schemeClr w14:val="tx1"/>
            </w14:solidFill>
          </w14:textFill>
        </w:rPr>
        <w:t>令第48号），2018年1月1日起施行</w:t>
      </w:r>
    </w:p>
    <w:p w14:paraId="25751F30">
      <w:pPr>
        <w:pStyle w:val="130"/>
        <w:numPr>
          <w:ilvl w:val="0"/>
          <w:numId w:val="15"/>
        </w:numPr>
        <w:ind w:firstLineChars="0"/>
        <w:rPr>
          <w:color w:val="000000" w:themeColor="text1"/>
          <w:lang w:val="zh-CN"/>
          <w14:textFill>
            <w14:solidFill>
              <w14:schemeClr w14:val="tx1"/>
            </w14:solidFill>
          </w14:textFill>
        </w:rPr>
      </w:pPr>
      <w:r>
        <w:rPr>
          <w:color w:val="000000" w:themeColor="text1"/>
          <w:lang w:val="zh-CN"/>
          <w14:textFill>
            <w14:solidFill>
              <w14:schemeClr w14:val="tx1"/>
            </w14:solidFill>
          </w14:textFill>
        </w:rPr>
        <w:t>《国家级公益林管理办法》，（2017年4月28日实施）</w:t>
      </w:r>
    </w:p>
    <w:p w14:paraId="133C66B0">
      <w:pPr>
        <w:pStyle w:val="130"/>
        <w:numPr>
          <w:ilvl w:val="0"/>
          <w:numId w:val="15"/>
        </w:numPr>
        <w:ind w:firstLineChars="0"/>
        <w:rPr>
          <w:color w:val="000000" w:themeColor="text1"/>
          <w:lang w:val="zh-CN"/>
          <w14:textFill>
            <w14:solidFill>
              <w14:schemeClr w14:val="tx1"/>
            </w14:solidFill>
          </w14:textFill>
        </w:rPr>
      </w:pPr>
      <w:r>
        <w:rPr>
          <w:color w:val="000000" w:themeColor="text1"/>
          <w:lang w:val="zh-CN"/>
          <w14:textFill>
            <w14:solidFill>
              <w14:schemeClr w14:val="tx1"/>
            </w14:solidFill>
          </w14:textFill>
        </w:rPr>
        <w:t>《国家级公益林区划界定办法》，（2017年4月28日修订）</w:t>
      </w:r>
    </w:p>
    <w:p w14:paraId="1D65C5D7">
      <w:pPr>
        <w:pStyle w:val="130"/>
        <w:numPr>
          <w:ilvl w:val="0"/>
          <w:numId w:val="15"/>
        </w:numPr>
        <w:ind w:firstLineChars="0"/>
        <w:rPr>
          <w:color w:val="000000" w:themeColor="text1"/>
          <w:lang w:val="zh-CN"/>
          <w14:textFill>
            <w14:solidFill>
              <w14:schemeClr w14:val="tx1"/>
            </w14:solidFill>
          </w14:textFill>
        </w:rPr>
      </w:pPr>
      <w:r>
        <w:rPr>
          <w:color w:val="000000" w:themeColor="text1"/>
          <w:lang w:val="zh-CN"/>
          <w14:textFill>
            <w14:solidFill>
              <w14:schemeClr w14:val="tx1"/>
            </w14:solidFill>
          </w14:textFill>
        </w:rPr>
        <w:t>《</w:t>
      </w:r>
      <w:bookmarkStart w:id="51" w:name="hmcheck_0cdb359ccaba4f3596fdbdf0124547a6"/>
      <w:r>
        <w:rPr>
          <w:color w:val="000000" w:themeColor="text1"/>
          <w:shd w:val="clear" w:fill="FFAFAA"/>
          <w:lang w:val="zh-CN"/>
          <w14:textFill>
            <w14:solidFill>
              <w14:schemeClr w14:val="tx1"/>
            </w14:solidFill>
          </w14:textFill>
        </w:rPr>
        <w:t>国土资源部</w:t>
      </w:r>
      <w:bookmarkEnd w:id="51"/>
      <w:r>
        <w:rPr>
          <w:color w:val="000000" w:themeColor="text1"/>
          <w:lang w:val="zh-CN"/>
          <w14:textFill>
            <w14:solidFill>
              <w14:schemeClr w14:val="tx1"/>
            </w14:solidFill>
          </w14:textFill>
        </w:rPr>
        <w:t>关于全面实行永久基本农田特殊保护的通知》（2018年2月23日实施）</w:t>
      </w:r>
    </w:p>
    <w:p w14:paraId="2B592BD2">
      <w:pPr>
        <w:pStyle w:val="130"/>
        <w:numPr>
          <w:ilvl w:val="0"/>
          <w:numId w:val="15"/>
        </w:numPr>
        <w:ind w:firstLineChars="0"/>
        <w:rPr>
          <w:color w:val="000000" w:themeColor="text1"/>
          <w14:textFill>
            <w14:solidFill>
              <w14:schemeClr w14:val="tx1"/>
            </w14:solidFill>
          </w14:textFill>
        </w:rPr>
      </w:pPr>
      <w:r>
        <w:rPr>
          <w:color w:val="000000" w:themeColor="text1"/>
          <w:lang w:val="zh-CN"/>
          <w14:textFill>
            <w14:solidFill>
              <w14:schemeClr w14:val="tx1"/>
            </w14:solidFill>
          </w14:textFill>
        </w:rPr>
        <w:t>《自然资源部关于做好占用永久基本农田重大建设项目用地预审的通知（2018年9月30日实施）》</w:t>
      </w:r>
    </w:p>
    <w:p w14:paraId="06B154CC">
      <w:pPr>
        <w:pStyle w:val="132"/>
        <w:numPr>
          <w:ilvl w:val="0"/>
          <w:numId w:val="15"/>
        </w:numPr>
        <w:spacing w:line="360" w:lineRule="auto"/>
        <w:ind w:firstLineChars="0"/>
        <w:rPr>
          <w:color w:val="000000" w:themeColor="text1"/>
          <w:sz w:val="24"/>
          <w14:textFill>
            <w14:solidFill>
              <w14:schemeClr w14:val="tx1"/>
            </w14:solidFill>
          </w14:textFill>
        </w:rPr>
      </w:pPr>
      <w:r>
        <w:rPr>
          <w:color w:val="000000" w:themeColor="text1"/>
          <w:sz w:val="24"/>
          <w14:textFill>
            <w14:solidFill>
              <w14:schemeClr w14:val="tx1"/>
            </w14:solidFill>
          </w14:textFill>
        </w:rPr>
        <w:t>《关于规范临时用地管理的通知》（自然资规〔2021〕2号，自然资源部）</w:t>
      </w:r>
    </w:p>
    <w:p w14:paraId="1B6160B1">
      <w:pPr>
        <w:pStyle w:val="132"/>
        <w:numPr>
          <w:ilvl w:val="0"/>
          <w:numId w:val="15"/>
        </w:numPr>
        <w:spacing w:line="360" w:lineRule="auto"/>
        <w:ind w:firstLineChars="0"/>
        <w:rPr>
          <w:color w:val="000000" w:themeColor="text1"/>
          <w:sz w:val="24"/>
          <w14:textFill>
            <w14:solidFill>
              <w14:schemeClr w14:val="tx1"/>
            </w14:solidFill>
          </w14:textFill>
        </w:rPr>
      </w:pPr>
      <w:r>
        <w:rPr>
          <w:color w:val="000000" w:themeColor="text1"/>
          <w:sz w:val="24"/>
          <w14:textFill>
            <w14:solidFill>
              <w14:schemeClr w14:val="tx1"/>
            </w14:solidFill>
          </w14:textFill>
        </w:rPr>
        <w:t>《地面交通噪声污染防治技术政策》（环发</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2010</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7号）</w:t>
      </w:r>
    </w:p>
    <w:p w14:paraId="090920AA">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地方性法规、规章及规划</w:t>
      </w:r>
    </w:p>
    <w:p w14:paraId="4674A6EE">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《福建省生态环境保护条例》（2022年5月1日起施行）</w:t>
      </w:r>
    </w:p>
    <w:p w14:paraId="0298B607">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《福建省水污染防治条例》（2021年11月1日施行）</w:t>
      </w:r>
    </w:p>
    <w:p w14:paraId="453970E1">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《福建省基本农田保护条例》（2010年7月30日起施行）</w:t>
      </w:r>
    </w:p>
    <w:p w14:paraId="1A6B7797">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《福建省古树名木保护管理办法》（2021年6月1日起施行）</w:t>
      </w:r>
    </w:p>
    <w:p w14:paraId="6585926E">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《福建省农业生态环境保护条例（2010年修正本）》（2010年9月30日起施行）</w:t>
      </w:r>
    </w:p>
    <w:p w14:paraId="776B3543">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《福建省生态公益林条例》（2018年11月1日起施行）</w:t>
      </w:r>
    </w:p>
    <w:p w14:paraId="5319A2D8">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《福建省水土保持条例》（2014年7月1日起施行）</w:t>
      </w:r>
    </w:p>
    <w:p w14:paraId="64C8C764">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《福建省森林条例》（2012年3月31日起施行）</w:t>
      </w:r>
    </w:p>
    <w:p w14:paraId="013429CC">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《福建省森林和野生动物类型自然保护区管理条例》（2017年11月24日起施行）</w:t>
      </w:r>
    </w:p>
    <w:p w14:paraId="575949EE">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bookmarkStart w:id="52" w:name="hmcheck_d6609c4ca1504b4db1b47b5fc90ba53f"/>
      <w:r>
        <w:rPr>
          <w:rFonts w:hint="eastAsia"/>
          <w:color w:val="000000" w:themeColor="text1"/>
          <w:shd w:val="clear" w:fill="B2E9BC"/>
          <w:lang w:eastAsia="zh-CN"/>
          <w14:textFill>
            <w14:solidFill>
              <w14:schemeClr w14:val="tx1"/>
            </w14:solidFill>
          </w14:textFill>
        </w:rPr>
        <w:t>福建省交通运输厅</w:t>
      </w:r>
      <w:bookmarkEnd w:id="52"/>
      <w:r>
        <w:rPr>
          <w:rFonts w:hint="eastAsia"/>
          <w:color w:val="000000" w:themeColor="text1"/>
          <w14:textFill>
            <w14:solidFill>
              <w14:schemeClr w14:val="tx1"/>
            </w14:solidFill>
          </w14:textFill>
        </w:rPr>
        <w:t>关于加强交通行业环境保护工作的通知》，闽交运安〔2003〕173号文</w:t>
      </w:r>
    </w:p>
    <w:p w14:paraId="7F8E6E17">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《福建省交通运输厅关于印发福建省公路交通突发事件应急预案（2018年修订）的通知》（闽交建〔2018〕177号）</w:t>
      </w:r>
    </w:p>
    <w:p w14:paraId="759FF88E">
      <w:pPr>
        <w:pStyle w:val="123"/>
        <w:ind w:left="0" w:firstLine="480"/>
        <w:rPr>
          <w:color w:val="000000" w:themeColor="text1"/>
          <w14:textFill>
            <w14:solidFill>
              <w14:schemeClr w14:val="tx1"/>
            </w14:solidFill>
          </w14:textFill>
        </w:rPr>
      </w:pPr>
      <w:r>
        <w:rPr>
          <w:color w:val="000000" w:themeColor="text1"/>
          <w:szCs w:val="24"/>
          <w14:textFill>
            <w14:solidFill>
              <w14:schemeClr w14:val="tx1"/>
            </w14:solidFill>
          </w14:textFill>
        </w:rPr>
        <w:t>《</w:t>
      </w:r>
      <w:r>
        <w:rPr>
          <w:rFonts w:hint="eastAsia"/>
          <w:color w:val="000000" w:themeColor="text1"/>
          <w:szCs w:val="24"/>
          <w14:textFill>
            <w14:solidFill>
              <w14:schemeClr w14:val="tx1"/>
            </w14:solidFill>
          </w14:textFill>
        </w:rPr>
        <w:t>福州市生态环境分区管控方案（2023年更新）》</w:t>
      </w:r>
      <w:r>
        <w:rPr>
          <w:color w:val="000000" w:themeColor="text1"/>
          <w:szCs w:val="24"/>
          <w14:textFill>
            <w14:solidFill>
              <w14:schemeClr w14:val="tx1"/>
            </w14:solidFill>
          </w14:textFill>
        </w:rPr>
        <w:t>（</w:t>
      </w:r>
      <w:r>
        <w:rPr>
          <w:rFonts w:hint="eastAsia"/>
          <w:color w:val="000000" w:themeColor="text1"/>
          <w:szCs w:val="24"/>
          <w14:textFill>
            <w14:solidFill>
              <w14:schemeClr w14:val="tx1"/>
            </w14:solidFill>
          </w14:textFill>
        </w:rPr>
        <w:t>榕政办规〔2024〕20号</w:t>
      </w:r>
      <w:r>
        <w:rPr>
          <w:color w:val="000000" w:themeColor="text1"/>
          <w:szCs w:val="24"/>
          <w14:textFill>
            <w14:solidFill>
              <w14:schemeClr w14:val="tx1"/>
            </w14:solidFill>
          </w14:textFill>
        </w:rPr>
        <w:t>）。</w:t>
      </w:r>
    </w:p>
    <w:p w14:paraId="39B67200">
      <w:pPr>
        <w:pStyle w:val="120"/>
        <w:rPr>
          <w:color w:val="000000" w:themeColor="text1"/>
          <w14:textFill>
            <w14:solidFill>
              <w14:schemeClr w14:val="tx1"/>
            </w14:solidFill>
          </w14:textFill>
        </w:rPr>
      </w:pPr>
      <w:bookmarkStart w:id="53" w:name="_Hlk90112952"/>
      <w:r>
        <w:rPr>
          <w:rFonts w:hint="eastAsia"/>
          <w:color w:val="000000" w:themeColor="text1"/>
          <w14:textFill>
            <w14:solidFill>
              <w14:schemeClr w14:val="tx1"/>
            </w14:solidFill>
          </w14:textFill>
        </w:rPr>
        <w:t>技术导则与规范</w:t>
      </w:r>
    </w:p>
    <w:p w14:paraId="008E6485">
      <w:pPr>
        <w:pStyle w:val="123"/>
        <w:numPr>
          <w:ilvl w:val="0"/>
          <w:numId w:val="16"/>
        </w:numPr>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《建设项目环境影响评价技术导则 总纲》（HJ 2.1—2016）</w:t>
      </w:r>
    </w:p>
    <w:p w14:paraId="6E5F9ABC">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《环境影响评价技术导则 大气环境》（HJ 2.2—2018）</w:t>
      </w:r>
    </w:p>
    <w:p w14:paraId="647B6A05">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《环境影响评价技术导则 地表水环境》（HJ 2.3—2018）</w:t>
      </w:r>
    </w:p>
    <w:p w14:paraId="0FEBAD89">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《环境影响评价技术导则 声环境》（HJ 2.4-20</w:t>
      </w:r>
      <w:r>
        <w:rPr>
          <w:color w:val="000000" w:themeColor="text1"/>
          <w14:textFill>
            <w14:solidFill>
              <w14:schemeClr w14:val="tx1"/>
            </w14:solidFill>
          </w14:textFill>
        </w:rPr>
        <w:t>21</w:t>
      </w:r>
      <w:r>
        <w:rPr>
          <w:rFonts w:hint="eastAsia"/>
          <w:color w:val="000000" w:themeColor="text1"/>
          <w14:textFill>
            <w14:solidFill>
              <w14:schemeClr w14:val="tx1"/>
            </w14:solidFill>
          </w14:textFill>
        </w:rPr>
        <w:t>）</w:t>
      </w:r>
    </w:p>
    <w:p w14:paraId="61EEEC0C">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《环境影响评价技术导则 生态影响》（HJ 19-20</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w:t>
      </w:r>
    </w:p>
    <w:p w14:paraId="439C858E">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《环境影响评价技术导则 地下水环境》（HJ 610-2016）</w:t>
      </w:r>
    </w:p>
    <w:p w14:paraId="01378926">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《环境影响评价技术导则 土壤环境（试行）》（HJ 964-2018）</w:t>
      </w:r>
    </w:p>
    <w:p w14:paraId="62C27E8E">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《环境影响评价技术导则 公路建设项目》（</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1358—2024</w:t>
      </w:r>
      <w:r>
        <w:rPr>
          <w:rFonts w:hint="eastAsia"/>
          <w:color w:val="000000" w:themeColor="text1"/>
          <w14:textFill>
            <w14:solidFill>
              <w14:schemeClr w14:val="tx1"/>
            </w14:solidFill>
          </w14:textFill>
        </w:rPr>
        <w:t>）</w:t>
      </w:r>
    </w:p>
    <w:p w14:paraId="7DA0674F">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《建设项目环境风险评价技术导则》（HJ 169—2018）</w:t>
      </w:r>
    </w:p>
    <w:p w14:paraId="0267A57A">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《建设项目竣工环境保护验收技术规范 生态影响类》（HJ/T</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394-2007）</w:t>
      </w:r>
    </w:p>
    <w:p w14:paraId="74EFA0B0">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《环境噪声监测技术规范 噪声测量值修正》（HJ</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706-2014）</w:t>
      </w:r>
    </w:p>
    <w:p w14:paraId="1FE76E67">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《公路环境保护设计规范》（JTGB04-2010）</w:t>
      </w:r>
    </w:p>
    <w:p w14:paraId="289FA696">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《声环境功能区划分技术规范》(GB/T15190–2014)</w:t>
      </w:r>
    </w:p>
    <w:p w14:paraId="5D71D075">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《生态环境状况评价技术规范》（HJ 192-2015）</w:t>
      </w:r>
    </w:p>
    <w:p w14:paraId="53DC45B0">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《公路工程项目建设用地指标》（建标</w:t>
      </w:r>
      <w:bookmarkStart w:id="54" w:name="hmcheck_abcc4c4adeb343999f8728a199dbb863"/>
      <w:r>
        <w:rPr>
          <w:rFonts w:hint="eastAsia"/>
          <w:color w:val="000000" w:themeColor="text1"/>
          <w:shd w:val="clear" w:fill="FFAFAA"/>
          <w14:textFill>
            <w14:solidFill>
              <w14:schemeClr w14:val="tx1"/>
            </w14:solidFill>
          </w14:textFill>
        </w:rPr>
        <w:t>[2011]</w:t>
      </w:r>
      <w:bookmarkEnd w:id="54"/>
      <w:r>
        <w:rPr>
          <w:rFonts w:hint="eastAsia"/>
          <w:color w:val="000000" w:themeColor="text1"/>
          <w14:textFill>
            <w14:solidFill>
              <w14:schemeClr w14:val="tx1"/>
            </w14:solidFill>
          </w14:textFill>
        </w:rPr>
        <w:t>124 号）</w:t>
      </w:r>
    </w:p>
    <w:bookmarkEnd w:id="53"/>
    <w:p w14:paraId="788EDF16">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《生产建设项目水土保持技术标准》（</w:t>
      </w:r>
      <w:r>
        <w:rPr>
          <w:color w:val="000000" w:themeColor="text1"/>
          <w14:textFill>
            <w14:solidFill>
              <w14:schemeClr w14:val="tx1"/>
            </w14:solidFill>
          </w14:textFill>
        </w:rPr>
        <w:t>GB50433-2018</w:t>
      </w:r>
      <w:r>
        <w:rPr>
          <w:rFonts w:hint="eastAsia"/>
          <w:color w:val="000000" w:themeColor="text1"/>
          <w14:textFill>
            <w14:solidFill>
              <w14:schemeClr w14:val="tx1"/>
            </w14:solidFill>
          </w14:textFill>
        </w:rPr>
        <w:t>）</w:t>
      </w:r>
    </w:p>
    <w:p w14:paraId="4E9C1C71">
      <w:pPr>
        <w:pStyle w:val="123"/>
        <w:ind w:left="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《生产建设项目水土流失防治标准》（GB/T50434-2018）</w:t>
      </w:r>
    </w:p>
    <w:p w14:paraId="6410B7C4">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工程资料</w:t>
      </w:r>
    </w:p>
    <w:p w14:paraId="1921D8BD">
      <w:pPr>
        <w:ind w:firstLine="480"/>
        <w:rPr>
          <w:color w:val="000000" w:themeColor="text1"/>
          <w14:textFill>
            <w14:solidFill>
              <w14:schemeClr w14:val="tx1"/>
            </w14:solidFill>
          </w14:textFill>
        </w:rPr>
      </w:pPr>
      <w:r>
        <w:rPr>
          <w:color w:val="000000" w:themeColor="text1"/>
          <w14:textFill>
            <w14:solidFill>
              <w14:schemeClr w14:val="tx1"/>
            </w14:solidFill>
          </w14:textFill>
        </w:rPr>
        <w:t>（1）《</w:t>
      </w:r>
      <w:r>
        <w:rPr>
          <w:color w:val="000000" w:themeColor="text1"/>
          <w:lang w:val="zh-CN"/>
          <w14:textFill>
            <w14:solidFill>
              <w14:schemeClr w14:val="tx1"/>
            </w14:solidFill>
          </w14:textFill>
        </w:rPr>
        <w:t>黄檗山万福寺旅游公路</w:t>
      </w:r>
      <w:r>
        <w:rPr>
          <w:color w:val="000000" w:themeColor="text1"/>
          <w14:textFill>
            <w14:solidFill>
              <w14:schemeClr w14:val="tx1"/>
            </w14:solidFill>
          </w14:textFill>
        </w:rPr>
        <w:t>可行性研究报告》</w:t>
      </w:r>
      <w:r>
        <w:rPr>
          <w:rFonts w:hint="eastAsia"/>
          <w:color w:val="000000" w:themeColor="text1"/>
          <w14:textFill>
            <w14:solidFill>
              <w14:schemeClr w14:val="tx1"/>
            </w14:solidFill>
          </w14:textFill>
        </w:rPr>
        <w:t>，冠程设计咨询有限公司</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月；</w:t>
      </w:r>
    </w:p>
    <w:p w14:paraId="1DB5F6AD">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（2）2023年11月24日，福清市发展和改革局出具《关于黄檗山万福寺旅游公路项目建议书暨可行性研究报告的批复》（</w:t>
      </w:r>
      <w:r>
        <w:rPr>
          <w:rFonts w:cs="Times New Roman"/>
          <w:kern w:val="0"/>
          <w:szCs w:val="24"/>
          <w:lang w:val="zh-CN"/>
        </w:rPr>
        <w:t>〔</w:t>
      </w:r>
      <w:r>
        <w:rPr>
          <w:color w:val="000000" w:themeColor="text1"/>
          <w:lang w:val="zh-CN"/>
          <w14:textFill>
            <w14:solidFill>
              <w14:schemeClr w14:val="tx1"/>
            </w14:solidFill>
          </w14:textFill>
        </w:rPr>
        <w:t>2023</w:t>
      </w:r>
      <w:r>
        <w:rPr>
          <w:rFonts w:cs="Times New Roman"/>
          <w:kern w:val="0"/>
          <w:szCs w:val="24"/>
          <w:lang w:val="zh-CN"/>
        </w:rPr>
        <w:t>〕</w:t>
      </w:r>
      <w:r>
        <w:rPr>
          <w:color w:val="000000" w:themeColor="text1"/>
          <w:lang w:val="zh-CN"/>
          <w14:textFill>
            <w14:solidFill>
              <w14:schemeClr w14:val="tx1"/>
            </w14:solidFill>
          </w14:textFill>
        </w:rPr>
        <w:t>850号）。</w:t>
      </w:r>
    </w:p>
    <w:p w14:paraId="0F03BF93">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《黄檗山万福寺旅游公路福清市建设项目选址会商报告书》（福清市行政服务中心）；</w:t>
      </w:r>
    </w:p>
    <w:p w14:paraId="35BAD131">
      <w:pPr>
        <w:ind w:firstLine="480"/>
        <w:rPr>
          <w:color w:val="000000" w:themeColor="text1"/>
          <w14:textFill>
            <w14:solidFill>
              <w14:schemeClr w14:val="tx1"/>
            </w14:solidFill>
          </w14:textFill>
        </w:rPr>
      </w:pPr>
      <w:r>
        <w:rPr>
          <w:color w:val="000000" w:themeColor="text1"/>
          <w14:textFill>
            <w14:solidFill>
              <w14:schemeClr w14:val="tx1"/>
            </w14:solidFill>
          </w14:textFill>
        </w:rPr>
        <w:t>（4）《建设项目用地预审和选址意见书》</w:t>
      </w:r>
      <w:r>
        <w:rPr>
          <w:rFonts w:hint="eastAsia"/>
          <w:color w:val="000000" w:themeColor="text1"/>
          <w14:textFill>
            <w14:solidFill>
              <w14:schemeClr w14:val="tx1"/>
            </w14:solidFill>
          </w14:textFill>
        </w:rPr>
        <w:t>，福清市</w:t>
      </w:r>
      <w:r>
        <w:rPr>
          <w:color w:val="000000" w:themeColor="text1"/>
          <w14:textFill>
            <w14:solidFill>
              <w14:schemeClr w14:val="tx1"/>
            </w14:solidFill>
          </w14:textFill>
        </w:rPr>
        <w:t>自然资源局，</w:t>
      </w:r>
      <w:r>
        <w:rPr>
          <w:rFonts w:hint="eastAsia"/>
          <w:color w:val="000000" w:themeColor="text1"/>
          <w14:textFill>
            <w14:solidFill>
              <w14:schemeClr w14:val="tx1"/>
            </w14:solidFill>
          </w14:textFill>
        </w:rPr>
        <w:t>用字第</w:t>
      </w:r>
      <w:r>
        <w:rPr>
          <w:rFonts w:cs="Times New Roman"/>
          <w:color w:val="000000" w:themeColor="text1"/>
          <w:kern w:val="0"/>
          <w:szCs w:val="24"/>
          <w:lang w:val="zh-CN"/>
          <w14:textFill>
            <w14:solidFill>
              <w14:schemeClr w14:val="tx1"/>
            </w14:solidFill>
          </w14:textFill>
        </w:rPr>
        <w:t>350181202400085</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19</w:t>
      </w:r>
      <w:r>
        <w:rPr>
          <w:rFonts w:hint="eastAsia"/>
          <w:color w:val="000000" w:themeColor="text1"/>
          <w14:textFill>
            <w14:solidFill>
              <w14:schemeClr w14:val="tx1"/>
            </w14:solidFill>
          </w14:textFill>
        </w:rPr>
        <w:t>日；</w:t>
      </w:r>
    </w:p>
    <w:p w14:paraId="7EC0EF7C">
      <w:pPr>
        <w:ind w:firstLine="480"/>
        <w:rPr>
          <w:rFonts w:cs="Times New Roman"/>
          <w:color w:val="000000" w:themeColor="text1"/>
          <w:kern w:val="0"/>
          <w:szCs w:val="24"/>
          <w:lang w:val="zh-CN"/>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《使用林地审核同意书》，福建省林业局，202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日，</w:t>
      </w:r>
      <w:r>
        <w:rPr>
          <w:rFonts w:cs="Times New Roman"/>
          <w:color w:val="000000" w:themeColor="text1"/>
          <w:kern w:val="0"/>
          <w:szCs w:val="24"/>
          <w:lang w:val="zh-CN"/>
          <w14:textFill>
            <w14:solidFill>
              <w14:schemeClr w14:val="tx1"/>
            </w14:solidFill>
          </w14:textFill>
        </w:rPr>
        <w:t>闽林地审</w:t>
      </w:r>
      <w:r>
        <w:rPr>
          <w:rFonts w:hint="eastAsia" w:cs="Times New Roman"/>
          <w:color w:val="000000" w:themeColor="text1"/>
          <w:kern w:val="0"/>
          <w:szCs w:val="24"/>
          <w:lang w:val="zh-CN"/>
          <w14:textFill>
            <w14:solidFill>
              <w14:schemeClr w14:val="tx1"/>
            </w14:solidFill>
          </w14:textFill>
        </w:rPr>
        <w:t>〔2024〕251号；</w:t>
      </w:r>
    </w:p>
    <w:p w14:paraId="5D4E8788">
      <w:pPr>
        <w:ind w:firstLine="480"/>
        <w:rPr>
          <w:color w:val="000000" w:themeColor="text1"/>
          <w14:textFill>
            <w14:solidFill>
              <w14:schemeClr w14:val="tx1"/>
            </w14:solidFill>
          </w14:textFill>
        </w:rPr>
      </w:pPr>
      <w:r>
        <w:rPr>
          <w:color w:val="000000" w:themeColor="text1"/>
          <w14:textFill>
            <w14:solidFill>
              <w14:schemeClr w14:val="tx1"/>
            </w14:solidFill>
          </w14:textFill>
        </w:rPr>
        <w:t>（6）《</w:t>
      </w:r>
      <w:r>
        <w:rPr>
          <w:rFonts w:hint="eastAsia"/>
          <w:color w:val="000000" w:themeColor="text1"/>
          <w14:textFill>
            <w14:solidFill>
              <w14:schemeClr w14:val="tx1"/>
            </w14:solidFill>
          </w14:textFill>
        </w:rPr>
        <w:t>黄檗山万福寺旅游公路</w:t>
      </w:r>
      <w:r>
        <w:rPr>
          <w:color w:val="000000" w:themeColor="text1"/>
          <w14:textFill>
            <w14:solidFill>
              <w14:schemeClr w14:val="tx1"/>
            </w14:solidFill>
          </w14:textFill>
        </w:rPr>
        <w:t>初步设计》</w:t>
      </w:r>
      <w:r>
        <w:rPr>
          <w:rFonts w:hint="eastAsia"/>
          <w:color w:val="000000" w:themeColor="text1"/>
          <w14:textFill>
            <w14:solidFill>
              <w14:schemeClr w14:val="tx1"/>
            </w14:solidFill>
          </w14:textFill>
        </w:rPr>
        <w:t>，迅捷交通科技集团有限公司</w:t>
      </w:r>
      <w:r>
        <w:rPr>
          <w:color w:val="000000" w:themeColor="text1"/>
          <w14:textFill>
            <w14:solidFill>
              <w14:schemeClr w14:val="tx1"/>
            </w14:solidFill>
          </w14:textFill>
        </w:rPr>
        <w:t>，2024年3月。</w:t>
      </w:r>
    </w:p>
    <w:p w14:paraId="020EB01C">
      <w:pPr>
        <w:ind w:firstLine="480"/>
        <w:rPr>
          <w:color w:val="000000" w:themeColor="text1"/>
          <w14:textFill>
            <w14:solidFill>
              <w14:schemeClr w14:val="tx1"/>
            </w14:solidFill>
          </w14:textFill>
        </w:rPr>
      </w:pPr>
      <w:r>
        <w:rPr>
          <w:color w:val="000000" w:themeColor="text1"/>
          <w14:textFill>
            <w14:solidFill>
              <w14:schemeClr w14:val="tx1"/>
            </w14:solidFill>
          </w14:textFill>
        </w:rPr>
        <w:t>（7）《</w:t>
      </w:r>
      <w:r>
        <w:rPr>
          <w:rFonts w:hint="eastAsia"/>
          <w:color w:val="000000" w:themeColor="text1"/>
          <w14:textFill>
            <w14:solidFill>
              <w14:schemeClr w14:val="tx1"/>
            </w14:solidFill>
          </w14:textFill>
        </w:rPr>
        <w:t>黄檗山万福寺旅游公路</w:t>
      </w:r>
      <w:r>
        <w:rPr>
          <w:color w:val="000000" w:themeColor="text1"/>
          <w14:textFill>
            <w14:solidFill>
              <w14:schemeClr w14:val="tx1"/>
            </w14:solidFill>
          </w14:textFill>
        </w:rPr>
        <w:t>水土保持方案报告书》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2024年。</w:t>
      </w:r>
    </w:p>
    <w:p w14:paraId="2F7BFD86">
      <w:pPr>
        <w:ind w:firstLine="480"/>
        <w:rPr>
          <w:color w:val="000000" w:themeColor="text1"/>
          <w14:textFill>
            <w14:solidFill>
              <w14:schemeClr w14:val="tx1"/>
            </w14:solidFill>
          </w14:textFill>
        </w:rPr>
      </w:pPr>
      <w:r>
        <w:rPr>
          <w:color w:val="000000" w:themeColor="text1"/>
          <w14:textFill>
            <w14:solidFill>
              <w14:schemeClr w14:val="tx1"/>
            </w14:solidFill>
          </w14:textFill>
        </w:rPr>
        <w:t>（8）《</w:t>
      </w:r>
      <w:r>
        <w:rPr>
          <w:rFonts w:hint="eastAsia"/>
          <w:color w:val="000000" w:themeColor="text1"/>
          <w14:textFill>
            <w14:solidFill>
              <w14:schemeClr w14:val="tx1"/>
            </w14:solidFill>
          </w14:textFill>
        </w:rPr>
        <w:t>福清市水利局关于黄檗山万福寺旅游公路水土保持方案的批复</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，融水利批〔2024〕128号</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2024年8月20日</w:t>
      </w:r>
      <w:r>
        <w:rPr>
          <w:color w:val="000000" w:themeColor="text1"/>
          <w14:textFill>
            <w14:solidFill>
              <w14:schemeClr w14:val="tx1"/>
            </w14:solidFill>
          </w14:textFill>
        </w:rPr>
        <w:t>。</w:t>
      </w:r>
    </w:p>
    <w:p w14:paraId="6E41F800">
      <w:pPr>
        <w:ind w:firstLine="480"/>
        <w:rPr>
          <w:color w:val="000000" w:themeColor="text1"/>
          <w14:textFill>
            <w14:solidFill>
              <w14:schemeClr w14:val="tx1"/>
            </w14:solidFill>
          </w14:textFill>
        </w:rPr>
      </w:pPr>
      <w:r>
        <w:rPr>
          <w:color w:val="000000" w:themeColor="text1"/>
          <w14:textFill>
            <w14:solidFill>
              <w14:schemeClr w14:val="tx1"/>
            </w14:solidFill>
          </w14:textFill>
        </w:rPr>
        <w:t>（9）</w:t>
      </w:r>
      <w:r>
        <w:rPr>
          <w:rFonts w:hint="eastAsia"/>
          <w:color w:val="000000" w:themeColor="text1"/>
          <w14:textFill>
            <w14:solidFill>
              <w14:schemeClr w14:val="tx1"/>
            </w14:solidFill>
          </w14:textFill>
        </w:rPr>
        <w:t>项目区的其他资料。</w:t>
      </w:r>
    </w:p>
    <w:p w14:paraId="524274EE">
      <w:pPr>
        <w:pStyle w:val="116"/>
        <w:rPr>
          <w:color w:val="000000" w:themeColor="text1"/>
          <w14:textFill>
            <w14:solidFill>
              <w14:schemeClr w14:val="tx1"/>
            </w14:solidFill>
          </w14:textFill>
        </w:rPr>
      </w:pPr>
      <w:bookmarkStart w:id="55" w:name="_Toc88864630"/>
      <w:bookmarkStart w:id="56" w:name="_Toc61517046"/>
      <w:bookmarkStart w:id="57" w:name="_Toc193912358"/>
      <w:bookmarkStart w:id="58" w:name="_Toc88764824"/>
      <w:bookmarkStart w:id="59" w:name="_Toc154668018"/>
      <w:bookmarkStart w:id="60" w:name="_Toc159405452"/>
      <w:r>
        <w:rPr>
          <w:rFonts w:hint="eastAsia"/>
          <w:color w:val="000000" w:themeColor="text1"/>
          <w14:textFill>
            <w14:solidFill>
              <w14:schemeClr w14:val="tx1"/>
            </w14:solidFill>
          </w14:textFill>
        </w:rPr>
        <w:t>评价目的与原则</w:t>
      </w:r>
      <w:bookmarkEnd w:id="55"/>
      <w:bookmarkEnd w:id="56"/>
      <w:bookmarkEnd w:id="57"/>
      <w:bookmarkEnd w:id="58"/>
      <w:bookmarkEnd w:id="59"/>
      <w:bookmarkEnd w:id="60"/>
    </w:p>
    <w:p w14:paraId="16694ED4">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评价目的</w:t>
      </w:r>
    </w:p>
    <w:p w14:paraId="1D9828DC">
      <w:pPr>
        <w:ind w:firstLine="480"/>
        <w:rPr>
          <w:color w:val="000000" w:themeColor="text1"/>
          <w14:textFill>
            <w14:solidFill>
              <w14:schemeClr w14:val="tx1"/>
            </w14:solidFill>
          </w14:textFill>
        </w:rPr>
      </w:pPr>
      <w:bookmarkStart w:id="61" w:name="_Hlk90112836"/>
      <w:r>
        <w:rPr>
          <w:rFonts w:hint="eastAsia"/>
          <w:color w:val="000000" w:themeColor="text1"/>
          <w14:textFill>
            <w14:solidFill>
              <w14:schemeClr w14:val="tx1"/>
            </w14:solidFill>
          </w14:textFill>
        </w:rPr>
        <w:t>通过对项目沿线地区环境现状调查与监测，了解区域环境现状及区域环境问题；在工程影响因素分析的基础上，对项目施工期及运营期对周围环境造成的影响程度及范围进行预测评价或分析；从环境保护角度论证管线建设的合理性、可行性。并根据评价结果，提出切实可行的环保措施和建议，使公路建设对环境造成的不利影响降至最低程度，达到公路建设与环境保护协调发展的目的，为工程设计、环境管理及环境规划提供依据。</w:t>
      </w:r>
      <w:bookmarkEnd w:id="61"/>
    </w:p>
    <w:p w14:paraId="30B76880">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评价原则</w:t>
      </w:r>
    </w:p>
    <w:p w14:paraId="0820CF7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采用“以点为主，点线结合，突出重点”的工作原则。针对沿线生态环境影响较敏感的特点，并充分考虑项目所经地段环境特征，选择典型工程作为评价重点。根据环境影响评价结果，提出技术上可行、经济上合理的环境保护对策与措施。</w:t>
      </w:r>
    </w:p>
    <w:p w14:paraId="0D550D67">
      <w:pPr>
        <w:pStyle w:val="116"/>
        <w:rPr>
          <w:color w:val="000000" w:themeColor="text1"/>
          <w14:textFill>
            <w14:solidFill>
              <w14:schemeClr w14:val="tx1"/>
            </w14:solidFill>
          </w14:textFill>
        </w:rPr>
      </w:pPr>
      <w:bookmarkStart w:id="62" w:name="_Toc154668019"/>
      <w:bookmarkStart w:id="63" w:name="_Toc159405453"/>
      <w:bookmarkStart w:id="64" w:name="_Toc88764825"/>
      <w:bookmarkStart w:id="65" w:name="_Toc193912359"/>
      <w:bookmarkStart w:id="66" w:name="_Toc88864631"/>
      <w:r>
        <w:rPr>
          <w:rFonts w:hint="eastAsia"/>
          <w:color w:val="000000" w:themeColor="text1"/>
          <w14:textFill>
            <w14:solidFill>
              <w14:schemeClr w14:val="tx1"/>
            </w14:solidFill>
          </w14:textFill>
        </w:rPr>
        <w:t>评价方法与时段</w:t>
      </w:r>
      <w:bookmarkEnd w:id="62"/>
      <w:bookmarkEnd w:id="63"/>
      <w:bookmarkEnd w:id="64"/>
      <w:bookmarkEnd w:id="65"/>
      <w:bookmarkEnd w:id="66"/>
      <w:r>
        <w:rPr>
          <w:rFonts w:hint="eastAsia"/>
          <w:color w:val="000000" w:themeColor="text1"/>
          <w14:textFill>
            <w14:solidFill>
              <w14:schemeClr w14:val="tx1"/>
            </w14:solidFill>
          </w14:textFill>
        </w:rPr>
        <w:t xml:space="preserve"> </w:t>
      </w:r>
    </w:p>
    <w:p w14:paraId="2067A53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评价方法 </w:t>
      </w:r>
    </w:p>
    <w:p w14:paraId="5ACB4AF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于本项目为线路工程，评价按“以点为主、点线结合、反馈全线”的方法开展工作。结合本项目各区段的环境特征和各评价要素的评价工作等级，有针对、有侧重地对环境要素进行监测与评价。通过类比调查，选择适当的模式和参数，定量或定性地分析项目施工期间和</w:t>
      </w:r>
      <w:bookmarkStart w:id="67" w:name="_Hlk149829220"/>
      <w:r>
        <w:rPr>
          <w:rFonts w:hint="eastAsia"/>
          <w:color w:val="000000" w:themeColor="text1"/>
          <w14:textFill>
            <w14:solidFill>
              <w14:schemeClr w14:val="tx1"/>
            </w14:solidFill>
          </w14:textFill>
        </w:rPr>
        <w:t>运营期</w:t>
      </w:r>
      <w:bookmarkEnd w:id="67"/>
      <w:r>
        <w:rPr>
          <w:rFonts w:hint="eastAsia"/>
          <w:color w:val="000000" w:themeColor="text1"/>
          <w14:textFill>
            <w14:solidFill>
              <w14:schemeClr w14:val="tx1"/>
            </w14:solidFill>
          </w14:textFill>
        </w:rPr>
        <w:t>对周围环境的影响，以及事故状况下的影响，针对评价结论反映出的主要问题，结合国内外现有方法提出预防、恢复和缓解措施。结合工程沿线国土空间规划、 环境功能区划、生态保护规划和土地利用规划等，论证线路选线的环境可行性。最后综合分析各章节评价结论，给出该项目建设的环境可行性结论。</w:t>
      </w:r>
    </w:p>
    <w:p w14:paraId="2FC6E947">
      <w:pPr>
        <w:pStyle w:val="120"/>
        <w:rPr>
          <w:color w:val="000000" w:themeColor="text1"/>
          <w14:textFill>
            <w14:solidFill>
              <w14:schemeClr w14:val="tx1"/>
            </w14:solidFill>
          </w14:textFill>
        </w:rPr>
      </w:pPr>
      <w:bookmarkStart w:id="68" w:name="_Toc61517047"/>
      <w:r>
        <w:rPr>
          <w:rFonts w:hint="eastAsia"/>
          <w:color w:val="000000" w:themeColor="text1"/>
          <w14:textFill>
            <w14:solidFill>
              <w14:schemeClr w14:val="tx1"/>
            </w14:solidFill>
          </w14:textFill>
        </w:rPr>
        <w:t>评价时段</w:t>
      </w:r>
      <w:bookmarkEnd w:id="68"/>
    </w:p>
    <w:p w14:paraId="696539C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评价时段包括施工期、运营期两个时段。</w:t>
      </w:r>
    </w:p>
    <w:p w14:paraId="43104FC6">
      <w:pPr>
        <w:pStyle w:val="116"/>
        <w:rPr>
          <w:color w:val="000000" w:themeColor="text1"/>
          <w14:textFill>
            <w14:solidFill>
              <w14:schemeClr w14:val="tx1"/>
            </w14:solidFill>
          </w14:textFill>
        </w:rPr>
      </w:pPr>
      <w:bookmarkStart w:id="69" w:name="_Toc159405454"/>
      <w:bookmarkStart w:id="70" w:name="_Toc436210158"/>
      <w:bookmarkStart w:id="71" w:name="_Toc193912360"/>
      <w:bookmarkStart w:id="72" w:name="_Toc434828379"/>
      <w:bookmarkStart w:id="73" w:name="_Toc311791663"/>
      <w:bookmarkStart w:id="74" w:name="_Toc312931350"/>
      <w:bookmarkStart w:id="75" w:name="_Toc434828715"/>
      <w:bookmarkStart w:id="76" w:name="_Toc311791903"/>
      <w:bookmarkStart w:id="77" w:name="_Toc434829212"/>
      <w:bookmarkStart w:id="78" w:name="_Toc313956717"/>
      <w:bookmarkStart w:id="79" w:name="_Toc434828843"/>
      <w:bookmarkStart w:id="80" w:name="_Toc153957810"/>
      <w:bookmarkStart w:id="81" w:name="_Toc458669841"/>
      <w:bookmarkStart w:id="82" w:name="_Toc339981188"/>
      <w:bookmarkStart w:id="83" w:name="_Toc362213793"/>
      <w:bookmarkStart w:id="84" w:name="_Toc365648209"/>
      <w:bookmarkStart w:id="85" w:name="_Toc274728080"/>
      <w:bookmarkStart w:id="86" w:name="_Toc276996440"/>
      <w:bookmarkStart w:id="87" w:name="_Toc3787500"/>
      <w:bookmarkStart w:id="88" w:name="_Toc140576111"/>
      <w:bookmarkStart w:id="89" w:name="_Toc281848350"/>
      <w:bookmarkStart w:id="90" w:name="_Toc274819091"/>
      <w:bookmarkStart w:id="91" w:name="_Toc281395245"/>
      <w:bookmarkStart w:id="92" w:name="_Toc274754576"/>
      <w:bookmarkStart w:id="93" w:name="_Toc280864703"/>
      <w:bookmarkStart w:id="94" w:name="_Toc274754132"/>
      <w:bookmarkStart w:id="95" w:name="_Toc276996326"/>
      <w:bookmarkStart w:id="96" w:name="_Toc288433932"/>
      <w:bookmarkStart w:id="97" w:name="_Toc281397405"/>
      <w:bookmarkStart w:id="98" w:name="_Toc249159877"/>
      <w:bookmarkStart w:id="99" w:name="_Toc275177882"/>
      <w:bookmarkStart w:id="100" w:name="_Toc287345697"/>
      <w:r>
        <w:rPr>
          <w:color w:val="000000" w:themeColor="text1"/>
          <w14:textFill>
            <w14:solidFill>
              <w14:schemeClr w14:val="tx1"/>
            </w14:solidFill>
          </w14:textFill>
        </w:rPr>
        <w:t>环境影响因子识别和评价因子筛选</w:t>
      </w:r>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14:paraId="0F4D64AC">
      <w:pPr>
        <w:pStyle w:val="120"/>
        <w:rPr>
          <w:color w:val="000000" w:themeColor="text1"/>
          <w14:textFill>
            <w14:solidFill>
              <w14:schemeClr w14:val="tx1"/>
            </w14:solidFill>
          </w14:textFill>
        </w:rPr>
      </w:pPr>
      <w:bookmarkStart w:id="101" w:name="_Toc365648210"/>
      <w:bookmarkStart w:id="102" w:name="_Toc362213794"/>
      <w:bookmarkStart w:id="103" w:name="_Toc311791664"/>
      <w:r>
        <w:rPr>
          <w:color w:val="000000" w:themeColor="text1"/>
          <w14:textFill>
            <w14:solidFill>
              <w14:schemeClr w14:val="tx1"/>
            </w14:solidFill>
          </w14:textFill>
        </w:rPr>
        <w:t>环境影响因子识别</w:t>
      </w:r>
      <w:bookmarkEnd w:id="101"/>
      <w:bookmarkEnd w:id="102"/>
      <w:bookmarkEnd w:id="103"/>
    </w:p>
    <w:p w14:paraId="6B834ABC">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（1）环境影响因素识别</w:t>
      </w:r>
    </w:p>
    <w:p w14:paraId="2D2AB65D">
      <w:pPr>
        <w:ind w:firstLine="480"/>
        <w:rPr>
          <w:snapToGrid w:val="0"/>
          <w:color w:val="000000" w:themeColor="text1"/>
          <w14:textFill>
            <w14:solidFill>
              <w14:schemeClr w14:val="tx1"/>
            </w14:solidFill>
          </w14:textFill>
        </w:rPr>
      </w:pPr>
      <w:bookmarkStart w:id="104" w:name="_Hlk149829471"/>
      <w:r>
        <w:rPr>
          <w:rFonts w:hint="eastAsia"/>
          <w:snapToGrid w:val="0"/>
          <w:color w:val="000000" w:themeColor="text1"/>
          <w14:textFill>
            <w14:solidFill>
              <w14:schemeClr w14:val="tx1"/>
            </w14:solidFill>
          </w14:textFill>
        </w:rPr>
        <w:t>在对拟建公路沿线现场踏勘的基础上，根据公路沿线的环境状况和工程规模，对本项目的环境影响因素采用矩阵筛选法识别。各阶段环境影响因素矩阵筛</w:t>
      </w:r>
      <w:bookmarkStart w:id="105" w:name="hmcheck_dc9a0d2c2c80442892c7cdb8676abf6c"/>
      <w:r>
        <w:rPr>
          <w:rFonts w:hint="eastAsia"/>
          <w:snapToGrid w:val="0"/>
          <w:color w:val="000000" w:themeColor="text1"/>
          <w:shd w:val="clear" w:fill="FFAFAA"/>
          <w14:textFill>
            <w14:solidFill>
              <w14:schemeClr w14:val="tx1"/>
            </w14:solidFill>
          </w14:textFill>
        </w:rPr>
        <w:t>选</w:t>
      </w:r>
      <w:bookmarkEnd w:id="105"/>
      <w:r>
        <w:rPr>
          <w:rFonts w:hint="eastAsia"/>
          <w:snapToGrid w:val="0"/>
          <w:color w:val="000000" w:themeColor="text1"/>
          <w14:textFill>
            <w14:solidFill>
              <w14:schemeClr w14:val="tx1"/>
            </w14:solidFill>
          </w14:textFill>
        </w:rPr>
        <w:t>见</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w:instrText>
      </w:r>
      <w:r>
        <w:rPr>
          <w:rFonts w:hint="eastAsia"/>
          <w:snapToGrid w:val="0"/>
          <w:color w:val="000000" w:themeColor="text1"/>
          <w14:textFill>
            <w14:solidFill>
              <w14:schemeClr w14:val="tx1"/>
            </w14:solidFill>
          </w14:textFill>
        </w:rPr>
        <w:instrText xml:space="preserve">REF _Ref140099001 \r \h</w:instrText>
      </w:r>
      <w:r>
        <w:rPr>
          <w:snapToGrid w:val="0"/>
          <w:color w:val="000000" w:themeColor="text1"/>
          <w14:textFill>
            <w14:solidFill>
              <w14:schemeClr w14:val="tx1"/>
            </w14:solidFill>
          </w14:textFill>
        </w:rPr>
        <w:instrText xml:space="preserve">  \* MERGEFORMAT </w:instrText>
      </w:r>
      <w:r>
        <w:rPr>
          <w:snapToGrid w:val="0"/>
          <w:color w:val="000000" w:themeColor="text1"/>
          <w14:textFill>
            <w14:solidFill>
              <w14:schemeClr w14:val="tx1"/>
            </w14:solidFill>
          </w14:textFill>
        </w:rPr>
        <w:fldChar w:fldCharType="separate"/>
      </w:r>
      <w:r>
        <w:rPr>
          <w:rFonts w:hint="eastAsia"/>
          <w:snapToGrid w:val="0"/>
          <w:color w:val="000000" w:themeColor="text1"/>
          <w14:textFill>
            <w14:solidFill>
              <w14:schemeClr w14:val="tx1"/>
            </w14:solidFill>
          </w14:textFill>
        </w:rPr>
        <w:t>表2.4-1</w:t>
      </w:r>
      <w:r>
        <w:rPr>
          <w:snapToGrid w:val="0"/>
          <w:color w:val="000000" w:themeColor="text1"/>
          <w14:textFill>
            <w14:solidFill>
              <w14:schemeClr w14:val="tx1"/>
            </w14:solidFill>
          </w14:textFill>
        </w:rPr>
        <w:fldChar w:fldCharType="end"/>
      </w:r>
      <w:r>
        <w:rPr>
          <w:rFonts w:hint="eastAsia"/>
          <w:snapToGrid w:val="0"/>
          <w:color w:val="000000" w:themeColor="text1"/>
          <w14:textFill>
            <w14:solidFill>
              <w14:schemeClr w14:val="tx1"/>
            </w14:solidFill>
          </w14:textFill>
        </w:rPr>
        <w:t>。</w:t>
      </w:r>
    </w:p>
    <w:p w14:paraId="34AF5FC0">
      <w:pPr>
        <w:ind w:firstLine="48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从</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w:instrText>
      </w:r>
      <w:r>
        <w:rPr>
          <w:rFonts w:hint="eastAsia"/>
          <w:snapToGrid w:val="0"/>
          <w:color w:val="000000" w:themeColor="text1"/>
          <w14:textFill>
            <w14:solidFill>
              <w14:schemeClr w14:val="tx1"/>
            </w14:solidFill>
          </w14:textFill>
        </w:rPr>
        <w:instrText xml:space="preserve">REF _Ref140099001 \r \h</w:instrText>
      </w:r>
      <w:r>
        <w:rPr>
          <w:snapToGrid w:val="0"/>
          <w:color w:val="000000" w:themeColor="text1"/>
          <w14:textFill>
            <w14:solidFill>
              <w14:schemeClr w14:val="tx1"/>
            </w14:solidFill>
          </w14:textFill>
        </w:rPr>
        <w:instrText xml:space="preserve">  \* MERGEFORMAT </w:instrText>
      </w:r>
      <w:r>
        <w:rPr>
          <w:snapToGrid w:val="0"/>
          <w:color w:val="000000" w:themeColor="text1"/>
          <w14:textFill>
            <w14:solidFill>
              <w14:schemeClr w14:val="tx1"/>
            </w14:solidFill>
          </w14:textFill>
        </w:rPr>
        <w:fldChar w:fldCharType="separate"/>
      </w:r>
      <w:r>
        <w:rPr>
          <w:rFonts w:hint="eastAsia"/>
          <w:snapToGrid w:val="0"/>
          <w:color w:val="000000" w:themeColor="text1"/>
          <w14:textFill>
            <w14:solidFill>
              <w14:schemeClr w14:val="tx1"/>
            </w14:solidFill>
          </w14:textFill>
        </w:rPr>
        <w:t>表2.4-1</w:t>
      </w:r>
      <w:r>
        <w:rPr>
          <w:snapToGrid w:val="0"/>
          <w:color w:val="000000" w:themeColor="text1"/>
          <w14:textFill>
            <w14:solidFill>
              <w14:schemeClr w14:val="tx1"/>
            </w14:solidFill>
          </w14:textFill>
        </w:rPr>
        <w:fldChar w:fldCharType="end"/>
      </w:r>
      <w:r>
        <w:rPr>
          <w:rFonts w:hint="eastAsia"/>
          <w:snapToGrid w:val="0"/>
          <w:color w:val="000000" w:themeColor="text1"/>
          <w14:textFill>
            <w14:solidFill>
              <w14:schemeClr w14:val="tx1"/>
            </w14:solidFill>
          </w14:textFill>
        </w:rPr>
        <w:t>中可以看出公路建设对沿线环境的影响主要表现在项目前期工作时段、施工期、运营期，其中以施工期对环境的影响最大。</w:t>
      </w:r>
    </w:p>
    <w:p w14:paraId="036841FB">
      <w:pPr>
        <w:ind w:firstLine="480"/>
        <w:rPr>
          <w:snapToGrid w:val="0"/>
          <w:color w:val="000000" w:themeColor="text1"/>
          <w14:textFill>
            <w14:solidFill>
              <w14:schemeClr w14:val="tx1"/>
            </w14:solidFill>
          </w14:textFill>
        </w:rPr>
      </w:pPr>
    </w:p>
    <w:p w14:paraId="7990C7DA">
      <w:pPr>
        <w:ind w:firstLine="480"/>
        <w:rPr>
          <w:snapToGrid w:val="0"/>
          <w:color w:val="000000" w:themeColor="text1"/>
          <w14:textFill>
            <w14:solidFill>
              <w14:schemeClr w14:val="tx1"/>
            </w14:solidFill>
          </w14:textFill>
        </w:rPr>
      </w:pPr>
    </w:p>
    <w:p w14:paraId="6D3D4642">
      <w:pPr>
        <w:ind w:firstLine="480"/>
        <w:rPr>
          <w:snapToGrid w:val="0"/>
          <w:color w:val="000000" w:themeColor="text1"/>
          <w14:textFill>
            <w14:solidFill>
              <w14:schemeClr w14:val="tx1"/>
            </w14:solidFill>
          </w14:textFill>
        </w:rPr>
      </w:pPr>
    </w:p>
    <w:p w14:paraId="7D36011C">
      <w:pPr>
        <w:pStyle w:val="87"/>
        <w:spacing w:before="120"/>
        <w:ind w:left="480" w:firstLine="480"/>
        <w:rPr>
          <w:color w:val="000000" w:themeColor="text1"/>
          <w14:textFill>
            <w14:solidFill>
              <w14:schemeClr w14:val="tx1"/>
            </w14:solidFill>
          </w14:textFill>
        </w:rPr>
      </w:pPr>
      <w:bookmarkStart w:id="106" w:name="_Ref140099001"/>
      <w:r>
        <w:rPr>
          <w:color w:val="000000" w:themeColor="text1"/>
          <w14:textFill>
            <w14:solidFill>
              <w14:schemeClr w14:val="tx1"/>
            </w14:solidFill>
          </w14:textFill>
        </w:rPr>
        <w:t>项目环境影响评价因子识别结果一览表</w:t>
      </w:r>
      <w:bookmarkEnd w:id="106"/>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672"/>
        <w:gridCol w:w="630"/>
        <w:gridCol w:w="630"/>
        <w:gridCol w:w="986"/>
        <w:gridCol w:w="903"/>
        <w:gridCol w:w="630"/>
        <w:gridCol w:w="639"/>
        <w:gridCol w:w="630"/>
        <w:gridCol w:w="630"/>
        <w:gridCol w:w="630"/>
        <w:gridCol w:w="631"/>
      </w:tblGrid>
      <w:tr w14:paraId="269359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265" w:type="pct"/>
            <w:gridSpan w:val="2"/>
            <w:vMerge w:val="restart"/>
            <w:vAlign w:val="center"/>
          </w:tcPr>
          <w:p w14:paraId="33EC486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施工行为</w:t>
            </w:r>
          </w:p>
          <w:p w14:paraId="1AB420E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环境资源</w:t>
            </w:r>
          </w:p>
        </w:tc>
        <w:tc>
          <w:tcPr>
            <w:tcW w:w="678" w:type="pct"/>
            <w:gridSpan w:val="2"/>
            <w:vAlign w:val="center"/>
          </w:tcPr>
          <w:p w14:paraId="3956EF8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前期</w:t>
            </w:r>
          </w:p>
        </w:tc>
        <w:tc>
          <w:tcPr>
            <w:tcW w:w="1700" w:type="pct"/>
            <w:gridSpan w:val="4"/>
            <w:vAlign w:val="center"/>
          </w:tcPr>
          <w:p w14:paraId="5521593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施工期</w:t>
            </w:r>
          </w:p>
        </w:tc>
        <w:tc>
          <w:tcPr>
            <w:tcW w:w="1357" w:type="pct"/>
            <w:gridSpan w:val="4"/>
            <w:vAlign w:val="center"/>
          </w:tcPr>
          <w:p w14:paraId="5F3667C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运营期</w:t>
            </w:r>
          </w:p>
        </w:tc>
      </w:tr>
      <w:tr w14:paraId="39AFFB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1265" w:type="pct"/>
            <w:gridSpan w:val="2"/>
            <w:vMerge w:val="continue"/>
            <w:vAlign w:val="center"/>
          </w:tcPr>
          <w:p w14:paraId="2402D2AE">
            <w:pPr>
              <w:pStyle w:val="105"/>
              <w:jc w:val="center"/>
              <w:rPr>
                <w:color w:val="000000" w:themeColor="text1"/>
                <w14:textFill>
                  <w14:solidFill>
                    <w14:schemeClr w14:val="tx1"/>
                  </w14:solidFill>
                </w14:textFill>
              </w:rPr>
            </w:pPr>
          </w:p>
        </w:tc>
        <w:tc>
          <w:tcPr>
            <w:tcW w:w="339" w:type="pct"/>
            <w:tcMar>
              <w:left w:w="0" w:type="dxa"/>
              <w:right w:w="0" w:type="dxa"/>
            </w:tcMar>
            <w:vAlign w:val="center"/>
          </w:tcPr>
          <w:p w14:paraId="3A06F20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征地</w:t>
            </w:r>
          </w:p>
        </w:tc>
        <w:tc>
          <w:tcPr>
            <w:tcW w:w="339" w:type="pct"/>
            <w:tcMar>
              <w:left w:w="0" w:type="dxa"/>
              <w:right w:w="0" w:type="dxa"/>
            </w:tcMar>
            <w:vAlign w:val="center"/>
          </w:tcPr>
          <w:p w14:paraId="2F2AB73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拆迁</w:t>
            </w:r>
          </w:p>
        </w:tc>
        <w:tc>
          <w:tcPr>
            <w:tcW w:w="531" w:type="pct"/>
            <w:tcMar>
              <w:left w:w="0" w:type="dxa"/>
              <w:right w:w="0" w:type="dxa"/>
            </w:tcMar>
            <w:vAlign w:val="center"/>
          </w:tcPr>
          <w:p w14:paraId="2A0588D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临时</w:t>
            </w:r>
          </w:p>
          <w:p w14:paraId="47EC2A3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占地</w:t>
            </w:r>
          </w:p>
        </w:tc>
        <w:tc>
          <w:tcPr>
            <w:tcW w:w="486" w:type="pct"/>
            <w:tcMar>
              <w:left w:w="0" w:type="dxa"/>
              <w:right w:w="0" w:type="dxa"/>
            </w:tcMar>
            <w:vAlign w:val="center"/>
          </w:tcPr>
          <w:p w14:paraId="679C772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路基</w:t>
            </w:r>
          </w:p>
          <w:p w14:paraId="291E11F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路面</w:t>
            </w:r>
          </w:p>
        </w:tc>
        <w:tc>
          <w:tcPr>
            <w:tcW w:w="339" w:type="pct"/>
            <w:tcMar>
              <w:left w:w="0" w:type="dxa"/>
              <w:right w:w="0" w:type="dxa"/>
            </w:tcMar>
            <w:vAlign w:val="center"/>
          </w:tcPr>
          <w:p w14:paraId="5383D11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桥涵</w:t>
            </w:r>
          </w:p>
        </w:tc>
        <w:tc>
          <w:tcPr>
            <w:tcW w:w="344" w:type="pct"/>
            <w:tcMar>
              <w:left w:w="0" w:type="dxa"/>
              <w:right w:w="0" w:type="dxa"/>
            </w:tcMar>
            <w:vAlign w:val="center"/>
          </w:tcPr>
          <w:p w14:paraId="530C55D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机械</w:t>
            </w:r>
          </w:p>
          <w:p w14:paraId="37AE891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作业</w:t>
            </w:r>
          </w:p>
        </w:tc>
        <w:tc>
          <w:tcPr>
            <w:tcW w:w="339" w:type="pct"/>
            <w:tcMar>
              <w:left w:w="0" w:type="dxa"/>
              <w:right w:w="0" w:type="dxa"/>
            </w:tcMar>
            <w:vAlign w:val="center"/>
          </w:tcPr>
          <w:p w14:paraId="5DBD577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运输</w:t>
            </w:r>
          </w:p>
          <w:p w14:paraId="338BD27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行驶</w:t>
            </w:r>
          </w:p>
        </w:tc>
        <w:tc>
          <w:tcPr>
            <w:tcW w:w="339" w:type="pct"/>
            <w:tcMar>
              <w:left w:w="0" w:type="dxa"/>
              <w:right w:w="0" w:type="dxa"/>
            </w:tcMar>
            <w:vAlign w:val="center"/>
          </w:tcPr>
          <w:p w14:paraId="1A2E451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绿化</w:t>
            </w:r>
          </w:p>
        </w:tc>
        <w:tc>
          <w:tcPr>
            <w:tcW w:w="339" w:type="pct"/>
            <w:tcMar>
              <w:left w:w="0" w:type="dxa"/>
              <w:right w:w="0" w:type="dxa"/>
            </w:tcMar>
            <w:vAlign w:val="center"/>
          </w:tcPr>
          <w:p w14:paraId="2AA789F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复垦</w:t>
            </w:r>
          </w:p>
        </w:tc>
        <w:tc>
          <w:tcPr>
            <w:tcW w:w="340" w:type="pct"/>
            <w:tcMar>
              <w:left w:w="0" w:type="dxa"/>
              <w:right w:w="0" w:type="dxa"/>
            </w:tcMar>
            <w:vAlign w:val="center"/>
          </w:tcPr>
          <w:p w14:paraId="42C433B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桥涵</w:t>
            </w:r>
          </w:p>
        </w:tc>
      </w:tr>
      <w:tr w14:paraId="33581B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restart"/>
            <w:vAlign w:val="center"/>
          </w:tcPr>
          <w:p w14:paraId="44C5F32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生态资源</w:t>
            </w:r>
          </w:p>
        </w:tc>
        <w:tc>
          <w:tcPr>
            <w:tcW w:w="901" w:type="pct"/>
            <w:vAlign w:val="center"/>
          </w:tcPr>
          <w:p w14:paraId="42B2AA3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土壤土质</w:t>
            </w:r>
          </w:p>
        </w:tc>
        <w:tc>
          <w:tcPr>
            <w:tcW w:w="339" w:type="pct"/>
            <w:vAlign w:val="center"/>
          </w:tcPr>
          <w:p w14:paraId="00334670">
            <w:pPr>
              <w:pStyle w:val="105"/>
              <w:jc w:val="center"/>
              <w:rPr>
                <w:color w:val="000000" w:themeColor="text1"/>
                <w14:textFill>
                  <w14:solidFill>
                    <w14:schemeClr w14:val="tx1"/>
                  </w14:solidFill>
                </w14:textFill>
              </w:rPr>
            </w:pPr>
          </w:p>
        </w:tc>
        <w:tc>
          <w:tcPr>
            <w:tcW w:w="339" w:type="pct"/>
            <w:vAlign w:val="center"/>
          </w:tcPr>
          <w:p w14:paraId="72FD784E">
            <w:pPr>
              <w:pStyle w:val="105"/>
              <w:jc w:val="center"/>
              <w:rPr>
                <w:color w:val="000000" w:themeColor="text1"/>
                <w14:textFill>
                  <w14:solidFill>
                    <w14:schemeClr w14:val="tx1"/>
                  </w14:solidFill>
                </w14:textFill>
              </w:rPr>
            </w:pPr>
          </w:p>
        </w:tc>
        <w:tc>
          <w:tcPr>
            <w:tcW w:w="531" w:type="pct"/>
            <w:vAlign w:val="center"/>
          </w:tcPr>
          <w:p w14:paraId="6F609B9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2373F99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48519726">
            <w:pPr>
              <w:pStyle w:val="105"/>
              <w:jc w:val="center"/>
              <w:rPr>
                <w:color w:val="000000" w:themeColor="text1"/>
                <w14:textFill>
                  <w14:solidFill>
                    <w14:schemeClr w14:val="tx1"/>
                  </w14:solidFill>
                </w14:textFill>
              </w:rPr>
            </w:pPr>
          </w:p>
        </w:tc>
        <w:tc>
          <w:tcPr>
            <w:tcW w:w="344" w:type="pct"/>
            <w:vAlign w:val="center"/>
          </w:tcPr>
          <w:p w14:paraId="104D8B17">
            <w:pPr>
              <w:pStyle w:val="105"/>
              <w:jc w:val="center"/>
              <w:rPr>
                <w:color w:val="000000" w:themeColor="text1"/>
                <w14:textFill>
                  <w14:solidFill>
                    <w14:schemeClr w14:val="tx1"/>
                  </w14:solidFill>
                </w14:textFill>
              </w:rPr>
            </w:pPr>
          </w:p>
        </w:tc>
        <w:tc>
          <w:tcPr>
            <w:tcW w:w="339" w:type="pct"/>
            <w:vAlign w:val="center"/>
          </w:tcPr>
          <w:p w14:paraId="001906C0">
            <w:pPr>
              <w:pStyle w:val="105"/>
              <w:jc w:val="center"/>
              <w:rPr>
                <w:color w:val="000000" w:themeColor="text1"/>
                <w14:textFill>
                  <w14:solidFill>
                    <w14:schemeClr w14:val="tx1"/>
                  </w14:solidFill>
                </w14:textFill>
              </w:rPr>
            </w:pPr>
          </w:p>
        </w:tc>
        <w:tc>
          <w:tcPr>
            <w:tcW w:w="339" w:type="pct"/>
            <w:vAlign w:val="center"/>
          </w:tcPr>
          <w:p w14:paraId="66DF5E5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728CFA4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0" w:type="pct"/>
            <w:vAlign w:val="center"/>
          </w:tcPr>
          <w:p w14:paraId="5076568D">
            <w:pPr>
              <w:pStyle w:val="105"/>
              <w:jc w:val="center"/>
              <w:rPr>
                <w:color w:val="000000" w:themeColor="text1"/>
                <w14:textFill>
                  <w14:solidFill>
                    <w14:schemeClr w14:val="tx1"/>
                  </w14:solidFill>
                </w14:textFill>
              </w:rPr>
            </w:pPr>
          </w:p>
        </w:tc>
      </w:tr>
      <w:tr w14:paraId="68C45D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1E4AF6E5">
            <w:pPr>
              <w:pStyle w:val="105"/>
              <w:jc w:val="center"/>
              <w:rPr>
                <w:color w:val="000000" w:themeColor="text1"/>
                <w14:textFill>
                  <w14:solidFill>
                    <w14:schemeClr w14:val="tx1"/>
                  </w14:solidFill>
                </w14:textFill>
              </w:rPr>
            </w:pPr>
          </w:p>
        </w:tc>
        <w:tc>
          <w:tcPr>
            <w:tcW w:w="901" w:type="pct"/>
            <w:vAlign w:val="center"/>
          </w:tcPr>
          <w:p w14:paraId="075CAEC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水文</w:t>
            </w:r>
          </w:p>
        </w:tc>
        <w:tc>
          <w:tcPr>
            <w:tcW w:w="339" w:type="pct"/>
            <w:vAlign w:val="center"/>
          </w:tcPr>
          <w:p w14:paraId="6BACCFB1">
            <w:pPr>
              <w:pStyle w:val="105"/>
              <w:jc w:val="center"/>
              <w:rPr>
                <w:color w:val="000000" w:themeColor="text1"/>
                <w14:textFill>
                  <w14:solidFill>
                    <w14:schemeClr w14:val="tx1"/>
                  </w14:solidFill>
                </w14:textFill>
              </w:rPr>
            </w:pPr>
          </w:p>
        </w:tc>
        <w:tc>
          <w:tcPr>
            <w:tcW w:w="339" w:type="pct"/>
            <w:vAlign w:val="center"/>
          </w:tcPr>
          <w:p w14:paraId="67DB42B3">
            <w:pPr>
              <w:pStyle w:val="105"/>
              <w:jc w:val="center"/>
              <w:rPr>
                <w:color w:val="000000" w:themeColor="text1"/>
                <w14:textFill>
                  <w14:solidFill>
                    <w14:schemeClr w14:val="tx1"/>
                  </w14:solidFill>
                </w14:textFill>
              </w:rPr>
            </w:pPr>
          </w:p>
        </w:tc>
        <w:tc>
          <w:tcPr>
            <w:tcW w:w="531" w:type="pct"/>
            <w:vAlign w:val="center"/>
          </w:tcPr>
          <w:p w14:paraId="47300B9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141D7AF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03167A3E">
            <w:pPr>
              <w:pStyle w:val="105"/>
              <w:jc w:val="center"/>
              <w:rPr>
                <w:color w:val="000000" w:themeColor="text1"/>
                <w14:textFill>
                  <w14:solidFill>
                    <w14:schemeClr w14:val="tx1"/>
                  </w14:solidFill>
                </w14:textFill>
              </w:rPr>
            </w:pPr>
          </w:p>
        </w:tc>
        <w:tc>
          <w:tcPr>
            <w:tcW w:w="344" w:type="pct"/>
            <w:vAlign w:val="center"/>
          </w:tcPr>
          <w:p w14:paraId="16036687">
            <w:pPr>
              <w:pStyle w:val="105"/>
              <w:jc w:val="center"/>
              <w:rPr>
                <w:color w:val="000000" w:themeColor="text1"/>
                <w14:textFill>
                  <w14:solidFill>
                    <w14:schemeClr w14:val="tx1"/>
                  </w14:solidFill>
                </w14:textFill>
              </w:rPr>
            </w:pPr>
          </w:p>
        </w:tc>
        <w:tc>
          <w:tcPr>
            <w:tcW w:w="339" w:type="pct"/>
            <w:vAlign w:val="center"/>
          </w:tcPr>
          <w:p w14:paraId="5035346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6B164D5B">
            <w:pPr>
              <w:pStyle w:val="105"/>
              <w:jc w:val="center"/>
              <w:rPr>
                <w:color w:val="000000" w:themeColor="text1"/>
                <w14:textFill>
                  <w14:solidFill>
                    <w14:schemeClr w14:val="tx1"/>
                  </w14:solidFill>
                </w14:textFill>
              </w:rPr>
            </w:pPr>
          </w:p>
        </w:tc>
        <w:tc>
          <w:tcPr>
            <w:tcW w:w="339" w:type="pct"/>
            <w:vAlign w:val="center"/>
          </w:tcPr>
          <w:p w14:paraId="6E1EAF9E">
            <w:pPr>
              <w:pStyle w:val="105"/>
              <w:jc w:val="center"/>
              <w:rPr>
                <w:color w:val="000000" w:themeColor="text1"/>
                <w14:textFill>
                  <w14:solidFill>
                    <w14:schemeClr w14:val="tx1"/>
                  </w14:solidFill>
                </w14:textFill>
              </w:rPr>
            </w:pPr>
          </w:p>
        </w:tc>
        <w:tc>
          <w:tcPr>
            <w:tcW w:w="340" w:type="pct"/>
            <w:vAlign w:val="center"/>
          </w:tcPr>
          <w:p w14:paraId="7A6D1BD5">
            <w:pPr>
              <w:pStyle w:val="105"/>
              <w:jc w:val="center"/>
              <w:rPr>
                <w:color w:val="000000" w:themeColor="text1"/>
                <w14:textFill>
                  <w14:solidFill>
                    <w14:schemeClr w14:val="tx1"/>
                  </w14:solidFill>
                </w14:textFill>
              </w:rPr>
            </w:pPr>
          </w:p>
        </w:tc>
      </w:tr>
      <w:tr w14:paraId="0CA94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50791A62">
            <w:pPr>
              <w:pStyle w:val="105"/>
              <w:jc w:val="center"/>
              <w:rPr>
                <w:color w:val="000000" w:themeColor="text1"/>
                <w14:textFill>
                  <w14:solidFill>
                    <w14:schemeClr w14:val="tx1"/>
                  </w14:solidFill>
                </w14:textFill>
              </w:rPr>
            </w:pPr>
          </w:p>
        </w:tc>
        <w:tc>
          <w:tcPr>
            <w:tcW w:w="901" w:type="pct"/>
            <w:vAlign w:val="center"/>
          </w:tcPr>
          <w:p w14:paraId="7B8C41C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w:t>
            </w:r>
          </w:p>
        </w:tc>
        <w:tc>
          <w:tcPr>
            <w:tcW w:w="339" w:type="pct"/>
            <w:vAlign w:val="center"/>
          </w:tcPr>
          <w:p w14:paraId="60837F59">
            <w:pPr>
              <w:pStyle w:val="105"/>
              <w:jc w:val="center"/>
              <w:rPr>
                <w:color w:val="000000" w:themeColor="text1"/>
                <w14:textFill>
                  <w14:solidFill>
                    <w14:schemeClr w14:val="tx1"/>
                  </w14:solidFill>
                </w14:textFill>
              </w:rPr>
            </w:pPr>
          </w:p>
        </w:tc>
        <w:tc>
          <w:tcPr>
            <w:tcW w:w="339" w:type="pct"/>
            <w:vAlign w:val="center"/>
          </w:tcPr>
          <w:p w14:paraId="634FA13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531" w:type="pct"/>
            <w:vAlign w:val="center"/>
          </w:tcPr>
          <w:p w14:paraId="22803FB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18E3888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49B0D1B6">
            <w:pPr>
              <w:pStyle w:val="105"/>
              <w:jc w:val="center"/>
              <w:rPr>
                <w:color w:val="000000" w:themeColor="text1"/>
                <w14:textFill>
                  <w14:solidFill>
                    <w14:schemeClr w14:val="tx1"/>
                  </w14:solidFill>
                </w14:textFill>
              </w:rPr>
            </w:pPr>
          </w:p>
        </w:tc>
        <w:tc>
          <w:tcPr>
            <w:tcW w:w="344" w:type="pct"/>
            <w:vAlign w:val="center"/>
          </w:tcPr>
          <w:p w14:paraId="5BF8C981">
            <w:pPr>
              <w:pStyle w:val="105"/>
              <w:jc w:val="center"/>
              <w:rPr>
                <w:color w:val="000000" w:themeColor="text1"/>
                <w14:textFill>
                  <w14:solidFill>
                    <w14:schemeClr w14:val="tx1"/>
                  </w14:solidFill>
                </w14:textFill>
              </w:rPr>
            </w:pPr>
          </w:p>
        </w:tc>
        <w:tc>
          <w:tcPr>
            <w:tcW w:w="339" w:type="pct"/>
            <w:vAlign w:val="center"/>
          </w:tcPr>
          <w:p w14:paraId="2EE2FD92">
            <w:pPr>
              <w:pStyle w:val="105"/>
              <w:jc w:val="center"/>
              <w:rPr>
                <w:color w:val="000000" w:themeColor="text1"/>
                <w14:textFill>
                  <w14:solidFill>
                    <w14:schemeClr w14:val="tx1"/>
                  </w14:solidFill>
                </w14:textFill>
              </w:rPr>
            </w:pPr>
          </w:p>
        </w:tc>
        <w:tc>
          <w:tcPr>
            <w:tcW w:w="339" w:type="pct"/>
            <w:vAlign w:val="center"/>
          </w:tcPr>
          <w:p w14:paraId="5696952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73670D0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0" w:type="pct"/>
            <w:vAlign w:val="center"/>
          </w:tcPr>
          <w:p w14:paraId="5A9D68A0">
            <w:pPr>
              <w:pStyle w:val="105"/>
              <w:jc w:val="center"/>
              <w:rPr>
                <w:color w:val="000000" w:themeColor="text1"/>
                <w14:textFill>
                  <w14:solidFill>
                    <w14:schemeClr w14:val="tx1"/>
                  </w14:solidFill>
                </w14:textFill>
              </w:rPr>
            </w:pPr>
          </w:p>
        </w:tc>
      </w:tr>
      <w:tr w14:paraId="080657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1DF278A4">
            <w:pPr>
              <w:pStyle w:val="105"/>
              <w:jc w:val="center"/>
              <w:rPr>
                <w:color w:val="000000" w:themeColor="text1"/>
                <w14:textFill>
                  <w14:solidFill>
                    <w14:schemeClr w14:val="tx1"/>
                  </w14:solidFill>
                </w14:textFill>
              </w:rPr>
            </w:pPr>
          </w:p>
        </w:tc>
        <w:tc>
          <w:tcPr>
            <w:tcW w:w="901" w:type="pct"/>
            <w:vAlign w:val="center"/>
          </w:tcPr>
          <w:p w14:paraId="6DC3128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土地利用</w:t>
            </w:r>
          </w:p>
        </w:tc>
        <w:tc>
          <w:tcPr>
            <w:tcW w:w="339" w:type="pct"/>
            <w:vAlign w:val="center"/>
          </w:tcPr>
          <w:p w14:paraId="7871110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6D06C121">
            <w:pPr>
              <w:pStyle w:val="105"/>
              <w:jc w:val="center"/>
              <w:rPr>
                <w:color w:val="000000" w:themeColor="text1"/>
                <w14:textFill>
                  <w14:solidFill>
                    <w14:schemeClr w14:val="tx1"/>
                  </w14:solidFill>
                </w14:textFill>
              </w:rPr>
            </w:pPr>
          </w:p>
        </w:tc>
        <w:tc>
          <w:tcPr>
            <w:tcW w:w="531" w:type="pct"/>
            <w:vAlign w:val="center"/>
          </w:tcPr>
          <w:p w14:paraId="3BA8325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179F970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3144E09F">
            <w:pPr>
              <w:pStyle w:val="105"/>
              <w:jc w:val="center"/>
              <w:rPr>
                <w:color w:val="000000" w:themeColor="text1"/>
                <w14:textFill>
                  <w14:solidFill>
                    <w14:schemeClr w14:val="tx1"/>
                  </w14:solidFill>
                </w14:textFill>
              </w:rPr>
            </w:pPr>
          </w:p>
        </w:tc>
        <w:tc>
          <w:tcPr>
            <w:tcW w:w="344" w:type="pct"/>
            <w:vAlign w:val="center"/>
          </w:tcPr>
          <w:p w14:paraId="57E03EDF">
            <w:pPr>
              <w:pStyle w:val="105"/>
              <w:jc w:val="center"/>
              <w:rPr>
                <w:color w:val="000000" w:themeColor="text1"/>
                <w14:textFill>
                  <w14:solidFill>
                    <w14:schemeClr w14:val="tx1"/>
                  </w14:solidFill>
                </w14:textFill>
              </w:rPr>
            </w:pPr>
          </w:p>
        </w:tc>
        <w:tc>
          <w:tcPr>
            <w:tcW w:w="339" w:type="pct"/>
            <w:vAlign w:val="center"/>
          </w:tcPr>
          <w:p w14:paraId="1C64B4C8">
            <w:pPr>
              <w:pStyle w:val="105"/>
              <w:jc w:val="center"/>
              <w:rPr>
                <w:color w:val="000000" w:themeColor="text1"/>
                <w14:textFill>
                  <w14:solidFill>
                    <w14:schemeClr w14:val="tx1"/>
                  </w14:solidFill>
                </w14:textFill>
              </w:rPr>
            </w:pPr>
          </w:p>
        </w:tc>
        <w:tc>
          <w:tcPr>
            <w:tcW w:w="339" w:type="pct"/>
            <w:vAlign w:val="center"/>
          </w:tcPr>
          <w:p w14:paraId="76EA4BF2">
            <w:pPr>
              <w:pStyle w:val="105"/>
              <w:jc w:val="center"/>
              <w:rPr>
                <w:color w:val="000000" w:themeColor="text1"/>
                <w14:textFill>
                  <w14:solidFill>
                    <w14:schemeClr w14:val="tx1"/>
                  </w14:solidFill>
                </w14:textFill>
              </w:rPr>
            </w:pPr>
          </w:p>
        </w:tc>
        <w:tc>
          <w:tcPr>
            <w:tcW w:w="339" w:type="pct"/>
            <w:vAlign w:val="center"/>
          </w:tcPr>
          <w:p w14:paraId="470043D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0" w:type="pct"/>
            <w:vAlign w:val="center"/>
          </w:tcPr>
          <w:p w14:paraId="6864B54B">
            <w:pPr>
              <w:pStyle w:val="105"/>
              <w:jc w:val="center"/>
              <w:rPr>
                <w:color w:val="000000" w:themeColor="text1"/>
                <w14:textFill>
                  <w14:solidFill>
                    <w14:schemeClr w14:val="tx1"/>
                  </w14:solidFill>
                </w14:textFill>
              </w:rPr>
            </w:pPr>
          </w:p>
        </w:tc>
      </w:tr>
      <w:tr w14:paraId="3F533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362AC345">
            <w:pPr>
              <w:pStyle w:val="105"/>
              <w:jc w:val="center"/>
              <w:rPr>
                <w:color w:val="000000" w:themeColor="text1"/>
                <w14:textFill>
                  <w14:solidFill>
                    <w14:schemeClr w14:val="tx1"/>
                  </w14:solidFill>
                </w14:textFill>
              </w:rPr>
            </w:pPr>
          </w:p>
        </w:tc>
        <w:tc>
          <w:tcPr>
            <w:tcW w:w="901" w:type="pct"/>
            <w:vAlign w:val="center"/>
          </w:tcPr>
          <w:p w14:paraId="63EE8D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陆地植被</w:t>
            </w:r>
          </w:p>
        </w:tc>
        <w:tc>
          <w:tcPr>
            <w:tcW w:w="339" w:type="pct"/>
            <w:vAlign w:val="center"/>
          </w:tcPr>
          <w:p w14:paraId="06E18B1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6BEC00A1">
            <w:pPr>
              <w:pStyle w:val="105"/>
              <w:jc w:val="center"/>
              <w:rPr>
                <w:color w:val="000000" w:themeColor="text1"/>
                <w14:textFill>
                  <w14:solidFill>
                    <w14:schemeClr w14:val="tx1"/>
                  </w14:solidFill>
                </w14:textFill>
              </w:rPr>
            </w:pPr>
          </w:p>
        </w:tc>
        <w:tc>
          <w:tcPr>
            <w:tcW w:w="531" w:type="pct"/>
            <w:vAlign w:val="center"/>
          </w:tcPr>
          <w:p w14:paraId="3AB9564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2475076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43F667E8">
            <w:pPr>
              <w:pStyle w:val="105"/>
              <w:jc w:val="center"/>
              <w:rPr>
                <w:color w:val="000000" w:themeColor="text1"/>
                <w14:textFill>
                  <w14:solidFill>
                    <w14:schemeClr w14:val="tx1"/>
                  </w14:solidFill>
                </w14:textFill>
              </w:rPr>
            </w:pPr>
          </w:p>
        </w:tc>
        <w:tc>
          <w:tcPr>
            <w:tcW w:w="344" w:type="pct"/>
            <w:vAlign w:val="center"/>
          </w:tcPr>
          <w:p w14:paraId="13C820A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4CC56D38">
            <w:pPr>
              <w:pStyle w:val="105"/>
              <w:jc w:val="center"/>
              <w:rPr>
                <w:color w:val="000000" w:themeColor="text1"/>
                <w14:textFill>
                  <w14:solidFill>
                    <w14:schemeClr w14:val="tx1"/>
                  </w14:solidFill>
                </w14:textFill>
              </w:rPr>
            </w:pPr>
          </w:p>
        </w:tc>
        <w:tc>
          <w:tcPr>
            <w:tcW w:w="339" w:type="pct"/>
            <w:vAlign w:val="center"/>
          </w:tcPr>
          <w:p w14:paraId="1161965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70133AE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0" w:type="pct"/>
            <w:vAlign w:val="center"/>
          </w:tcPr>
          <w:p w14:paraId="1174DB81">
            <w:pPr>
              <w:pStyle w:val="105"/>
              <w:jc w:val="center"/>
              <w:rPr>
                <w:color w:val="000000" w:themeColor="text1"/>
                <w14:textFill>
                  <w14:solidFill>
                    <w14:schemeClr w14:val="tx1"/>
                  </w14:solidFill>
                </w14:textFill>
              </w:rPr>
            </w:pPr>
          </w:p>
        </w:tc>
      </w:tr>
      <w:tr w14:paraId="2A450C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76A1B14A">
            <w:pPr>
              <w:pStyle w:val="105"/>
              <w:jc w:val="center"/>
              <w:rPr>
                <w:color w:val="000000" w:themeColor="text1"/>
                <w14:textFill>
                  <w14:solidFill>
                    <w14:schemeClr w14:val="tx1"/>
                  </w14:solidFill>
                </w14:textFill>
              </w:rPr>
            </w:pPr>
          </w:p>
        </w:tc>
        <w:tc>
          <w:tcPr>
            <w:tcW w:w="901" w:type="pct"/>
            <w:vAlign w:val="center"/>
          </w:tcPr>
          <w:p w14:paraId="5480B69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陆栖动物</w:t>
            </w:r>
          </w:p>
        </w:tc>
        <w:tc>
          <w:tcPr>
            <w:tcW w:w="339" w:type="pct"/>
            <w:vAlign w:val="center"/>
          </w:tcPr>
          <w:p w14:paraId="1556E76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131867C3">
            <w:pPr>
              <w:pStyle w:val="105"/>
              <w:jc w:val="center"/>
              <w:rPr>
                <w:color w:val="000000" w:themeColor="text1"/>
                <w14:textFill>
                  <w14:solidFill>
                    <w14:schemeClr w14:val="tx1"/>
                  </w14:solidFill>
                </w14:textFill>
              </w:rPr>
            </w:pPr>
          </w:p>
        </w:tc>
        <w:tc>
          <w:tcPr>
            <w:tcW w:w="531" w:type="pct"/>
            <w:vAlign w:val="center"/>
          </w:tcPr>
          <w:p w14:paraId="1DFD92C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22BE899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1DC6700C">
            <w:pPr>
              <w:pStyle w:val="105"/>
              <w:jc w:val="center"/>
              <w:rPr>
                <w:color w:val="000000" w:themeColor="text1"/>
                <w14:textFill>
                  <w14:solidFill>
                    <w14:schemeClr w14:val="tx1"/>
                  </w14:solidFill>
                </w14:textFill>
              </w:rPr>
            </w:pPr>
          </w:p>
        </w:tc>
        <w:tc>
          <w:tcPr>
            <w:tcW w:w="344" w:type="pct"/>
            <w:vAlign w:val="center"/>
          </w:tcPr>
          <w:p w14:paraId="7091875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5A09A13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4A73FB5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7AA2E5A3">
            <w:pPr>
              <w:pStyle w:val="105"/>
              <w:jc w:val="center"/>
              <w:rPr>
                <w:color w:val="000000" w:themeColor="text1"/>
                <w14:textFill>
                  <w14:solidFill>
                    <w14:schemeClr w14:val="tx1"/>
                  </w14:solidFill>
                </w14:textFill>
              </w:rPr>
            </w:pPr>
          </w:p>
        </w:tc>
        <w:tc>
          <w:tcPr>
            <w:tcW w:w="340" w:type="pct"/>
            <w:vAlign w:val="center"/>
          </w:tcPr>
          <w:p w14:paraId="0EA89C04">
            <w:pPr>
              <w:pStyle w:val="105"/>
              <w:jc w:val="center"/>
              <w:rPr>
                <w:color w:val="000000" w:themeColor="text1"/>
                <w14:textFill>
                  <w14:solidFill>
                    <w14:schemeClr w14:val="tx1"/>
                  </w14:solidFill>
                </w14:textFill>
              </w:rPr>
            </w:pPr>
          </w:p>
        </w:tc>
      </w:tr>
      <w:tr w14:paraId="326CCC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441BA442">
            <w:pPr>
              <w:pStyle w:val="105"/>
              <w:jc w:val="center"/>
              <w:rPr>
                <w:color w:val="000000" w:themeColor="text1"/>
                <w14:textFill>
                  <w14:solidFill>
                    <w14:schemeClr w14:val="tx1"/>
                  </w14:solidFill>
                </w14:textFill>
              </w:rPr>
            </w:pPr>
          </w:p>
        </w:tc>
        <w:tc>
          <w:tcPr>
            <w:tcW w:w="901" w:type="pct"/>
            <w:vAlign w:val="center"/>
          </w:tcPr>
          <w:p w14:paraId="25B2B35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湿地资源</w:t>
            </w:r>
          </w:p>
        </w:tc>
        <w:tc>
          <w:tcPr>
            <w:tcW w:w="339" w:type="pct"/>
            <w:vAlign w:val="center"/>
          </w:tcPr>
          <w:p w14:paraId="6188041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0319B9C8">
            <w:pPr>
              <w:pStyle w:val="105"/>
              <w:jc w:val="center"/>
              <w:rPr>
                <w:color w:val="000000" w:themeColor="text1"/>
                <w14:textFill>
                  <w14:solidFill>
                    <w14:schemeClr w14:val="tx1"/>
                  </w14:solidFill>
                </w14:textFill>
              </w:rPr>
            </w:pPr>
          </w:p>
        </w:tc>
        <w:tc>
          <w:tcPr>
            <w:tcW w:w="531" w:type="pct"/>
            <w:vAlign w:val="center"/>
          </w:tcPr>
          <w:p w14:paraId="6633F6EB">
            <w:pPr>
              <w:pStyle w:val="105"/>
              <w:jc w:val="center"/>
              <w:rPr>
                <w:color w:val="000000" w:themeColor="text1"/>
                <w14:textFill>
                  <w14:solidFill>
                    <w14:schemeClr w14:val="tx1"/>
                  </w14:solidFill>
                </w14:textFill>
              </w:rPr>
            </w:pPr>
          </w:p>
        </w:tc>
        <w:tc>
          <w:tcPr>
            <w:tcW w:w="486" w:type="pct"/>
            <w:vAlign w:val="center"/>
          </w:tcPr>
          <w:p w14:paraId="750AB96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2BA3A9F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4" w:type="pct"/>
            <w:vAlign w:val="center"/>
          </w:tcPr>
          <w:p w14:paraId="1B8720DD">
            <w:pPr>
              <w:pStyle w:val="105"/>
              <w:jc w:val="center"/>
              <w:rPr>
                <w:color w:val="000000" w:themeColor="text1"/>
                <w14:textFill>
                  <w14:solidFill>
                    <w14:schemeClr w14:val="tx1"/>
                  </w14:solidFill>
                </w14:textFill>
              </w:rPr>
            </w:pPr>
          </w:p>
        </w:tc>
        <w:tc>
          <w:tcPr>
            <w:tcW w:w="339" w:type="pct"/>
            <w:vAlign w:val="center"/>
          </w:tcPr>
          <w:p w14:paraId="72D97D6E">
            <w:pPr>
              <w:pStyle w:val="105"/>
              <w:jc w:val="center"/>
              <w:rPr>
                <w:color w:val="000000" w:themeColor="text1"/>
                <w14:textFill>
                  <w14:solidFill>
                    <w14:schemeClr w14:val="tx1"/>
                  </w14:solidFill>
                </w14:textFill>
              </w:rPr>
            </w:pPr>
          </w:p>
        </w:tc>
        <w:tc>
          <w:tcPr>
            <w:tcW w:w="339" w:type="pct"/>
            <w:vAlign w:val="center"/>
          </w:tcPr>
          <w:p w14:paraId="77FECD37">
            <w:pPr>
              <w:pStyle w:val="105"/>
              <w:jc w:val="center"/>
              <w:rPr>
                <w:color w:val="000000" w:themeColor="text1"/>
                <w14:textFill>
                  <w14:solidFill>
                    <w14:schemeClr w14:val="tx1"/>
                  </w14:solidFill>
                </w14:textFill>
              </w:rPr>
            </w:pPr>
          </w:p>
        </w:tc>
        <w:tc>
          <w:tcPr>
            <w:tcW w:w="339" w:type="pct"/>
            <w:vAlign w:val="center"/>
          </w:tcPr>
          <w:p w14:paraId="3976F2A9">
            <w:pPr>
              <w:pStyle w:val="105"/>
              <w:jc w:val="center"/>
              <w:rPr>
                <w:color w:val="000000" w:themeColor="text1"/>
                <w14:textFill>
                  <w14:solidFill>
                    <w14:schemeClr w14:val="tx1"/>
                  </w14:solidFill>
                </w14:textFill>
              </w:rPr>
            </w:pPr>
          </w:p>
        </w:tc>
        <w:tc>
          <w:tcPr>
            <w:tcW w:w="340" w:type="pct"/>
            <w:vAlign w:val="center"/>
          </w:tcPr>
          <w:p w14:paraId="2E189F7B">
            <w:pPr>
              <w:pStyle w:val="105"/>
              <w:jc w:val="center"/>
              <w:rPr>
                <w:color w:val="000000" w:themeColor="text1"/>
                <w14:textFill>
                  <w14:solidFill>
                    <w14:schemeClr w14:val="tx1"/>
                  </w14:solidFill>
                </w14:textFill>
              </w:rPr>
            </w:pPr>
          </w:p>
        </w:tc>
      </w:tr>
      <w:tr w14:paraId="438949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restart"/>
            <w:vAlign w:val="center"/>
          </w:tcPr>
          <w:p w14:paraId="2FB3563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生态环境</w:t>
            </w:r>
          </w:p>
        </w:tc>
        <w:tc>
          <w:tcPr>
            <w:tcW w:w="901" w:type="pct"/>
            <w:vAlign w:val="center"/>
          </w:tcPr>
          <w:p w14:paraId="4AFA5AB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空气质量</w:t>
            </w:r>
          </w:p>
        </w:tc>
        <w:tc>
          <w:tcPr>
            <w:tcW w:w="339" w:type="pct"/>
            <w:vAlign w:val="center"/>
          </w:tcPr>
          <w:p w14:paraId="08002459">
            <w:pPr>
              <w:pStyle w:val="105"/>
              <w:jc w:val="center"/>
              <w:rPr>
                <w:color w:val="000000" w:themeColor="text1"/>
                <w14:textFill>
                  <w14:solidFill>
                    <w14:schemeClr w14:val="tx1"/>
                  </w14:solidFill>
                </w14:textFill>
              </w:rPr>
            </w:pPr>
          </w:p>
        </w:tc>
        <w:tc>
          <w:tcPr>
            <w:tcW w:w="339" w:type="pct"/>
            <w:vAlign w:val="center"/>
          </w:tcPr>
          <w:p w14:paraId="219F942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531" w:type="pct"/>
            <w:vAlign w:val="center"/>
          </w:tcPr>
          <w:p w14:paraId="734DA7A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7108893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729BCDB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4" w:type="pct"/>
            <w:vAlign w:val="center"/>
          </w:tcPr>
          <w:p w14:paraId="4F10258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5522BEF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0E4567C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39A03AB2">
            <w:pPr>
              <w:pStyle w:val="105"/>
              <w:jc w:val="center"/>
              <w:rPr>
                <w:color w:val="000000" w:themeColor="text1"/>
                <w14:textFill>
                  <w14:solidFill>
                    <w14:schemeClr w14:val="tx1"/>
                  </w14:solidFill>
                </w14:textFill>
              </w:rPr>
            </w:pPr>
          </w:p>
        </w:tc>
        <w:tc>
          <w:tcPr>
            <w:tcW w:w="340" w:type="pct"/>
            <w:vAlign w:val="center"/>
          </w:tcPr>
          <w:p w14:paraId="37B532B6">
            <w:pPr>
              <w:pStyle w:val="105"/>
              <w:jc w:val="center"/>
              <w:rPr>
                <w:color w:val="000000" w:themeColor="text1"/>
                <w14:textFill>
                  <w14:solidFill>
                    <w14:schemeClr w14:val="tx1"/>
                  </w14:solidFill>
                </w14:textFill>
              </w:rPr>
            </w:pPr>
          </w:p>
        </w:tc>
      </w:tr>
      <w:tr w14:paraId="716AEA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72B63099">
            <w:pPr>
              <w:pStyle w:val="105"/>
              <w:jc w:val="center"/>
              <w:rPr>
                <w:color w:val="000000" w:themeColor="text1"/>
                <w14:textFill>
                  <w14:solidFill>
                    <w14:schemeClr w14:val="tx1"/>
                  </w14:solidFill>
                </w14:textFill>
              </w:rPr>
            </w:pPr>
          </w:p>
        </w:tc>
        <w:tc>
          <w:tcPr>
            <w:tcW w:w="901" w:type="pct"/>
            <w:vAlign w:val="center"/>
          </w:tcPr>
          <w:p w14:paraId="2599949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339" w:type="pct"/>
            <w:vAlign w:val="center"/>
          </w:tcPr>
          <w:p w14:paraId="7997309C">
            <w:pPr>
              <w:pStyle w:val="105"/>
              <w:jc w:val="center"/>
              <w:rPr>
                <w:color w:val="000000" w:themeColor="text1"/>
                <w14:textFill>
                  <w14:solidFill>
                    <w14:schemeClr w14:val="tx1"/>
                  </w14:solidFill>
                </w14:textFill>
              </w:rPr>
            </w:pPr>
          </w:p>
        </w:tc>
        <w:tc>
          <w:tcPr>
            <w:tcW w:w="339" w:type="pct"/>
            <w:vAlign w:val="center"/>
          </w:tcPr>
          <w:p w14:paraId="0181E334">
            <w:pPr>
              <w:pStyle w:val="105"/>
              <w:jc w:val="center"/>
              <w:rPr>
                <w:color w:val="000000" w:themeColor="text1"/>
                <w14:textFill>
                  <w14:solidFill>
                    <w14:schemeClr w14:val="tx1"/>
                  </w14:solidFill>
                </w14:textFill>
              </w:rPr>
            </w:pPr>
          </w:p>
        </w:tc>
        <w:tc>
          <w:tcPr>
            <w:tcW w:w="531" w:type="pct"/>
            <w:vAlign w:val="center"/>
          </w:tcPr>
          <w:p w14:paraId="04C17708">
            <w:pPr>
              <w:pStyle w:val="105"/>
              <w:jc w:val="center"/>
              <w:rPr>
                <w:color w:val="000000" w:themeColor="text1"/>
                <w14:textFill>
                  <w14:solidFill>
                    <w14:schemeClr w14:val="tx1"/>
                  </w14:solidFill>
                </w14:textFill>
              </w:rPr>
            </w:pPr>
          </w:p>
        </w:tc>
        <w:tc>
          <w:tcPr>
            <w:tcW w:w="486" w:type="pct"/>
            <w:vAlign w:val="center"/>
          </w:tcPr>
          <w:p w14:paraId="2BACFF5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1DBA283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4" w:type="pct"/>
            <w:vAlign w:val="center"/>
          </w:tcPr>
          <w:p w14:paraId="2D60248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4A25F35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196E59C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5277FA3D">
            <w:pPr>
              <w:pStyle w:val="105"/>
              <w:jc w:val="center"/>
              <w:rPr>
                <w:color w:val="000000" w:themeColor="text1"/>
                <w14:textFill>
                  <w14:solidFill>
                    <w14:schemeClr w14:val="tx1"/>
                  </w14:solidFill>
                </w14:textFill>
              </w:rPr>
            </w:pPr>
          </w:p>
        </w:tc>
        <w:tc>
          <w:tcPr>
            <w:tcW w:w="340" w:type="pct"/>
            <w:vAlign w:val="center"/>
          </w:tcPr>
          <w:p w14:paraId="7824052E">
            <w:pPr>
              <w:pStyle w:val="105"/>
              <w:jc w:val="center"/>
              <w:rPr>
                <w:color w:val="000000" w:themeColor="text1"/>
                <w14:textFill>
                  <w14:solidFill>
                    <w14:schemeClr w14:val="tx1"/>
                  </w14:solidFill>
                </w14:textFill>
              </w:rPr>
            </w:pPr>
          </w:p>
        </w:tc>
      </w:tr>
      <w:tr w14:paraId="6796D9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39190F63">
            <w:pPr>
              <w:pStyle w:val="105"/>
              <w:jc w:val="center"/>
              <w:rPr>
                <w:color w:val="000000" w:themeColor="text1"/>
                <w14:textFill>
                  <w14:solidFill>
                    <w14:schemeClr w14:val="tx1"/>
                  </w14:solidFill>
                </w14:textFill>
              </w:rPr>
            </w:pPr>
          </w:p>
        </w:tc>
        <w:tc>
          <w:tcPr>
            <w:tcW w:w="901" w:type="pct"/>
            <w:vAlign w:val="center"/>
          </w:tcPr>
          <w:p w14:paraId="57013B1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地表水</w:t>
            </w:r>
            <w:r>
              <w:rPr>
                <w:rFonts w:hint="eastAsia"/>
                <w:color w:val="000000" w:themeColor="text1"/>
                <w14:textFill>
                  <w14:solidFill>
                    <w14:schemeClr w14:val="tx1"/>
                  </w14:solidFill>
                </w14:textFill>
              </w:rPr>
              <w:t>环境</w:t>
            </w:r>
          </w:p>
        </w:tc>
        <w:tc>
          <w:tcPr>
            <w:tcW w:w="339" w:type="pct"/>
            <w:vAlign w:val="center"/>
          </w:tcPr>
          <w:p w14:paraId="45E2CDD8">
            <w:pPr>
              <w:pStyle w:val="105"/>
              <w:jc w:val="center"/>
              <w:rPr>
                <w:color w:val="000000" w:themeColor="text1"/>
                <w14:textFill>
                  <w14:solidFill>
                    <w14:schemeClr w14:val="tx1"/>
                  </w14:solidFill>
                </w14:textFill>
              </w:rPr>
            </w:pPr>
          </w:p>
        </w:tc>
        <w:tc>
          <w:tcPr>
            <w:tcW w:w="339" w:type="pct"/>
            <w:vAlign w:val="center"/>
          </w:tcPr>
          <w:p w14:paraId="68CA0912">
            <w:pPr>
              <w:pStyle w:val="105"/>
              <w:jc w:val="center"/>
              <w:rPr>
                <w:color w:val="000000" w:themeColor="text1"/>
                <w14:textFill>
                  <w14:solidFill>
                    <w14:schemeClr w14:val="tx1"/>
                  </w14:solidFill>
                </w14:textFill>
              </w:rPr>
            </w:pPr>
          </w:p>
        </w:tc>
        <w:tc>
          <w:tcPr>
            <w:tcW w:w="531" w:type="pct"/>
            <w:vAlign w:val="center"/>
          </w:tcPr>
          <w:p w14:paraId="4DAB6E80">
            <w:pPr>
              <w:pStyle w:val="105"/>
              <w:jc w:val="center"/>
              <w:rPr>
                <w:color w:val="000000" w:themeColor="text1"/>
                <w14:textFill>
                  <w14:solidFill>
                    <w14:schemeClr w14:val="tx1"/>
                  </w14:solidFill>
                </w14:textFill>
              </w:rPr>
            </w:pPr>
          </w:p>
        </w:tc>
        <w:tc>
          <w:tcPr>
            <w:tcW w:w="486" w:type="pct"/>
            <w:vAlign w:val="center"/>
          </w:tcPr>
          <w:p w14:paraId="37B8489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4D731A7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4" w:type="pct"/>
            <w:vAlign w:val="center"/>
          </w:tcPr>
          <w:p w14:paraId="61DF13C4">
            <w:pPr>
              <w:pStyle w:val="105"/>
              <w:jc w:val="center"/>
              <w:rPr>
                <w:color w:val="000000" w:themeColor="text1"/>
                <w14:textFill>
                  <w14:solidFill>
                    <w14:schemeClr w14:val="tx1"/>
                  </w14:solidFill>
                </w14:textFill>
              </w:rPr>
            </w:pPr>
          </w:p>
        </w:tc>
        <w:tc>
          <w:tcPr>
            <w:tcW w:w="339" w:type="pct"/>
            <w:vAlign w:val="center"/>
          </w:tcPr>
          <w:p w14:paraId="6722D82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0B6EB8A5">
            <w:pPr>
              <w:pStyle w:val="105"/>
              <w:jc w:val="center"/>
              <w:rPr>
                <w:color w:val="000000" w:themeColor="text1"/>
                <w14:textFill>
                  <w14:solidFill>
                    <w14:schemeClr w14:val="tx1"/>
                  </w14:solidFill>
                </w14:textFill>
              </w:rPr>
            </w:pPr>
          </w:p>
        </w:tc>
        <w:tc>
          <w:tcPr>
            <w:tcW w:w="339" w:type="pct"/>
            <w:vAlign w:val="center"/>
          </w:tcPr>
          <w:p w14:paraId="60FE0DB6">
            <w:pPr>
              <w:pStyle w:val="105"/>
              <w:jc w:val="center"/>
              <w:rPr>
                <w:color w:val="000000" w:themeColor="text1"/>
                <w14:textFill>
                  <w14:solidFill>
                    <w14:schemeClr w14:val="tx1"/>
                  </w14:solidFill>
                </w14:textFill>
              </w:rPr>
            </w:pPr>
          </w:p>
        </w:tc>
        <w:tc>
          <w:tcPr>
            <w:tcW w:w="340" w:type="pct"/>
            <w:vAlign w:val="center"/>
          </w:tcPr>
          <w:p w14:paraId="5EFAFDE0">
            <w:pPr>
              <w:pStyle w:val="105"/>
              <w:jc w:val="center"/>
              <w:rPr>
                <w:color w:val="000000" w:themeColor="text1"/>
                <w14:textFill>
                  <w14:solidFill>
                    <w14:schemeClr w14:val="tx1"/>
                  </w14:solidFill>
                </w14:textFill>
              </w:rPr>
            </w:pPr>
          </w:p>
        </w:tc>
      </w:tr>
      <w:tr w14:paraId="286346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4F8C59A4">
            <w:pPr>
              <w:pStyle w:val="105"/>
              <w:jc w:val="center"/>
              <w:rPr>
                <w:color w:val="000000" w:themeColor="text1"/>
                <w14:textFill>
                  <w14:solidFill>
                    <w14:schemeClr w14:val="tx1"/>
                  </w14:solidFill>
                </w14:textFill>
              </w:rPr>
            </w:pPr>
          </w:p>
        </w:tc>
        <w:tc>
          <w:tcPr>
            <w:tcW w:w="901" w:type="pct"/>
            <w:vAlign w:val="center"/>
          </w:tcPr>
          <w:p w14:paraId="3A77302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土壤</w:t>
            </w:r>
          </w:p>
        </w:tc>
        <w:tc>
          <w:tcPr>
            <w:tcW w:w="339" w:type="pct"/>
            <w:vAlign w:val="center"/>
          </w:tcPr>
          <w:p w14:paraId="21F0DA43">
            <w:pPr>
              <w:pStyle w:val="105"/>
              <w:jc w:val="center"/>
              <w:rPr>
                <w:color w:val="000000" w:themeColor="text1"/>
                <w14:textFill>
                  <w14:solidFill>
                    <w14:schemeClr w14:val="tx1"/>
                  </w14:solidFill>
                </w14:textFill>
              </w:rPr>
            </w:pPr>
          </w:p>
        </w:tc>
        <w:tc>
          <w:tcPr>
            <w:tcW w:w="339" w:type="pct"/>
            <w:vAlign w:val="center"/>
          </w:tcPr>
          <w:p w14:paraId="42FDFD6A">
            <w:pPr>
              <w:pStyle w:val="105"/>
              <w:jc w:val="center"/>
              <w:rPr>
                <w:color w:val="000000" w:themeColor="text1"/>
                <w14:textFill>
                  <w14:solidFill>
                    <w14:schemeClr w14:val="tx1"/>
                  </w14:solidFill>
                </w14:textFill>
              </w:rPr>
            </w:pPr>
          </w:p>
        </w:tc>
        <w:tc>
          <w:tcPr>
            <w:tcW w:w="531" w:type="pct"/>
            <w:vAlign w:val="center"/>
          </w:tcPr>
          <w:p w14:paraId="1DBDDC6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5A9BCFB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7EDA381D">
            <w:pPr>
              <w:pStyle w:val="105"/>
              <w:jc w:val="center"/>
              <w:rPr>
                <w:color w:val="000000" w:themeColor="text1"/>
                <w14:textFill>
                  <w14:solidFill>
                    <w14:schemeClr w14:val="tx1"/>
                  </w14:solidFill>
                </w14:textFill>
              </w:rPr>
            </w:pPr>
          </w:p>
        </w:tc>
        <w:tc>
          <w:tcPr>
            <w:tcW w:w="344" w:type="pct"/>
            <w:vAlign w:val="center"/>
          </w:tcPr>
          <w:p w14:paraId="1A2F141E">
            <w:pPr>
              <w:pStyle w:val="105"/>
              <w:jc w:val="center"/>
              <w:rPr>
                <w:color w:val="000000" w:themeColor="text1"/>
                <w14:textFill>
                  <w14:solidFill>
                    <w14:schemeClr w14:val="tx1"/>
                  </w14:solidFill>
                </w14:textFill>
              </w:rPr>
            </w:pPr>
          </w:p>
        </w:tc>
        <w:tc>
          <w:tcPr>
            <w:tcW w:w="339" w:type="pct"/>
            <w:vAlign w:val="center"/>
          </w:tcPr>
          <w:p w14:paraId="73528983">
            <w:pPr>
              <w:pStyle w:val="105"/>
              <w:jc w:val="center"/>
              <w:rPr>
                <w:color w:val="000000" w:themeColor="text1"/>
                <w14:textFill>
                  <w14:solidFill>
                    <w14:schemeClr w14:val="tx1"/>
                  </w14:solidFill>
                </w14:textFill>
              </w:rPr>
            </w:pPr>
          </w:p>
        </w:tc>
        <w:tc>
          <w:tcPr>
            <w:tcW w:w="339" w:type="pct"/>
            <w:vAlign w:val="center"/>
          </w:tcPr>
          <w:p w14:paraId="4416B3E8">
            <w:pPr>
              <w:pStyle w:val="105"/>
              <w:jc w:val="center"/>
              <w:rPr>
                <w:color w:val="000000" w:themeColor="text1"/>
                <w14:textFill>
                  <w14:solidFill>
                    <w14:schemeClr w14:val="tx1"/>
                  </w14:solidFill>
                </w14:textFill>
              </w:rPr>
            </w:pPr>
          </w:p>
        </w:tc>
        <w:tc>
          <w:tcPr>
            <w:tcW w:w="339" w:type="pct"/>
            <w:vAlign w:val="center"/>
          </w:tcPr>
          <w:p w14:paraId="30A4B402">
            <w:pPr>
              <w:pStyle w:val="105"/>
              <w:jc w:val="center"/>
              <w:rPr>
                <w:color w:val="000000" w:themeColor="text1"/>
                <w14:textFill>
                  <w14:solidFill>
                    <w14:schemeClr w14:val="tx1"/>
                  </w14:solidFill>
                </w14:textFill>
              </w:rPr>
            </w:pPr>
          </w:p>
        </w:tc>
        <w:tc>
          <w:tcPr>
            <w:tcW w:w="340" w:type="pct"/>
            <w:vAlign w:val="center"/>
          </w:tcPr>
          <w:p w14:paraId="0C50CC1C">
            <w:pPr>
              <w:pStyle w:val="105"/>
              <w:jc w:val="center"/>
              <w:rPr>
                <w:color w:val="000000" w:themeColor="text1"/>
                <w14:textFill>
                  <w14:solidFill>
                    <w14:schemeClr w14:val="tx1"/>
                  </w14:solidFill>
                </w14:textFill>
              </w:rPr>
            </w:pPr>
          </w:p>
        </w:tc>
      </w:tr>
      <w:tr w14:paraId="559E54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cantSplit/>
          <w:trHeight w:val="340" w:hRule="atLeast"/>
          <w:jc w:val="center"/>
        </w:trPr>
        <w:tc>
          <w:tcPr>
            <w:tcW w:w="364" w:type="pct"/>
            <w:vMerge w:val="continue"/>
            <w:vAlign w:val="center"/>
          </w:tcPr>
          <w:p w14:paraId="34B4BB03">
            <w:pPr>
              <w:pStyle w:val="105"/>
              <w:jc w:val="center"/>
              <w:rPr>
                <w:color w:val="000000" w:themeColor="text1"/>
                <w14:textFill>
                  <w14:solidFill>
                    <w14:schemeClr w14:val="tx1"/>
                  </w14:solidFill>
                </w14:textFill>
              </w:rPr>
            </w:pPr>
          </w:p>
        </w:tc>
        <w:tc>
          <w:tcPr>
            <w:tcW w:w="901" w:type="pct"/>
            <w:vAlign w:val="center"/>
          </w:tcPr>
          <w:p w14:paraId="4D3F821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景观</w:t>
            </w:r>
          </w:p>
        </w:tc>
        <w:tc>
          <w:tcPr>
            <w:tcW w:w="339" w:type="pct"/>
            <w:vAlign w:val="center"/>
          </w:tcPr>
          <w:p w14:paraId="67F5C8A3">
            <w:pPr>
              <w:pStyle w:val="105"/>
              <w:jc w:val="center"/>
              <w:rPr>
                <w:color w:val="000000" w:themeColor="text1"/>
                <w14:textFill>
                  <w14:solidFill>
                    <w14:schemeClr w14:val="tx1"/>
                  </w14:solidFill>
                </w14:textFill>
              </w:rPr>
            </w:pPr>
          </w:p>
        </w:tc>
        <w:tc>
          <w:tcPr>
            <w:tcW w:w="339" w:type="pct"/>
            <w:vAlign w:val="center"/>
          </w:tcPr>
          <w:p w14:paraId="5F5F0C6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531" w:type="pct"/>
            <w:vAlign w:val="center"/>
          </w:tcPr>
          <w:p w14:paraId="1F5F627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486" w:type="pct"/>
            <w:vAlign w:val="center"/>
          </w:tcPr>
          <w:p w14:paraId="1F50B83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03490802">
            <w:pPr>
              <w:pStyle w:val="105"/>
              <w:jc w:val="center"/>
              <w:rPr>
                <w:color w:val="000000" w:themeColor="text1"/>
                <w14:textFill>
                  <w14:solidFill>
                    <w14:schemeClr w14:val="tx1"/>
                  </w14:solidFill>
                </w14:textFill>
              </w:rPr>
            </w:pPr>
          </w:p>
        </w:tc>
        <w:tc>
          <w:tcPr>
            <w:tcW w:w="344" w:type="pct"/>
            <w:vAlign w:val="center"/>
          </w:tcPr>
          <w:p w14:paraId="240C064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15CA1C7D">
            <w:pPr>
              <w:pStyle w:val="105"/>
              <w:jc w:val="center"/>
              <w:rPr>
                <w:color w:val="000000" w:themeColor="text1"/>
                <w14:textFill>
                  <w14:solidFill>
                    <w14:schemeClr w14:val="tx1"/>
                  </w14:solidFill>
                </w14:textFill>
              </w:rPr>
            </w:pPr>
          </w:p>
        </w:tc>
        <w:tc>
          <w:tcPr>
            <w:tcW w:w="339" w:type="pct"/>
            <w:vAlign w:val="center"/>
          </w:tcPr>
          <w:p w14:paraId="745D457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368A77A8">
            <w:pPr>
              <w:pStyle w:val="105"/>
              <w:jc w:val="center"/>
              <w:rPr>
                <w:color w:val="000000" w:themeColor="text1"/>
                <w14:textFill>
                  <w14:solidFill>
                    <w14:schemeClr w14:val="tx1"/>
                  </w14:solidFill>
                </w14:textFill>
              </w:rPr>
            </w:pPr>
          </w:p>
        </w:tc>
        <w:tc>
          <w:tcPr>
            <w:tcW w:w="340" w:type="pct"/>
            <w:vAlign w:val="center"/>
          </w:tcPr>
          <w:p w14:paraId="5E3C56E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15DE1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64" w:type="pct"/>
            <w:vMerge w:val="continue"/>
            <w:vAlign w:val="center"/>
          </w:tcPr>
          <w:p w14:paraId="6CA0E774">
            <w:pPr>
              <w:pStyle w:val="105"/>
              <w:jc w:val="center"/>
              <w:rPr>
                <w:color w:val="000000" w:themeColor="text1"/>
                <w14:textFill>
                  <w14:solidFill>
                    <w14:schemeClr w14:val="tx1"/>
                  </w14:solidFill>
                </w14:textFill>
              </w:rPr>
            </w:pPr>
          </w:p>
        </w:tc>
        <w:tc>
          <w:tcPr>
            <w:tcW w:w="901" w:type="pct"/>
            <w:vAlign w:val="center"/>
          </w:tcPr>
          <w:p w14:paraId="6F149BF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湿地生态</w:t>
            </w:r>
          </w:p>
        </w:tc>
        <w:tc>
          <w:tcPr>
            <w:tcW w:w="339" w:type="pct"/>
            <w:vAlign w:val="center"/>
          </w:tcPr>
          <w:p w14:paraId="039BCB8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297521E9">
            <w:pPr>
              <w:pStyle w:val="105"/>
              <w:jc w:val="center"/>
              <w:rPr>
                <w:color w:val="000000" w:themeColor="text1"/>
                <w14:textFill>
                  <w14:solidFill>
                    <w14:schemeClr w14:val="tx1"/>
                  </w14:solidFill>
                </w14:textFill>
              </w:rPr>
            </w:pPr>
          </w:p>
        </w:tc>
        <w:tc>
          <w:tcPr>
            <w:tcW w:w="531" w:type="pct"/>
            <w:vAlign w:val="center"/>
          </w:tcPr>
          <w:p w14:paraId="4751851F">
            <w:pPr>
              <w:pStyle w:val="105"/>
              <w:jc w:val="center"/>
              <w:rPr>
                <w:color w:val="000000" w:themeColor="text1"/>
                <w14:textFill>
                  <w14:solidFill>
                    <w14:schemeClr w14:val="tx1"/>
                  </w14:solidFill>
                </w14:textFill>
              </w:rPr>
            </w:pPr>
          </w:p>
        </w:tc>
        <w:tc>
          <w:tcPr>
            <w:tcW w:w="486" w:type="pct"/>
            <w:vAlign w:val="center"/>
          </w:tcPr>
          <w:p w14:paraId="2BAAFE1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39" w:type="pct"/>
            <w:vAlign w:val="center"/>
          </w:tcPr>
          <w:p w14:paraId="01FA336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44" w:type="pct"/>
            <w:vAlign w:val="center"/>
          </w:tcPr>
          <w:p w14:paraId="370D5B50">
            <w:pPr>
              <w:pStyle w:val="105"/>
              <w:jc w:val="center"/>
              <w:rPr>
                <w:color w:val="000000" w:themeColor="text1"/>
                <w14:textFill>
                  <w14:solidFill>
                    <w14:schemeClr w14:val="tx1"/>
                  </w14:solidFill>
                </w14:textFill>
              </w:rPr>
            </w:pPr>
          </w:p>
        </w:tc>
        <w:tc>
          <w:tcPr>
            <w:tcW w:w="339" w:type="pct"/>
            <w:vAlign w:val="center"/>
          </w:tcPr>
          <w:p w14:paraId="5E4648EA">
            <w:pPr>
              <w:pStyle w:val="105"/>
              <w:jc w:val="center"/>
              <w:rPr>
                <w:color w:val="000000" w:themeColor="text1"/>
                <w14:textFill>
                  <w14:solidFill>
                    <w14:schemeClr w14:val="tx1"/>
                  </w14:solidFill>
                </w14:textFill>
              </w:rPr>
            </w:pPr>
          </w:p>
        </w:tc>
        <w:tc>
          <w:tcPr>
            <w:tcW w:w="339" w:type="pct"/>
            <w:vAlign w:val="center"/>
          </w:tcPr>
          <w:p w14:paraId="02C7914E">
            <w:pPr>
              <w:pStyle w:val="105"/>
              <w:jc w:val="center"/>
              <w:rPr>
                <w:color w:val="000000" w:themeColor="text1"/>
                <w14:textFill>
                  <w14:solidFill>
                    <w14:schemeClr w14:val="tx1"/>
                  </w14:solidFill>
                </w14:textFill>
              </w:rPr>
            </w:pPr>
          </w:p>
        </w:tc>
        <w:tc>
          <w:tcPr>
            <w:tcW w:w="339" w:type="pct"/>
            <w:vAlign w:val="center"/>
          </w:tcPr>
          <w:p w14:paraId="1723D9D8">
            <w:pPr>
              <w:pStyle w:val="105"/>
              <w:jc w:val="center"/>
              <w:rPr>
                <w:color w:val="000000" w:themeColor="text1"/>
                <w14:textFill>
                  <w14:solidFill>
                    <w14:schemeClr w14:val="tx1"/>
                  </w14:solidFill>
                </w14:textFill>
              </w:rPr>
            </w:pPr>
          </w:p>
        </w:tc>
        <w:tc>
          <w:tcPr>
            <w:tcW w:w="340" w:type="pct"/>
            <w:vAlign w:val="center"/>
          </w:tcPr>
          <w:p w14:paraId="6378F723">
            <w:pPr>
              <w:pStyle w:val="105"/>
              <w:jc w:val="center"/>
              <w:rPr>
                <w:color w:val="000000" w:themeColor="text1"/>
                <w14:textFill>
                  <w14:solidFill>
                    <w14:schemeClr w14:val="tx1"/>
                  </w14:solidFill>
                </w14:textFill>
              </w:rPr>
            </w:pPr>
          </w:p>
        </w:tc>
      </w:tr>
      <w:tr w14:paraId="359E76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000" w:type="pct"/>
            <w:gridSpan w:val="12"/>
            <w:vAlign w:val="center"/>
          </w:tcPr>
          <w:p w14:paraId="4CBA971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注：□/○：长期/短期影响；涂黑/白：不利/有利影响；空白：无相互作用。</w:t>
            </w:r>
          </w:p>
        </w:tc>
      </w:tr>
    </w:tbl>
    <w:p w14:paraId="784FE043">
      <w:pPr>
        <w:pStyle w:val="124"/>
        <w:rPr>
          <w:color w:val="000000" w:themeColor="text1"/>
          <w14:textFill>
            <w14:solidFill>
              <w14:schemeClr w14:val="tx1"/>
            </w14:solidFill>
          </w14:textFill>
        </w:rPr>
      </w:pPr>
      <w:r>
        <w:rPr>
          <w:rFonts w:hint="eastAsia"/>
          <w:color w:val="000000" w:themeColor="text1"/>
          <w14:textFill>
            <w14:solidFill>
              <w14:schemeClr w14:val="tx1"/>
            </w14:solidFill>
          </w14:textFill>
        </w:rPr>
        <w:t>（2）评价因子筛选</w:t>
      </w:r>
    </w:p>
    <w:p w14:paraId="5054F3F4">
      <w:pPr>
        <w:ind w:firstLine="480"/>
        <w:rPr>
          <w:color w:val="000000" w:themeColor="text1"/>
          <w14:textFill>
            <w14:solidFill>
              <w14:schemeClr w14:val="tx1"/>
            </w14:solidFill>
          </w14:textFill>
        </w:rPr>
      </w:pPr>
      <w:r>
        <w:rPr>
          <w:color w:val="000000" w:themeColor="text1"/>
          <w14:textFill>
            <w14:solidFill>
              <w14:schemeClr w14:val="tx1"/>
            </w14:solidFill>
          </w14:textFill>
        </w:rPr>
        <w:t>根据本工程的特点和沿线环境状况、针对重点环境保护目标，</w:t>
      </w:r>
      <w:r>
        <w:rPr>
          <w:snapToGrid w:val="0"/>
          <w:color w:val="000000" w:themeColor="text1"/>
          <w14:textFill>
            <w14:solidFill>
              <w14:schemeClr w14:val="tx1"/>
            </w14:solidFill>
          </w14:textFill>
        </w:rPr>
        <w:t>本</w:t>
      </w:r>
      <w:r>
        <w:rPr>
          <w:color w:val="000000" w:themeColor="text1"/>
          <w14:textFill>
            <w14:solidFill>
              <w14:schemeClr w14:val="tx1"/>
            </w14:solidFill>
          </w14:textFill>
        </w:rPr>
        <w:t>项目</w:t>
      </w:r>
      <w:r>
        <w:rPr>
          <w:snapToGrid w:val="0"/>
          <w:color w:val="000000" w:themeColor="text1"/>
          <w14:textFill>
            <w14:solidFill>
              <w14:schemeClr w14:val="tx1"/>
            </w14:solidFill>
          </w14:textFill>
        </w:rPr>
        <w:t>的</w:t>
      </w:r>
      <w:r>
        <w:rPr>
          <w:color w:val="000000" w:themeColor="text1"/>
          <w14:textFill>
            <w14:solidFill>
              <w14:schemeClr w14:val="tx1"/>
            </w14:solidFill>
          </w14:textFill>
        </w:rPr>
        <w:t>组成及工程主要环境影响</w:t>
      </w:r>
      <w:r>
        <w:rPr>
          <w:snapToGrid w:val="0"/>
          <w:color w:val="000000" w:themeColor="text1"/>
          <w14:textFill>
            <w14:solidFill>
              <w14:schemeClr w14:val="tx1"/>
            </w14:solidFill>
          </w14:textFill>
        </w:rPr>
        <w:t>详</w:t>
      </w:r>
      <w:r>
        <w:rPr>
          <w:color w:val="000000" w:themeColor="text1"/>
          <w14:textFill>
            <w14:solidFill>
              <w14:schemeClr w14:val="tx1"/>
            </w14:solidFill>
          </w14:textFill>
        </w:rPr>
        <w:t>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_Ref140098993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表2.4-2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0FBB1B0C">
      <w:pPr>
        <w:pStyle w:val="87"/>
        <w:spacing w:before="120"/>
        <w:rPr>
          <w:color w:val="000000" w:themeColor="text1"/>
          <w14:textFill>
            <w14:solidFill>
              <w14:schemeClr w14:val="tx1"/>
            </w14:solidFill>
          </w14:textFill>
        </w:rPr>
      </w:pPr>
      <w:bookmarkStart w:id="107" w:name="_Ref140098993"/>
      <w:r>
        <w:rPr>
          <w:color w:val="000000" w:themeColor="text1"/>
          <w14:textFill>
            <w14:solidFill>
              <w14:schemeClr w14:val="tx1"/>
            </w14:solidFill>
          </w14:textFill>
        </w:rPr>
        <w:t>项目组成及工程主要环境影响</w:t>
      </w:r>
      <w:bookmarkEnd w:id="107"/>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1046"/>
        <w:gridCol w:w="1853"/>
        <w:gridCol w:w="1528"/>
        <w:gridCol w:w="1441"/>
        <w:gridCol w:w="1619"/>
        <w:gridCol w:w="1799"/>
      </w:tblGrid>
      <w:tr w14:paraId="6B2D5D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1561" w:type="pct"/>
            <w:gridSpan w:val="2"/>
            <w:vMerge w:val="restart"/>
            <w:tcBorders>
              <w:top w:val="single" w:color="auto" w:sz="12" w:space="0"/>
              <w:left w:val="nil"/>
              <w:bottom w:val="nil"/>
              <w:right w:val="single" w:color="auto" w:sz="6" w:space="0"/>
              <w:insideH w:val="nil"/>
              <w:insideV w:val="single" w:sz="6" w:space="0"/>
              <w:tl2br w:val="nil"/>
              <w:tr2bl w:val="nil"/>
            </w:tcBorders>
            <w:vAlign w:val="center"/>
          </w:tcPr>
          <w:p w14:paraId="78EC237C">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主要工程内容</w:t>
            </w:r>
          </w:p>
        </w:tc>
        <w:tc>
          <w:tcPr>
            <w:tcW w:w="1599" w:type="pct"/>
            <w:gridSpan w:val="2"/>
            <w:tcBorders>
              <w:top w:val="single" w:color="auto" w:sz="12" w:space="0"/>
              <w:bottom w:val="nil"/>
              <w:right w:val="single" w:color="auto" w:sz="6" w:space="0"/>
              <w:insideH w:val="nil"/>
              <w:insideV w:val="single" w:sz="6" w:space="0"/>
              <w:tl2br w:val="nil"/>
              <w:tr2bl w:val="nil"/>
            </w:tcBorders>
            <w:vAlign w:val="center"/>
          </w:tcPr>
          <w:p w14:paraId="2ECE7B1D">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可能产生的环境影响</w:t>
            </w:r>
          </w:p>
        </w:tc>
        <w:tc>
          <w:tcPr>
            <w:tcW w:w="1840" w:type="pct"/>
            <w:gridSpan w:val="2"/>
            <w:tcBorders>
              <w:top w:val="single" w:color="auto" w:sz="12" w:space="0"/>
              <w:bottom w:val="nil"/>
              <w:right w:val="nil"/>
              <w:insideH w:val="nil"/>
              <w:insideV w:val="single" w:sz="6" w:space="0"/>
              <w:tl2br w:val="nil"/>
              <w:tr2bl w:val="nil"/>
            </w:tcBorders>
            <w:vAlign w:val="center"/>
          </w:tcPr>
          <w:p w14:paraId="6562CA16">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受影响的环境要素</w:t>
            </w:r>
          </w:p>
        </w:tc>
      </w:tr>
      <w:tr w14:paraId="6FC11B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1561" w:type="pct"/>
            <w:gridSpan w:val="2"/>
            <w:vMerge w:val="continue"/>
            <w:vAlign w:val="center"/>
          </w:tcPr>
          <w:p w14:paraId="299C5DD0">
            <w:pPr>
              <w:pStyle w:val="105"/>
              <w:widowControl w:val="0"/>
              <w:jc w:val="center"/>
              <w:rPr>
                <w:color w:val="000000" w:themeColor="text1"/>
                <w14:textFill>
                  <w14:solidFill>
                    <w14:schemeClr w14:val="tx1"/>
                  </w14:solidFill>
                </w14:textFill>
              </w:rPr>
            </w:pPr>
          </w:p>
        </w:tc>
        <w:tc>
          <w:tcPr>
            <w:tcW w:w="823" w:type="pct"/>
            <w:vAlign w:val="center"/>
          </w:tcPr>
          <w:p w14:paraId="50AF588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施工期间</w:t>
            </w:r>
          </w:p>
        </w:tc>
        <w:tc>
          <w:tcPr>
            <w:tcW w:w="776" w:type="pct"/>
            <w:vAlign w:val="center"/>
          </w:tcPr>
          <w:p w14:paraId="5B5FA44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运营期间</w:t>
            </w:r>
          </w:p>
        </w:tc>
        <w:tc>
          <w:tcPr>
            <w:tcW w:w="872" w:type="pct"/>
            <w:vAlign w:val="center"/>
          </w:tcPr>
          <w:p w14:paraId="6E17050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施工期间</w:t>
            </w:r>
          </w:p>
        </w:tc>
        <w:tc>
          <w:tcPr>
            <w:tcW w:w="968" w:type="pct"/>
            <w:vAlign w:val="center"/>
          </w:tcPr>
          <w:p w14:paraId="4BC7426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运营期间</w:t>
            </w:r>
          </w:p>
        </w:tc>
      </w:tr>
      <w:tr w14:paraId="1270BD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787" w:hRule="atLeast"/>
        </w:trPr>
        <w:tc>
          <w:tcPr>
            <w:tcW w:w="563" w:type="pct"/>
            <w:vAlign w:val="center"/>
          </w:tcPr>
          <w:p w14:paraId="4F6ABF7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998" w:type="pct"/>
            <w:vAlign w:val="center"/>
          </w:tcPr>
          <w:p w14:paraId="42DAF141">
            <w:pPr>
              <w:pStyle w:val="105"/>
              <w:widowControl w:val="0"/>
              <w:jc w:val="center"/>
              <w:rPr>
                <w:color w:val="000000" w:themeColor="text1"/>
                <w:highlight w:val="yellow"/>
                <w14:textFill>
                  <w14:solidFill>
                    <w14:schemeClr w14:val="tx1"/>
                  </w14:solidFill>
                </w14:textFill>
              </w:rPr>
            </w:pPr>
            <w:r>
              <w:rPr>
                <w:color w:val="000000" w:themeColor="text1"/>
                <w14:textFill>
                  <w14:solidFill>
                    <w14:schemeClr w14:val="tx1"/>
                  </w14:solidFill>
                </w14:textFill>
              </w:rPr>
              <w:t>拟建</w:t>
            </w:r>
            <w:r>
              <w:rPr>
                <w:rFonts w:hint="eastAsia"/>
                <w:color w:val="000000" w:themeColor="text1"/>
                <w14:textFill>
                  <w14:solidFill>
                    <w14:schemeClr w14:val="tx1"/>
                  </w14:solidFill>
                </w14:textFill>
              </w:rPr>
              <w:t>公路全</w:t>
            </w:r>
            <w:r>
              <w:rPr>
                <w:color w:val="000000" w:themeColor="text1"/>
                <w14:textFill>
                  <w14:solidFill>
                    <w14:schemeClr w14:val="tx1"/>
                  </w14:solidFill>
                </w14:textFill>
              </w:rPr>
              <w:t>长</w:t>
            </w:r>
            <w:r>
              <w:rPr>
                <w:rFonts w:hint="eastAsia"/>
                <w:color w:val="000000" w:themeColor="text1"/>
                <w14:textFill>
                  <w14:solidFill>
                    <w14:schemeClr w14:val="tx1"/>
                  </w14:solidFill>
                </w14:textFill>
              </w:rPr>
              <w:t>5.20km</w:t>
            </w:r>
            <w:bookmarkStart w:id="108" w:name="hmcheck_b0356062a2454eb7a13b50b2af0cd0b4"/>
            <w:r>
              <w:rPr>
                <w:rFonts w:hint="eastAsia"/>
                <w:color w:val="000000" w:themeColor="text1"/>
                <w:shd w:val="clear" w:fill="FFAFAA"/>
                <w14:textFill>
                  <w14:solidFill>
                    <w14:schemeClr w14:val="tx1"/>
                  </w14:solidFill>
                </w14:textFill>
              </w:rPr>
              <w:t>（</w:t>
            </w:r>
            <w:bookmarkEnd w:id="108"/>
            <w:r>
              <w:rPr>
                <w:rFonts w:hint="eastAsia"/>
                <w:color w:val="000000" w:themeColor="text1"/>
                <w14:textFill>
                  <w14:solidFill>
                    <w14:schemeClr w14:val="tx1"/>
                  </w14:solidFill>
                </w14:textFill>
              </w:rPr>
              <w:t>含下穿福厦高铁段落</w:t>
            </w:r>
          </w:p>
        </w:tc>
        <w:tc>
          <w:tcPr>
            <w:tcW w:w="823" w:type="pct"/>
            <w:vAlign w:val="center"/>
          </w:tcPr>
          <w:p w14:paraId="63576BD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施工废气</w:t>
            </w:r>
            <w:r>
              <w:rPr>
                <w:color w:val="000000" w:themeColor="text1"/>
                <w14:textFill>
                  <w14:solidFill>
                    <w14:schemeClr w14:val="tx1"/>
                  </w14:solidFill>
                </w14:textFill>
              </w:rPr>
              <w:t>、机械噪声、生活污水、土地占用</w:t>
            </w:r>
          </w:p>
        </w:tc>
        <w:tc>
          <w:tcPr>
            <w:tcW w:w="776" w:type="pct"/>
            <w:vAlign w:val="center"/>
          </w:tcPr>
          <w:p w14:paraId="7FF921A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噪声、机动车尾气、路面径流、环境风险</w:t>
            </w:r>
          </w:p>
        </w:tc>
        <w:tc>
          <w:tcPr>
            <w:tcW w:w="872" w:type="pct"/>
            <w:vAlign w:val="center"/>
          </w:tcPr>
          <w:p w14:paraId="37D9E8E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环境空气、生态</w:t>
            </w: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、水环境、声环境</w:t>
            </w:r>
          </w:p>
        </w:tc>
        <w:tc>
          <w:tcPr>
            <w:tcW w:w="968" w:type="pct"/>
            <w:vAlign w:val="center"/>
          </w:tcPr>
          <w:p w14:paraId="360A296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声环境、生态环境、水环境、环境空气</w:t>
            </w:r>
          </w:p>
        </w:tc>
      </w:tr>
      <w:tr w14:paraId="67D6E12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63" w:type="pct"/>
            <w:vAlign w:val="center"/>
          </w:tcPr>
          <w:p w14:paraId="33EAE56F">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施工场地</w:t>
            </w:r>
          </w:p>
        </w:tc>
        <w:tc>
          <w:tcPr>
            <w:tcW w:w="998" w:type="pct"/>
            <w:vAlign w:val="center"/>
          </w:tcPr>
          <w:p w14:paraId="045424D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项目拟</w:t>
            </w:r>
            <w:r>
              <w:rPr>
                <w:color w:val="000000" w:themeColor="text1"/>
                <w14:textFill>
                  <w14:solidFill>
                    <w14:schemeClr w14:val="tx1"/>
                  </w14:solidFill>
                </w14:textFill>
              </w:rPr>
              <w:t>设置2</w:t>
            </w:r>
            <w:r>
              <w:rPr>
                <w:rFonts w:hint="eastAsia"/>
                <w:color w:val="000000" w:themeColor="text1"/>
                <w14:textFill>
                  <w14:solidFill>
                    <w14:schemeClr w14:val="tx1"/>
                  </w14:solidFill>
                </w14:textFill>
              </w:rPr>
              <w:t>个施工场地</w:t>
            </w:r>
          </w:p>
        </w:tc>
        <w:tc>
          <w:tcPr>
            <w:tcW w:w="823" w:type="pct"/>
            <w:vAlign w:val="center"/>
          </w:tcPr>
          <w:p w14:paraId="3F799F9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水土流失、</w:t>
            </w:r>
          </w:p>
          <w:p w14:paraId="093AA43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植被破坏、</w:t>
            </w:r>
          </w:p>
        </w:tc>
        <w:tc>
          <w:tcPr>
            <w:tcW w:w="776" w:type="pct"/>
            <w:vAlign w:val="center"/>
          </w:tcPr>
          <w:p w14:paraId="6864FD5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872" w:type="pct"/>
            <w:vAlign w:val="center"/>
          </w:tcPr>
          <w:p w14:paraId="3A5C5F1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生态环境</w:t>
            </w:r>
          </w:p>
        </w:tc>
        <w:tc>
          <w:tcPr>
            <w:tcW w:w="968" w:type="pct"/>
            <w:vAlign w:val="center"/>
          </w:tcPr>
          <w:p w14:paraId="5E6485B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生态环境</w:t>
            </w:r>
          </w:p>
        </w:tc>
      </w:tr>
      <w:tr w14:paraId="59AD22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63" w:type="pct"/>
            <w:vAlign w:val="center"/>
          </w:tcPr>
          <w:p w14:paraId="4793352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表土堆场</w:t>
            </w:r>
          </w:p>
        </w:tc>
        <w:tc>
          <w:tcPr>
            <w:tcW w:w="998" w:type="pct"/>
            <w:vAlign w:val="center"/>
          </w:tcPr>
          <w:p w14:paraId="38FED75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项目设置</w:t>
            </w:r>
            <w:r>
              <w:rPr>
                <w:rFonts w:hint="eastAsia"/>
                <w:color w:val="000000" w:themeColor="text1"/>
                <w14:textFill>
                  <w14:solidFill>
                    <w14:schemeClr w14:val="tx1"/>
                  </w14:solidFill>
                </w14:textFill>
              </w:rPr>
              <w:t>表土堆场</w:t>
            </w:r>
            <w:r>
              <w:rPr>
                <w:color w:val="000000" w:themeColor="text1"/>
                <w14:textFill>
                  <w14:solidFill>
                    <w14:schemeClr w14:val="tx1"/>
                  </w14:solidFill>
                </w14:textFill>
              </w:rPr>
              <w:t>3处</w:t>
            </w:r>
          </w:p>
        </w:tc>
        <w:tc>
          <w:tcPr>
            <w:tcW w:w="823" w:type="pct"/>
            <w:vAlign w:val="center"/>
          </w:tcPr>
          <w:p w14:paraId="07B045E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扬尘、</w:t>
            </w:r>
          </w:p>
          <w:p w14:paraId="0CBDC9F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生态、景观</w:t>
            </w:r>
          </w:p>
        </w:tc>
        <w:tc>
          <w:tcPr>
            <w:tcW w:w="776" w:type="pct"/>
            <w:vAlign w:val="center"/>
          </w:tcPr>
          <w:p w14:paraId="005FEC4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872" w:type="pct"/>
            <w:vAlign w:val="center"/>
          </w:tcPr>
          <w:p w14:paraId="101120E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环境空气、水环境、生态环境</w:t>
            </w:r>
          </w:p>
        </w:tc>
        <w:tc>
          <w:tcPr>
            <w:tcW w:w="968" w:type="pct"/>
            <w:vAlign w:val="center"/>
          </w:tcPr>
          <w:p w14:paraId="1E6B9B1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2FCEC9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63" w:type="pct"/>
            <w:vAlign w:val="center"/>
          </w:tcPr>
          <w:p w14:paraId="295CA91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辅助设施</w:t>
            </w:r>
          </w:p>
        </w:tc>
        <w:tc>
          <w:tcPr>
            <w:tcW w:w="998" w:type="pct"/>
            <w:vAlign w:val="center"/>
          </w:tcPr>
          <w:p w14:paraId="6E14C15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不设服务区和收费站</w:t>
            </w:r>
          </w:p>
        </w:tc>
        <w:tc>
          <w:tcPr>
            <w:tcW w:w="823" w:type="pct"/>
            <w:vAlign w:val="center"/>
          </w:tcPr>
          <w:p w14:paraId="554FAE5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776" w:type="pct"/>
            <w:vAlign w:val="center"/>
          </w:tcPr>
          <w:p w14:paraId="280BD40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872" w:type="pct"/>
            <w:vAlign w:val="center"/>
          </w:tcPr>
          <w:p w14:paraId="31716C6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968" w:type="pct"/>
            <w:vAlign w:val="center"/>
          </w:tcPr>
          <w:p w14:paraId="3AAF2D3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bookmarkEnd w:id="104"/>
    </w:tbl>
    <w:p w14:paraId="11A0A599">
      <w:pPr>
        <w:pStyle w:val="120"/>
        <w:spacing w:before="240"/>
        <w:rPr>
          <w:color w:val="000000" w:themeColor="text1"/>
          <w14:textFill>
            <w14:solidFill>
              <w14:schemeClr w14:val="tx1"/>
            </w14:solidFill>
          </w14:textFill>
        </w:rPr>
      </w:pPr>
      <w:bookmarkStart w:id="109" w:name="_Toc311791665"/>
      <w:bookmarkStart w:id="110" w:name="_Toc362213795"/>
      <w:bookmarkStart w:id="111" w:name="_Toc439084048"/>
      <w:bookmarkStart w:id="112" w:name="_Toc365648211"/>
      <w:r>
        <w:rPr>
          <w:color w:val="000000" w:themeColor="text1"/>
          <w14:textFill>
            <w14:solidFill>
              <w14:schemeClr w14:val="tx1"/>
            </w14:solidFill>
          </w14:textFill>
        </w:rPr>
        <w:t>评价因子筛选</w:t>
      </w:r>
      <w:bookmarkEnd w:id="109"/>
      <w:bookmarkEnd w:id="110"/>
      <w:bookmarkEnd w:id="111"/>
      <w:bookmarkEnd w:id="112"/>
    </w:p>
    <w:p w14:paraId="23DFC1D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经识别、筛选后，本项目环境影响要素及影响因子见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_Ref140099055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表2.4-3</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520D0CF7">
      <w:pPr>
        <w:pStyle w:val="87"/>
        <w:spacing w:before="120"/>
        <w:rPr>
          <w:color w:val="000000" w:themeColor="text1"/>
          <w14:textFill>
            <w14:solidFill>
              <w14:schemeClr w14:val="tx1"/>
            </w14:solidFill>
          </w14:textFill>
        </w:rPr>
      </w:pPr>
      <w:bookmarkStart w:id="113" w:name="_Ref140099055"/>
      <w:r>
        <w:rPr>
          <w:rFonts w:hint="eastAsia"/>
          <w:color w:val="000000" w:themeColor="text1"/>
          <w14:textFill>
            <w14:solidFill>
              <w14:schemeClr w14:val="tx1"/>
            </w14:solidFill>
          </w14:textFill>
        </w:rPr>
        <w:t>本项目评价因子</w:t>
      </w:r>
      <w:bookmarkEnd w:id="113"/>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4500"/>
        <w:gridCol w:w="1595"/>
        <w:gridCol w:w="2320"/>
      </w:tblGrid>
      <w:tr w14:paraId="221784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69" w:type="pct"/>
            <w:vMerge w:val="restart"/>
            <w:vAlign w:val="center"/>
          </w:tcPr>
          <w:p w14:paraId="3FC0838F">
            <w:pPr>
              <w:pStyle w:val="105"/>
              <w:rPr>
                <w:color w:val="000000" w:themeColor="text1"/>
                <w14:textFill>
                  <w14:solidFill>
                    <w14:schemeClr w14:val="tx1"/>
                  </w14:solidFill>
                </w14:textFill>
              </w:rPr>
            </w:pPr>
            <w:bookmarkStart w:id="114" w:name="_Hlk149829752"/>
            <w:r>
              <w:rPr>
                <w:color w:val="000000" w:themeColor="text1"/>
                <w14:textFill>
                  <w14:solidFill>
                    <w14:schemeClr w14:val="tx1"/>
                  </w14:solidFill>
                </w14:textFill>
              </w:rPr>
              <w:t>环境要素</w:t>
            </w:r>
          </w:p>
        </w:tc>
        <w:tc>
          <w:tcPr>
            <w:tcW w:w="2423" w:type="pct"/>
            <w:vMerge w:val="restart"/>
            <w:vAlign w:val="center"/>
          </w:tcPr>
          <w:p w14:paraId="7065FB4D">
            <w:pPr>
              <w:pStyle w:val="105"/>
              <w:rPr>
                <w:color w:val="000000" w:themeColor="text1"/>
                <w14:textFill>
                  <w14:solidFill>
                    <w14:schemeClr w14:val="tx1"/>
                  </w14:solidFill>
                </w14:textFill>
              </w:rPr>
            </w:pPr>
            <w:r>
              <w:rPr>
                <w:color w:val="000000" w:themeColor="text1"/>
                <w14:textFill>
                  <w14:solidFill>
                    <w14:schemeClr w14:val="tx1"/>
                  </w14:solidFill>
                </w14:textFill>
              </w:rPr>
              <w:t>评价内容</w:t>
            </w:r>
          </w:p>
        </w:tc>
        <w:tc>
          <w:tcPr>
            <w:tcW w:w="2108" w:type="pct"/>
            <w:gridSpan w:val="2"/>
            <w:vAlign w:val="center"/>
          </w:tcPr>
          <w:p w14:paraId="156CB1F3">
            <w:pPr>
              <w:pStyle w:val="105"/>
              <w:rPr>
                <w:color w:val="000000" w:themeColor="text1"/>
                <w14:textFill>
                  <w14:solidFill>
                    <w14:schemeClr w14:val="tx1"/>
                  </w14:solidFill>
                </w14:textFill>
              </w:rPr>
            </w:pPr>
            <w:r>
              <w:rPr>
                <w:color w:val="000000" w:themeColor="text1"/>
                <w14:textFill>
                  <w14:solidFill>
                    <w14:schemeClr w14:val="tx1"/>
                  </w14:solidFill>
                </w14:textFill>
              </w:rPr>
              <w:t>评价因子</w:t>
            </w:r>
          </w:p>
        </w:tc>
      </w:tr>
      <w:tr w14:paraId="277A5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469" w:type="pct"/>
            <w:vMerge w:val="continue"/>
            <w:vAlign w:val="center"/>
          </w:tcPr>
          <w:p w14:paraId="76D4E340">
            <w:pPr>
              <w:pStyle w:val="105"/>
              <w:rPr>
                <w:color w:val="000000" w:themeColor="text1"/>
                <w14:textFill>
                  <w14:solidFill>
                    <w14:schemeClr w14:val="tx1"/>
                  </w14:solidFill>
                </w14:textFill>
              </w:rPr>
            </w:pPr>
          </w:p>
        </w:tc>
        <w:tc>
          <w:tcPr>
            <w:tcW w:w="2423" w:type="pct"/>
            <w:vMerge w:val="continue"/>
            <w:vAlign w:val="center"/>
          </w:tcPr>
          <w:p w14:paraId="0F0E6C0E">
            <w:pPr>
              <w:pStyle w:val="105"/>
              <w:rPr>
                <w:color w:val="000000" w:themeColor="text1"/>
                <w14:textFill>
                  <w14:solidFill>
                    <w14:schemeClr w14:val="tx1"/>
                  </w14:solidFill>
                </w14:textFill>
              </w:rPr>
            </w:pPr>
          </w:p>
        </w:tc>
        <w:tc>
          <w:tcPr>
            <w:tcW w:w="859" w:type="pct"/>
            <w:vAlign w:val="center"/>
          </w:tcPr>
          <w:p w14:paraId="20E4B7C2">
            <w:pPr>
              <w:pStyle w:val="105"/>
              <w:rPr>
                <w:color w:val="000000" w:themeColor="text1"/>
                <w14:textFill>
                  <w14:solidFill>
                    <w14:schemeClr w14:val="tx1"/>
                  </w14:solidFill>
                </w14:textFill>
              </w:rPr>
            </w:pPr>
            <w:r>
              <w:rPr>
                <w:color w:val="000000" w:themeColor="text1"/>
                <w14:textFill>
                  <w14:solidFill>
                    <w14:schemeClr w14:val="tx1"/>
                  </w14:solidFill>
                </w14:textFill>
              </w:rPr>
              <w:t>现状评价因子</w:t>
            </w:r>
          </w:p>
        </w:tc>
        <w:tc>
          <w:tcPr>
            <w:tcW w:w="1249" w:type="pct"/>
            <w:vAlign w:val="center"/>
          </w:tcPr>
          <w:p w14:paraId="5791564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预测评价</w:t>
            </w:r>
            <w:r>
              <w:rPr>
                <w:color w:val="000000" w:themeColor="text1"/>
                <w14:textFill>
                  <w14:solidFill>
                    <w14:schemeClr w14:val="tx1"/>
                  </w14:solidFill>
                </w14:textFill>
              </w:rPr>
              <w:t>因子</w:t>
            </w:r>
          </w:p>
        </w:tc>
      </w:tr>
      <w:tr w14:paraId="060F42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Merge w:val="restart"/>
            <w:vAlign w:val="center"/>
          </w:tcPr>
          <w:p w14:paraId="09D0A711">
            <w:pPr>
              <w:pStyle w:val="105"/>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2423" w:type="pct"/>
            <w:vAlign w:val="center"/>
          </w:tcPr>
          <w:p w14:paraId="4A14E8F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施工噪声：等效A声级</w:t>
            </w:r>
            <w:bookmarkStart w:id="115" w:name="hmcheck_e38838b15a4c4485b988c47e73e79d7a"/>
            <w:r>
              <w:rPr>
                <w:color w:val="000000" w:themeColor="text1"/>
                <w:shd w:val="clear" w:fill="FFAFAA"/>
                <w14:textFill>
                  <w14:solidFill>
                    <w14:schemeClr w14:val="tx1"/>
                  </w14:solidFill>
                </w14:textFill>
              </w:rPr>
              <w:t>L</w:t>
            </w:r>
            <w:r>
              <w:rPr>
                <w:rFonts w:hint="eastAsia"/>
                <w:color w:val="000000" w:themeColor="text1"/>
                <w:shd w:val="clear" w:fill="FFAFAA"/>
                <w14:textFill>
                  <w14:solidFill>
                    <w14:schemeClr w14:val="tx1"/>
                  </w14:solidFill>
                </w14:textFill>
              </w:rPr>
              <w:t>A</w:t>
            </w:r>
            <w:r>
              <w:rPr>
                <w:color w:val="000000" w:themeColor="text1"/>
                <w:shd w:val="clear" w:fill="FFAFAA"/>
                <w14:textFill>
                  <w14:solidFill>
                    <w14:schemeClr w14:val="tx1"/>
                  </w14:solidFill>
                </w14:textFill>
              </w:rPr>
              <w:t>eq</w:t>
            </w:r>
            <w:bookmarkEnd w:id="115"/>
          </w:p>
        </w:tc>
        <w:tc>
          <w:tcPr>
            <w:tcW w:w="859" w:type="pct"/>
            <w:vMerge w:val="restart"/>
            <w:vAlign w:val="center"/>
          </w:tcPr>
          <w:p w14:paraId="37B5CE61">
            <w:pPr>
              <w:pStyle w:val="105"/>
              <w:rPr>
                <w:color w:val="000000" w:themeColor="text1"/>
                <w14:textFill>
                  <w14:solidFill>
                    <w14:schemeClr w14:val="tx1"/>
                  </w14:solidFill>
                </w14:textFill>
              </w:rPr>
            </w:pPr>
            <w:r>
              <w:rPr>
                <w:color w:val="000000" w:themeColor="text1"/>
                <w14:textFill>
                  <w14:solidFill>
                    <w14:schemeClr w14:val="tx1"/>
                  </w14:solidFill>
                </w14:textFill>
              </w:rPr>
              <w:t>等效连续A声级</w:t>
            </w:r>
            <w:bookmarkStart w:id="116" w:name="hmcheck_8976949f2fa2479b9901e441a48a73c1"/>
            <w:r>
              <w:rPr>
                <w:color w:val="000000" w:themeColor="text1"/>
                <w:shd w:val="clear" w:fill="FFAFAA"/>
                <w14:textFill>
                  <w14:solidFill>
                    <w14:schemeClr w14:val="tx1"/>
                  </w14:solidFill>
                </w14:textFill>
              </w:rPr>
              <w:t>Leq</w:t>
            </w:r>
            <w:bookmarkEnd w:id="116"/>
          </w:p>
        </w:tc>
        <w:tc>
          <w:tcPr>
            <w:tcW w:w="1249" w:type="pct"/>
            <w:vMerge w:val="restart"/>
            <w:vAlign w:val="center"/>
          </w:tcPr>
          <w:p w14:paraId="122B3409">
            <w:pPr>
              <w:pStyle w:val="105"/>
              <w:rPr>
                <w:color w:val="000000" w:themeColor="text1"/>
                <w14:textFill>
                  <w14:solidFill>
                    <w14:schemeClr w14:val="tx1"/>
                  </w14:solidFill>
                </w14:textFill>
              </w:rPr>
            </w:pPr>
            <w:r>
              <w:rPr>
                <w:color w:val="000000" w:themeColor="text1"/>
                <w14:textFill>
                  <w14:solidFill>
                    <w14:schemeClr w14:val="tx1"/>
                  </w14:solidFill>
                </w14:textFill>
              </w:rPr>
              <w:t>等效连续A声级</w:t>
            </w:r>
            <w:bookmarkStart w:id="117" w:name="hmcheck_c4e7af9df0ac44ad8cde36643db984ce"/>
            <w:r>
              <w:rPr>
                <w:color w:val="000000" w:themeColor="text1"/>
                <w:shd w:val="clear" w:fill="FFAFAA"/>
                <w14:textFill>
                  <w14:solidFill>
                    <w14:schemeClr w14:val="tx1"/>
                  </w14:solidFill>
                </w14:textFill>
              </w:rPr>
              <w:t>Leq</w:t>
            </w:r>
            <w:bookmarkEnd w:id="117"/>
          </w:p>
        </w:tc>
      </w:tr>
      <w:tr w14:paraId="388650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Merge w:val="continue"/>
            <w:vAlign w:val="center"/>
          </w:tcPr>
          <w:p w14:paraId="1E2A5396">
            <w:pPr>
              <w:pStyle w:val="105"/>
              <w:rPr>
                <w:color w:val="000000" w:themeColor="text1"/>
                <w14:textFill>
                  <w14:solidFill>
                    <w14:schemeClr w14:val="tx1"/>
                  </w14:solidFill>
                </w14:textFill>
              </w:rPr>
            </w:pPr>
          </w:p>
        </w:tc>
        <w:tc>
          <w:tcPr>
            <w:tcW w:w="2423" w:type="pct"/>
            <w:vAlign w:val="center"/>
          </w:tcPr>
          <w:p w14:paraId="22C7B70E">
            <w:pPr>
              <w:pStyle w:val="105"/>
              <w:rPr>
                <w:color w:val="000000" w:themeColor="text1"/>
                <w14:textFill>
                  <w14:solidFill>
                    <w14:schemeClr w14:val="tx1"/>
                  </w14:solidFill>
                </w14:textFill>
              </w:rPr>
            </w:pPr>
            <w:r>
              <w:rPr>
                <w:color w:val="000000" w:themeColor="text1"/>
                <w14:textFill>
                  <w14:solidFill>
                    <w14:schemeClr w14:val="tx1"/>
                  </w14:solidFill>
                </w14:textFill>
              </w:rPr>
              <w:t>运营期</w:t>
            </w:r>
            <w:r>
              <w:rPr>
                <w:rFonts w:hint="eastAsia"/>
                <w:color w:val="000000" w:themeColor="text1"/>
                <w14:textFill>
                  <w14:solidFill>
                    <w14:schemeClr w14:val="tx1"/>
                  </w14:solidFill>
                </w14:textFill>
              </w:rPr>
              <w:t>交通噪声：等效A声级</w:t>
            </w:r>
            <w:bookmarkStart w:id="118" w:name="hmcheck_99fe0f73aa494ad683536f74c1464614"/>
            <w:r>
              <w:rPr>
                <w:color w:val="000000" w:themeColor="text1"/>
                <w:shd w:val="clear" w:fill="FFAFAA"/>
                <w14:textFill>
                  <w14:solidFill>
                    <w14:schemeClr w14:val="tx1"/>
                  </w14:solidFill>
                </w14:textFill>
              </w:rPr>
              <w:t>L</w:t>
            </w:r>
            <w:r>
              <w:rPr>
                <w:rFonts w:hint="eastAsia"/>
                <w:color w:val="000000" w:themeColor="text1"/>
                <w:shd w:val="clear" w:fill="FFAFAA"/>
                <w14:textFill>
                  <w14:solidFill>
                    <w14:schemeClr w14:val="tx1"/>
                  </w14:solidFill>
                </w14:textFill>
              </w:rPr>
              <w:t>A</w:t>
            </w:r>
            <w:r>
              <w:rPr>
                <w:color w:val="000000" w:themeColor="text1"/>
                <w:shd w:val="clear" w:fill="FFAFAA"/>
                <w14:textFill>
                  <w14:solidFill>
                    <w14:schemeClr w14:val="tx1"/>
                  </w14:solidFill>
                </w14:textFill>
              </w:rPr>
              <w:t>eq</w:t>
            </w:r>
            <w:bookmarkEnd w:id="118"/>
          </w:p>
        </w:tc>
        <w:tc>
          <w:tcPr>
            <w:tcW w:w="859" w:type="pct"/>
            <w:vMerge w:val="continue"/>
            <w:vAlign w:val="center"/>
          </w:tcPr>
          <w:p w14:paraId="3E1F945C">
            <w:pPr>
              <w:pStyle w:val="105"/>
              <w:rPr>
                <w:color w:val="000000" w:themeColor="text1"/>
                <w14:textFill>
                  <w14:solidFill>
                    <w14:schemeClr w14:val="tx1"/>
                  </w14:solidFill>
                </w14:textFill>
              </w:rPr>
            </w:pPr>
          </w:p>
        </w:tc>
        <w:tc>
          <w:tcPr>
            <w:tcW w:w="1249" w:type="pct"/>
            <w:vMerge w:val="continue"/>
            <w:vAlign w:val="center"/>
          </w:tcPr>
          <w:p w14:paraId="462FA284">
            <w:pPr>
              <w:pStyle w:val="105"/>
              <w:rPr>
                <w:color w:val="000000" w:themeColor="text1"/>
                <w14:textFill>
                  <w14:solidFill>
                    <w14:schemeClr w14:val="tx1"/>
                  </w14:solidFill>
                </w14:textFill>
              </w:rPr>
            </w:pPr>
          </w:p>
        </w:tc>
      </w:tr>
      <w:tr w14:paraId="456DC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Merge w:val="restart"/>
            <w:vAlign w:val="center"/>
          </w:tcPr>
          <w:p w14:paraId="6DA56153">
            <w:pPr>
              <w:pStyle w:val="105"/>
              <w:rPr>
                <w:color w:val="000000" w:themeColor="text1"/>
                <w14:textFill>
                  <w14:solidFill>
                    <w14:schemeClr w14:val="tx1"/>
                  </w14:solidFill>
                </w14:textFill>
              </w:rPr>
            </w:pPr>
            <w:r>
              <w:rPr>
                <w:color w:val="000000" w:themeColor="text1"/>
                <w14:textFill>
                  <w14:solidFill>
                    <w14:schemeClr w14:val="tx1"/>
                  </w14:solidFill>
                </w14:textFill>
              </w:rPr>
              <w:t>环境</w:t>
            </w:r>
          </w:p>
          <w:p w14:paraId="1E18969D">
            <w:pPr>
              <w:pStyle w:val="105"/>
              <w:rPr>
                <w:color w:val="000000" w:themeColor="text1"/>
                <w14:textFill>
                  <w14:solidFill>
                    <w14:schemeClr w14:val="tx1"/>
                  </w14:solidFill>
                </w14:textFill>
              </w:rPr>
            </w:pPr>
            <w:r>
              <w:rPr>
                <w:color w:val="000000" w:themeColor="text1"/>
                <w14:textFill>
                  <w14:solidFill>
                    <w14:schemeClr w14:val="tx1"/>
                  </w14:solidFill>
                </w14:textFill>
              </w:rPr>
              <w:t>空气</w:t>
            </w:r>
          </w:p>
        </w:tc>
        <w:tc>
          <w:tcPr>
            <w:tcW w:w="2423" w:type="pct"/>
            <w:vAlign w:val="center"/>
          </w:tcPr>
          <w:p w14:paraId="23F09709">
            <w:pPr>
              <w:pStyle w:val="105"/>
              <w:rPr>
                <w:color w:val="000000" w:themeColor="text1"/>
                <w14:textFill>
                  <w14:solidFill>
                    <w14:schemeClr w14:val="tx1"/>
                  </w14:solidFill>
                </w14:textFill>
              </w:rPr>
            </w:pPr>
            <w:r>
              <w:rPr>
                <w:color w:val="000000" w:themeColor="text1"/>
                <w14:textFill>
                  <w14:solidFill>
                    <w14:schemeClr w14:val="tx1"/>
                  </w14:solidFill>
                </w14:textFill>
              </w:rPr>
              <w:t>施工粉尘</w:t>
            </w:r>
            <w:r>
              <w:rPr>
                <w:rFonts w:hint="eastAsia"/>
                <w:color w:val="000000" w:themeColor="text1"/>
                <w14:textFill>
                  <w14:solidFill>
                    <w14:schemeClr w14:val="tx1"/>
                  </w14:solidFill>
                </w14:textFill>
              </w:rPr>
              <w:t>、沥青烟</w:t>
            </w:r>
            <w:r>
              <w:rPr>
                <w:color w:val="000000" w:themeColor="text1"/>
                <w14:textFill>
                  <w14:solidFill>
                    <w14:schemeClr w14:val="tx1"/>
                  </w14:solidFill>
                </w14:textFill>
              </w:rPr>
              <w:t>的影响</w:t>
            </w:r>
          </w:p>
        </w:tc>
        <w:tc>
          <w:tcPr>
            <w:tcW w:w="859" w:type="pct"/>
            <w:vMerge w:val="restart"/>
            <w:vAlign w:val="center"/>
          </w:tcPr>
          <w:p w14:paraId="4E12B13C">
            <w:pPr>
              <w:pStyle w:val="105"/>
              <w:rPr>
                <w:color w:val="000000" w:themeColor="text1"/>
                <w14:textFill>
                  <w14:solidFill>
                    <w14:schemeClr w14:val="tx1"/>
                  </w14:solidFill>
                </w14:textFill>
              </w:rPr>
            </w:pPr>
            <w:r>
              <w:rPr>
                <w:color w:val="000000" w:themeColor="text1"/>
                <w14:textFill>
                  <w14:solidFill>
                    <w14:schemeClr w14:val="tx1"/>
                  </w14:solidFill>
                </w14:textFill>
              </w:rPr>
              <w:t>P</w:t>
            </w:r>
            <w:r>
              <w:rPr>
                <w:rFonts w:hint="eastAsia"/>
                <w:color w:val="000000" w:themeColor="text1"/>
                <w14:textFill>
                  <w14:solidFill>
                    <w14:schemeClr w14:val="tx1"/>
                  </w14:solidFill>
                </w14:textFill>
              </w:rPr>
              <w:t>M</w:t>
            </w:r>
            <w:r>
              <w:rPr>
                <w:rFonts w:hint="eastAsia"/>
                <w:color w:val="000000" w:themeColor="text1"/>
                <w:vertAlign w:val="subscript"/>
                <w14:textFill>
                  <w14:solidFill>
                    <w14:schemeClr w14:val="tx1"/>
                  </w14:solidFill>
                </w14:textFill>
              </w:rPr>
              <w:t>10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CO</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S</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1249" w:type="pct"/>
            <w:vAlign w:val="center"/>
          </w:tcPr>
          <w:p w14:paraId="76341AE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颗粒物、沥青烟</w:t>
            </w:r>
          </w:p>
        </w:tc>
      </w:tr>
      <w:tr w14:paraId="76658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Merge w:val="continue"/>
            <w:vAlign w:val="center"/>
          </w:tcPr>
          <w:p w14:paraId="01E22C72">
            <w:pPr>
              <w:pStyle w:val="105"/>
              <w:rPr>
                <w:color w:val="000000" w:themeColor="text1"/>
                <w14:textFill>
                  <w14:solidFill>
                    <w14:schemeClr w14:val="tx1"/>
                  </w14:solidFill>
                </w14:textFill>
              </w:rPr>
            </w:pPr>
          </w:p>
        </w:tc>
        <w:tc>
          <w:tcPr>
            <w:tcW w:w="2423" w:type="pct"/>
            <w:vAlign w:val="center"/>
          </w:tcPr>
          <w:p w14:paraId="2C018B0C">
            <w:pPr>
              <w:pStyle w:val="105"/>
              <w:rPr>
                <w:color w:val="000000" w:themeColor="text1"/>
                <w14:textFill>
                  <w14:solidFill>
                    <w14:schemeClr w14:val="tx1"/>
                  </w14:solidFill>
                </w14:textFill>
              </w:rPr>
            </w:pPr>
            <w:r>
              <w:rPr>
                <w:color w:val="000000" w:themeColor="text1"/>
                <w14:textFill>
                  <w14:solidFill>
                    <w14:schemeClr w14:val="tx1"/>
                  </w14:solidFill>
                </w14:textFill>
              </w:rPr>
              <w:t>运营期公路交通汽车尾气</w:t>
            </w:r>
          </w:p>
        </w:tc>
        <w:tc>
          <w:tcPr>
            <w:tcW w:w="859" w:type="pct"/>
            <w:vMerge w:val="continue"/>
            <w:vAlign w:val="center"/>
          </w:tcPr>
          <w:p w14:paraId="0AE2A941">
            <w:pPr>
              <w:pStyle w:val="105"/>
              <w:rPr>
                <w:color w:val="000000" w:themeColor="text1"/>
                <w14:textFill>
                  <w14:solidFill>
                    <w14:schemeClr w14:val="tx1"/>
                  </w14:solidFill>
                </w14:textFill>
              </w:rPr>
            </w:pPr>
          </w:p>
        </w:tc>
        <w:tc>
          <w:tcPr>
            <w:tcW w:w="1249" w:type="pct"/>
            <w:vAlign w:val="center"/>
          </w:tcPr>
          <w:p w14:paraId="79EE8296">
            <w:pPr>
              <w:pStyle w:val="105"/>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、CO</w:t>
            </w:r>
          </w:p>
        </w:tc>
      </w:tr>
      <w:tr w14:paraId="1F5636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Align w:val="center"/>
          </w:tcPr>
          <w:p w14:paraId="2557A3A0">
            <w:pPr>
              <w:pStyle w:val="105"/>
              <w:rPr>
                <w:color w:val="000000" w:themeColor="text1"/>
                <w14:textFill>
                  <w14:solidFill>
                    <w14:schemeClr w14:val="tx1"/>
                  </w14:solidFill>
                </w14:textFill>
              </w:rPr>
            </w:pPr>
            <w:r>
              <w:rPr>
                <w:color w:val="000000" w:themeColor="text1"/>
                <w14:textFill>
                  <w14:solidFill>
                    <w14:schemeClr w14:val="tx1"/>
                  </w14:solidFill>
                </w14:textFill>
              </w:rPr>
              <w:t>水环境</w:t>
            </w:r>
          </w:p>
        </w:tc>
        <w:tc>
          <w:tcPr>
            <w:tcW w:w="2423" w:type="pct"/>
            <w:vAlign w:val="center"/>
          </w:tcPr>
          <w:p w14:paraId="219BECA0">
            <w:pPr>
              <w:pStyle w:val="105"/>
              <w:rPr>
                <w:color w:val="000000" w:themeColor="text1"/>
                <w14:textFill>
                  <w14:solidFill>
                    <w14:schemeClr w14:val="tx1"/>
                  </w14:solidFill>
                </w14:textFill>
              </w:rPr>
            </w:pPr>
            <w:r>
              <w:rPr>
                <w:color w:val="000000" w:themeColor="text1"/>
                <w14:textFill>
                  <w14:solidFill>
                    <w14:schemeClr w14:val="tx1"/>
                  </w14:solidFill>
                </w14:textFill>
              </w:rPr>
              <w:t>（1）施工期施工</w:t>
            </w:r>
            <w:r>
              <w:rPr>
                <w:rFonts w:hint="eastAsia"/>
                <w:color w:val="000000" w:themeColor="text1"/>
                <w14:textFill>
                  <w14:solidFill>
                    <w14:schemeClr w14:val="tx1"/>
                  </w14:solidFill>
                </w14:textFill>
              </w:rPr>
              <w:t>场地</w:t>
            </w:r>
            <w:r>
              <w:rPr>
                <w:color w:val="000000" w:themeColor="text1"/>
                <w14:textFill>
                  <w14:solidFill>
                    <w14:schemeClr w14:val="tx1"/>
                  </w14:solidFill>
                </w14:textFill>
              </w:rPr>
              <w:t>污染物排放情况，施工</w:t>
            </w:r>
            <w:r>
              <w:rPr>
                <w:rFonts w:hint="eastAsia"/>
                <w:color w:val="000000" w:themeColor="text1"/>
                <w14:textFill>
                  <w14:solidFill>
                    <w14:schemeClr w14:val="tx1"/>
                  </w14:solidFill>
                </w14:textFill>
              </w:rPr>
              <w:t>水土流失进入地表水</w:t>
            </w:r>
            <w:r>
              <w:rPr>
                <w:color w:val="000000" w:themeColor="text1"/>
                <w14:textFill>
                  <w14:solidFill>
                    <w14:schemeClr w14:val="tx1"/>
                  </w14:solidFill>
                </w14:textFill>
              </w:rPr>
              <w:t>；</w:t>
            </w:r>
          </w:p>
          <w:p w14:paraId="65E63470">
            <w:pPr>
              <w:pStyle w:val="105"/>
              <w:rPr>
                <w:color w:val="000000" w:themeColor="text1"/>
                <w14:textFill>
                  <w14:solidFill>
                    <w14:schemeClr w14:val="tx1"/>
                  </w14:solidFill>
                </w14:textFill>
              </w:rPr>
            </w:pPr>
            <w:r>
              <w:rPr>
                <w:color w:val="000000" w:themeColor="text1"/>
                <w14:textFill>
                  <w14:solidFill>
                    <w14:schemeClr w14:val="tx1"/>
                  </w14:solidFill>
                </w14:textFill>
              </w:rPr>
              <w:t>（2）运营期路面</w:t>
            </w:r>
            <w:r>
              <w:rPr>
                <w:rFonts w:hint="eastAsia"/>
                <w:color w:val="000000" w:themeColor="text1"/>
                <w14:textFill>
                  <w14:solidFill>
                    <w14:schemeClr w14:val="tx1"/>
                  </w14:solidFill>
                </w14:textFill>
              </w:rPr>
              <w:t>径流</w:t>
            </w:r>
            <w:r>
              <w:rPr>
                <w:color w:val="000000" w:themeColor="text1"/>
                <w14:textFill>
                  <w14:solidFill>
                    <w14:schemeClr w14:val="tx1"/>
                  </w14:solidFill>
                </w14:textFill>
              </w:rPr>
              <w:t>的排放情况；</w:t>
            </w:r>
          </w:p>
          <w:p w14:paraId="31D45E14">
            <w:pPr>
              <w:pStyle w:val="105"/>
              <w:rPr>
                <w:color w:val="000000" w:themeColor="text1"/>
                <w14:textFill>
                  <w14:solidFill>
                    <w14:schemeClr w14:val="tx1"/>
                  </w14:solidFill>
                </w14:textFill>
              </w:rPr>
            </w:pPr>
            <w:r>
              <w:rPr>
                <w:color w:val="000000" w:themeColor="text1"/>
                <w14:textFill>
                  <w14:solidFill>
                    <w14:schemeClr w14:val="tx1"/>
                  </w14:solidFill>
                </w14:textFill>
              </w:rPr>
              <w:t>（3）装载危险品的车辆因交通事故泄</w:t>
            </w:r>
            <w:r>
              <w:rPr>
                <w:rFonts w:hint="eastAsia"/>
                <w:color w:val="000000" w:themeColor="text1"/>
                <w14:textFill>
                  <w14:solidFill>
                    <w14:schemeClr w14:val="tx1"/>
                  </w14:solidFill>
                </w14:textFill>
              </w:rPr>
              <w:t>漏</w:t>
            </w:r>
            <w:r>
              <w:rPr>
                <w:color w:val="000000" w:themeColor="text1"/>
                <w14:textFill>
                  <w14:solidFill>
                    <w14:schemeClr w14:val="tx1"/>
                  </w14:solidFill>
                </w14:textFill>
              </w:rPr>
              <w:t>、滴漏后产生严重水污染。</w:t>
            </w:r>
          </w:p>
        </w:tc>
        <w:tc>
          <w:tcPr>
            <w:tcW w:w="859" w:type="pct"/>
            <w:vAlign w:val="center"/>
          </w:tcPr>
          <w:p w14:paraId="42499572">
            <w:pPr>
              <w:pStyle w:val="105"/>
              <w:rPr>
                <w:color w:val="000000" w:themeColor="text1"/>
                <w14:textFill>
                  <w14:solidFill>
                    <w14:schemeClr w14:val="tx1"/>
                  </w14:solidFill>
                </w14:textFill>
              </w:rPr>
            </w:pPr>
            <w:r>
              <w:rPr>
                <w:color w:val="000000" w:themeColor="text1"/>
                <w14:textFill>
                  <w14:solidFill>
                    <w14:schemeClr w14:val="tx1"/>
                  </w14:solidFill>
                </w14:textFill>
              </w:rPr>
              <w:t>pH、</w:t>
            </w:r>
            <w:r>
              <w:rPr>
                <w:rFonts w:hint="eastAsia"/>
                <w:color w:val="000000" w:themeColor="text1"/>
                <w14:textFill>
                  <w14:solidFill>
                    <w14:schemeClr w14:val="tx1"/>
                  </w14:solidFill>
                </w14:textFill>
              </w:rPr>
              <w:t>DO、</w:t>
            </w:r>
            <w:r>
              <w:rPr>
                <w:color w:val="000000" w:themeColor="text1"/>
                <w14:textFill>
                  <w14:solidFill>
                    <w14:schemeClr w14:val="tx1"/>
                  </w14:solidFill>
                </w14:textFill>
              </w:rPr>
              <w:t>高锰酸盐指数、BOD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、NH</w:t>
            </w:r>
            <w:r>
              <w:rPr>
                <w:color w:val="000000" w:themeColor="text1"/>
                <w:vertAlign w:val="subscript"/>
                <w14:textFill>
                  <w14:solidFill>
                    <w14:schemeClr w14:val="tx1"/>
                  </w14:solidFill>
                </w14:textFill>
              </w:rPr>
              <w:t>3</w:t>
            </w:r>
            <w:r>
              <w:rPr>
                <w:color w:val="000000" w:themeColor="text1"/>
                <w14:textFill>
                  <w14:solidFill>
                    <w14:schemeClr w14:val="tx1"/>
                  </w14:solidFill>
                </w14:textFill>
              </w:rPr>
              <w:t>-N</w:t>
            </w:r>
            <w:r>
              <w:rPr>
                <w:rFonts w:hint="eastAsia"/>
                <w:color w:val="000000" w:themeColor="text1"/>
                <w14:textFill>
                  <w14:solidFill>
                    <w14:schemeClr w14:val="tx1"/>
                  </w14:solidFill>
                </w14:textFill>
              </w:rPr>
              <w:t>、石油类等</w:t>
            </w:r>
          </w:p>
        </w:tc>
        <w:tc>
          <w:tcPr>
            <w:tcW w:w="1249" w:type="pct"/>
            <w:vAlign w:val="center"/>
          </w:tcPr>
          <w:p w14:paraId="365A4435">
            <w:pPr>
              <w:pStyle w:val="105"/>
              <w:rPr>
                <w:color w:val="000000" w:themeColor="text1"/>
                <w14:textFill>
                  <w14:solidFill>
                    <w14:schemeClr w14:val="tx1"/>
                  </w14:solidFill>
                </w14:textFill>
              </w:rPr>
            </w:pPr>
            <w:r>
              <w:rPr>
                <w:color w:val="000000" w:themeColor="text1"/>
                <w14:textFill>
                  <w14:solidFill>
                    <w14:schemeClr w14:val="tx1"/>
                  </w14:solidFill>
                </w14:textFill>
              </w:rPr>
              <w:t>分析施工对水质的影响</w:t>
            </w:r>
            <w:r>
              <w:rPr>
                <w:rFonts w:hint="eastAsia"/>
                <w:color w:val="000000" w:themeColor="text1"/>
                <w14:textFill>
                  <w14:solidFill>
                    <w14:schemeClr w14:val="tx1"/>
                  </w14:solidFill>
                </w14:textFill>
              </w:rPr>
              <w:t>、环境</w:t>
            </w:r>
            <w:r>
              <w:rPr>
                <w:color w:val="000000" w:themeColor="text1"/>
                <w14:textFill>
                  <w14:solidFill>
                    <w14:schemeClr w14:val="tx1"/>
                  </w14:solidFill>
                </w14:textFill>
              </w:rPr>
              <w:t>风险影响</w:t>
            </w:r>
          </w:p>
        </w:tc>
      </w:tr>
      <w:tr w14:paraId="6745F2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Align w:val="center"/>
          </w:tcPr>
          <w:p w14:paraId="4CCEBA9C">
            <w:pPr>
              <w:pStyle w:val="105"/>
              <w:rPr>
                <w:color w:val="000000" w:themeColor="text1"/>
                <w14:textFill>
                  <w14:solidFill>
                    <w14:schemeClr w14:val="tx1"/>
                  </w14:solidFill>
                </w14:textFill>
              </w:rPr>
            </w:pPr>
            <w:r>
              <w:rPr>
                <w:color w:val="000000" w:themeColor="text1"/>
                <w14:textFill>
                  <w14:solidFill>
                    <w14:schemeClr w14:val="tx1"/>
                  </w14:solidFill>
                </w14:textFill>
              </w:rPr>
              <w:t>固体</w:t>
            </w:r>
          </w:p>
          <w:p w14:paraId="39D42610">
            <w:pPr>
              <w:pStyle w:val="105"/>
              <w:rPr>
                <w:color w:val="000000" w:themeColor="text1"/>
                <w14:textFill>
                  <w14:solidFill>
                    <w14:schemeClr w14:val="tx1"/>
                  </w14:solidFill>
                </w14:textFill>
              </w:rPr>
            </w:pPr>
            <w:r>
              <w:rPr>
                <w:color w:val="000000" w:themeColor="text1"/>
                <w14:textFill>
                  <w14:solidFill>
                    <w14:schemeClr w14:val="tx1"/>
                  </w14:solidFill>
                </w14:textFill>
              </w:rPr>
              <w:t>废物</w:t>
            </w:r>
          </w:p>
        </w:tc>
        <w:tc>
          <w:tcPr>
            <w:tcW w:w="2423" w:type="pct"/>
            <w:vAlign w:val="center"/>
          </w:tcPr>
          <w:p w14:paraId="2644B816">
            <w:pPr>
              <w:pStyle w:val="105"/>
              <w:rPr>
                <w:color w:val="000000" w:themeColor="text1"/>
                <w14:textFill>
                  <w14:solidFill>
                    <w14:schemeClr w14:val="tx1"/>
                  </w14:solidFill>
                </w14:textFill>
              </w:rPr>
            </w:pPr>
            <w:r>
              <w:rPr>
                <w:color w:val="000000" w:themeColor="text1"/>
                <w14:textFill>
                  <w14:solidFill>
                    <w14:schemeClr w14:val="tx1"/>
                  </w14:solidFill>
                </w14:textFill>
              </w:rPr>
              <w:t>施工</w:t>
            </w:r>
            <w:bookmarkStart w:id="119" w:name="hmcheck_7a16d410644149e591a8afb3c9f5fdab"/>
            <w:r>
              <w:rPr>
                <w:color w:val="000000" w:themeColor="text1"/>
                <w:shd w:val="clear" w:fill="FFAFAA"/>
                <w14:textFill>
                  <w14:solidFill>
                    <w14:schemeClr w14:val="tx1"/>
                  </w14:solidFill>
                </w14:textFill>
              </w:rPr>
              <w:t>期</w:t>
            </w:r>
            <w:bookmarkEnd w:id="119"/>
            <w:r>
              <w:rPr>
                <w:color w:val="000000" w:themeColor="text1"/>
                <w14:textFill>
                  <w14:solidFill>
                    <w14:schemeClr w14:val="tx1"/>
                  </w14:solidFill>
                </w14:textFill>
              </w:rPr>
              <w:t>产生的建筑垃圾和生活垃圾</w:t>
            </w:r>
          </w:p>
        </w:tc>
        <w:tc>
          <w:tcPr>
            <w:tcW w:w="859" w:type="pct"/>
            <w:vAlign w:val="center"/>
          </w:tcPr>
          <w:p w14:paraId="6F77DC74">
            <w:pPr>
              <w:pStyle w:val="105"/>
              <w:rPr>
                <w:color w:val="000000" w:themeColor="text1"/>
                <w14:textFill>
                  <w14:solidFill>
                    <w14:schemeClr w14:val="tx1"/>
                  </w14:solidFill>
                </w14:textFill>
              </w:rPr>
            </w:pPr>
            <w:r>
              <w:rPr>
                <w:color w:val="000000" w:themeColor="text1"/>
                <w14:textFill>
                  <w14:solidFill>
                    <w14:schemeClr w14:val="tx1"/>
                  </w14:solidFill>
                </w14:textFill>
              </w:rPr>
              <w:t>固废</w:t>
            </w:r>
          </w:p>
        </w:tc>
        <w:tc>
          <w:tcPr>
            <w:tcW w:w="1249" w:type="pct"/>
            <w:vAlign w:val="center"/>
          </w:tcPr>
          <w:p w14:paraId="1A21F032">
            <w:pPr>
              <w:pStyle w:val="105"/>
              <w:rPr>
                <w:color w:val="000000" w:themeColor="text1"/>
                <w14:textFill>
                  <w14:solidFill>
                    <w14:schemeClr w14:val="tx1"/>
                  </w14:solidFill>
                </w14:textFill>
              </w:rPr>
            </w:pPr>
            <w:r>
              <w:rPr>
                <w:color w:val="000000" w:themeColor="text1"/>
                <w14:textFill>
                  <w14:solidFill>
                    <w14:schemeClr w14:val="tx1"/>
                  </w14:solidFill>
                </w14:textFill>
              </w:rPr>
              <w:t>固废</w:t>
            </w:r>
          </w:p>
        </w:tc>
      </w:tr>
      <w:tr w14:paraId="294B75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Align w:val="center"/>
          </w:tcPr>
          <w:p w14:paraId="2C2D0C70">
            <w:pPr>
              <w:pStyle w:val="105"/>
              <w:rPr>
                <w:color w:val="000000" w:themeColor="text1"/>
                <w14:textFill>
                  <w14:solidFill>
                    <w14:schemeClr w14:val="tx1"/>
                  </w14:solidFill>
                </w14:textFill>
              </w:rPr>
            </w:pPr>
            <w:r>
              <w:rPr>
                <w:color w:val="000000" w:themeColor="text1"/>
                <w14:textFill>
                  <w14:solidFill>
                    <w14:schemeClr w14:val="tx1"/>
                  </w14:solidFill>
                </w14:textFill>
              </w:rPr>
              <w:t>生</w:t>
            </w:r>
          </w:p>
          <w:p w14:paraId="45D33147">
            <w:pPr>
              <w:pStyle w:val="105"/>
              <w:rPr>
                <w:color w:val="000000" w:themeColor="text1"/>
                <w14:textFill>
                  <w14:solidFill>
                    <w14:schemeClr w14:val="tx1"/>
                  </w14:solidFill>
                </w14:textFill>
              </w:rPr>
            </w:pPr>
            <w:r>
              <w:rPr>
                <w:color w:val="000000" w:themeColor="text1"/>
                <w14:textFill>
                  <w14:solidFill>
                    <w14:schemeClr w14:val="tx1"/>
                  </w14:solidFill>
                </w14:textFill>
              </w:rPr>
              <w:t>态环境</w:t>
            </w:r>
          </w:p>
        </w:tc>
        <w:tc>
          <w:tcPr>
            <w:tcW w:w="2423" w:type="pct"/>
            <w:vAlign w:val="center"/>
          </w:tcPr>
          <w:p w14:paraId="5C9B60B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土地占用、农林业生产；</w:t>
            </w:r>
          </w:p>
          <w:p w14:paraId="46BD213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植被破坏；</w:t>
            </w:r>
          </w:p>
          <w:p w14:paraId="3707C1F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野生动物及生境；</w:t>
            </w:r>
          </w:p>
          <w:p w14:paraId="6B7EAFE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土壤及地貌、景观</w:t>
            </w:r>
            <w:r>
              <w:rPr>
                <w:color w:val="000000" w:themeColor="text1"/>
                <w14:textFill>
                  <w14:solidFill>
                    <w14:schemeClr w14:val="tx1"/>
                  </w14:solidFill>
                </w14:textFill>
              </w:rPr>
              <w:t>。</w:t>
            </w:r>
          </w:p>
          <w:p w14:paraId="6C03F6B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湿地生态环境</w:t>
            </w:r>
          </w:p>
        </w:tc>
        <w:tc>
          <w:tcPr>
            <w:tcW w:w="859" w:type="pct"/>
            <w:vAlign w:val="center"/>
          </w:tcPr>
          <w:p w14:paraId="19B2918D">
            <w:pPr>
              <w:pStyle w:val="105"/>
              <w:rPr>
                <w:color w:val="000000" w:themeColor="text1"/>
                <w14:textFill>
                  <w14:solidFill>
                    <w14:schemeClr w14:val="tx1"/>
                  </w14:solidFill>
                </w14:textFill>
              </w:rPr>
            </w:pPr>
            <w:r>
              <w:rPr>
                <w:color w:val="000000" w:themeColor="text1"/>
                <w14:textFill>
                  <w14:solidFill>
                    <w14:schemeClr w14:val="tx1"/>
                  </w14:solidFill>
                </w14:textFill>
              </w:rPr>
              <w:t>植被、动物、土壤侵蚀、</w:t>
            </w:r>
            <w:r>
              <w:rPr>
                <w:rFonts w:hint="eastAsia"/>
                <w:color w:val="000000" w:themeColor="text1"/>
                <w14:textFill>
                  <w14:solidFill>
                    <w14:schemeClr w14:val="tx1"/>
                  </w14:solidFill>
                </w14:textFill>
              </w:rPr>
              <w:t>生态</w:t>
            </w:r>
            <w:r>
              <w:rPr>
                <w:color w:val="000000" w:themeColor="text1"/>
                <w14:textFill>
                  <w14:solidFill>
                    <w14:schemeClr w14:val="tx1"/>
                  </w14:solidFill>
                </w14:textFill>
              </w:rPr>
              <w:t>完整性</w:t>
            </w:r>
          </w:p>
        </w:tc>
        <w:tc>
          <w:tcPr>
            <w:tcW w:w="1249" w:type="pct"/>
            <w:vAlign w:val="center"/>
          </w:tcPr>
          <w:p w14:paraId="0273930F">
            <w:pPr>
              <w:pStyle w:val="105"/>
              <w:rPr>
                <w:color w:val="000000" w:themeColor="text1"/>
                <w14:textFill>
                  <w14:solidFill>
                    <w14:schemeClr w14:val="tx1"/>
                  </w14:solidFill>
                </w14:textFill>
              </w:rPr>
            </w:pPr>
            <w:r>
              <w:rPr>
                <w:color w:val="000000" w:themeColor="text1"/>
                <w14:textFill>
                  <w14:solidFill>
                    <w14:schemeClr w14:val="tx1"/>
                  </w14:solidFill>
                </w14:textFill>
              </w:rPr>
              <w:t>分析植物多样性、动物生态环境</w:t>
            </w:r>
            <w:r>
              <w:rPr>
                <w:rFonts w:hint="eastAsia"/>
                <w:color w:val="000000" w:themeColor="text1"/>
                <w14:textFill>
                  <w14:solidFill>
                    <w14:schemeClr w14:val="tx1"/>
                  </w14:solidFill>
                </w14:textFill>
              </w:rPr>
              <w:t>、湿地功能</w:t>
            </w:r>
          </w:p>
        </w:tc>
      </w:tr>
      <w:tr w14:paraId="45F18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69" w:type="pct"/>
            <w:vAlign w:val="center"/>
          </w:tcPr>
          <w:p w14:paraId="72507AB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环境</w:t>
            </w:r>
          </w:p>
          <w:p w14:paraId="10A84D0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风险</w:t>
            </w:r>
          </w:p>
        </w:tc>
        <w:tc>
          <w:tcPr>
            <w:tcW w:w="2423" w:type="pct"/>
            <w:vAlign w:val="center"/>
          </w:tcPr>
          <w:p w14:paraId="1653FF3C">
            <w:pPr>
              <w:pStyle w:val="105"/>
              <w:rPr>
                <w:color w:val="000000" w:themeColor="text1"/>
                <w14:textFill>
                  <w14:solidFill>
                    <w14:schemeClr w14:val="tx1"/>
                  </w14:solidFill>
                </w14:textFill>
              </w:rPr>
            </w:pPr>
            <w:r>
              <w:rPr>
                <w:color w:val="000000" w:themeColor="text1"/>
                <w14:textFill>
                  <w14:solidFill>
                    <w14:schemeClr w14:val="tx1"/>
                  </w14:solidFill>
                </w14:textFill>
              </w:rPr>
              <w:t>车辆因交通事故泄</w:t>
            </w:r>
            <w:r>
              <w:rPr>
                <w:rFonts w:hint="eastAsia"/>
                <w:color w:val="000000" w:themeColor="text1"/>
                <w14:textFill>
                  <w14:solidFill>
                    <w14:schemeClr w14:val="tx1"/>
                  </w14:solidFill>
                </w14:textFill>
              </w:rPr>
              <w:t>漏</w:t>
            </w:r>
            <w:r>
              <w:rPr>
                <w:color w:val="000000" w:themeColor="text1"/>
                <w14:textFill>
                  <w14:solidFill>
                    <w14:schemeClr w14:val="tx1"/>
                  </w14:solidFill>
                </w14:textFill>
              </w:rPr>
              <w:t>、滴漏后产生</w:t>
            </w:r>
            <w:r>
              <w:rPr>
                <w:rFonts w:hint="eastAsia"/>
                <w:color w:val="000000" w:themeColor="text1"/>
                <w14:textFill>
                  <w14:solidFill>
                    <w14:schemeClr w14:val="tx1"/>
                  </w14:solidFill>
                </w14:textFill>
              </w:rPr>
              <w:t>水环境</w:t>
            </w:r>
            <w:r>
              <w:rPr>
                <w:color w:val="000000" w:themeColor="text1"/>
                <w14:textFill>
                  <w14:solidFill>
                    <w14:schemeClr w14:val="tx1"/>
                  </w14:solidFill>
                </w14:textFill>
              </w:rPr>
              <w:t>污染</w:t>
            </w:r>
          </w:p>
        </w:tc>
        <w:tc>
          <w:tcPr>
            <w:tcW w:w="859" w:type="pct"/>
            <w:vAlign w:val="center"/>
          </w:tcPr>
          <w:p w14:paraId="2C5CF3A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249" w:type="pct"/>
          </w:tcPr>
          <w:p w14:paraId="2BDF2EE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公路交通事故时泄漏的油品</w:t>
            </w:r>
          </w:p>
        </w:tc>
      </w:tr>
      <w:bookmarkEnd w:id="114"/>
    </w:tbl>
    <w:p w14:paraId="6293EFE2">
      <w:pPr>
        <w:pStyle w:val="116"/>
        <w:spacing w:before="240"/>
        <w:rPr>
          <w:color w:val="000000" w:themeColor="text1"/>
          <w14:textFill>
            <w14:solidFill>
              <w14:schemeClr w14:val="tx1"/>
            </w14:solidFill>
          </w14:textFill>
        </w:rPr>
      </w:pPr>
      <w:bookmarkStart w:id="120" w:name="_Toc61517050"/>
      <w:bookmarkStart w:id="121" w:name="_Toc153957811"/>
      <w:bookmarkStart w:id="122" w:name="_Toc88764828"/>
      <w:bookmarkStart w:id="123" w:name="_Toc159405455"/>
      <w:bookmarkStart w:id="124" w:name="_Toc88864634"/>
      <w:bookmarkStart w:id="125" w:name="_Toc193912361"/>
      <w:r>
        <w:rPr>
          <w:rFonts w:hint="eastAsia"/>
          <w:color w:val="000000" w:themeColor="text1"/>
          <w14:textFill>
            <w14:solidFill>
              <w14:schemeClr w14:val="tx1"/>
            </w14:solidFill>
          </w14:textFill>
        </w:rPr>
        <w:t>环境功能区划</w:t>
      </w:r>
      <w:bookmarkEnd w:id="120"/>
      <w:r>
        <w:rPr>
          <w:rFonts w:hint="eastAsia"/>
          <w:color w:val="000000" w:themeColor="text1"/>
          <w14:textFill>
            <w14:solidFill>
              <w14:schemeClr w14:val="tx1"/>
            </w14:solidFill>
          </w14:textFill>
        </w:rPr>
        <w:t>及评价标准</w:t>
      </w:r>
      <w:bookmarkEnd w:id="121"/>
      <w:bookmarkEnd w:id="122"/>
      <w:bookmarkEnd w:id="123"/>
      <w:bookmarkEnd w:id="124"/>
      <w:bookmarkEnd w:id="125"/>
    </w:p>
    <w:p w14:paraId="7EA9979B">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环境功能区划</w:t>
      </w:r>
    </w:p>
    <w:p w14:paraId="6C00C4BC">
      <w:pPr>
        <w:ind w:firstLine="480"/>
        <w:rPr>
          <w:rFonts w:cs="Times New Roman"/>
          <w:color w:val="000000" w:themeColor="text1"/>
          <w:szCs w:val="24"/>
          <w:lang w:val="zh-CN"/>
          <w14:textFill>
            <w14:solidFill>
              <w14:schemeClr w14:val="tx1"/>
            </w14:solidFill>
          </w14:textFill>
        </w:rPr>
      </w:pPr>
      <w:r>
        <w:rPr>
          <w:rFonts w:cs="Times New Roman"/>
          <w:color w:val="000000" w:themeColor="text1"/>
          <w:szCs w:val="24"/>
          <w:lang w:val="zh-CN"/>
          <w14:textFill>
            <w14:solidFill>
              <w14:schemeClr w14:val="tx1"/>
            </w14:solidFill>
          </w14:textFill>
        </w:rPr>
        <w:t>本项目声环境、环境空气及地表水环境功能区划见</w:t>
      </w:r>
      <w:r>
        <w:rPr>
          <w:rFonts w:cs="Times New Roman"/>
          <w:color w:val="000000" w:themeColor="text1"/>
          <w:szCs w:val="24"/>
          <w:lang w:val="zh-CN"/>
          <w14:textFill>
            <w14:solidFill>
              <w14:schemeClr w14:val="tx1"/>
            </w14:solidFill>
          </w14:textFill>
        </w:rPr>
        <w:fldChar w:fldCharType="begin"/>
      </w:r>
      <w:r>
        <w:rPr>
          <w:rFonts w:cs="Times New Roman"/>
          <w:color w:val="000000" w:themeColor="text1"/>
          <w:szCs w:val="24"/>
          <w:lang w:val="zh-CN"/>
          <w14:textFill>
            <w14:solidFill>
              <w14:schemeClr w14:val="tx1"/>
            </w14:solidFill>
          </w14:textFill>
        </w:rPr>
        <w:instrText xml:space="preserve"> REF _Ref155622535 \r \h </w:instrText>
      </w:r>
      <w:r>
        <w:rPr>
          <w:rFonts w:cs="Times New Roman"/>
          <w:color w:val="000000" w:themeColor="text1"/>
          <w:szCs w:val="24"/>
          <w:lang w:val="zh-CN"/>
          <w14:textFill>
            <w14:solidFill>
              <w14:schemeClr w14:val="tx1"/>
            </w14:solidFill>
          </w14:textFill>
        </w:rPr>
        <w:fldChar w:fldCharType="separate"/>
      </w:r>
      <w:r>
        <w:rPr>
          <w:rFonts w:hint="eastAsia" w:cs="Times New Roman"/>
          <w:color w:val="000000" w:themeColor="text1"/>
          <w:szCs w:val="24"/>
          <w:lang w:val="zh-CN"/>
          <w14:textFill>
            <w14:solidFill>
              <w14:schemeClr w14:val="tx1"/>
            </w14:solidFill>
          </w14:textFill>
        </w:rPr>
        <w:t>表2.5-1</w:t>
      </w:r>
      <w:r>
        <w:rPr>
          <w:rFonts w:cs="Times New Roman"/>
          <w:color w:val="000000" w:themeColor="text1"/>
          <w:szCs w:val="24"/>
          <w:lang w:val="zh-CN"/>
          <w14:textFill>
            <w14:solidFill>
              <w14:schemeClr w14:val="tx1"/>
            </w14:solidFill>
          </w14:textFill>
        </w:rPr>
        <w:fldChar w:fldCharType="end"/>
      </w:r>
      <w:r>
        <w:rPr>
          <w:rFonts w:cs="Times New Roman"/>
          <w:color w:val="000000" w:themeColor="text1"/>
          <w:szCs w:val="24"/>
          <w:lang w:val="zh-CN"/>
          <w14:textFill>
            <w14:solidFill>
              <w14:schemeClr w14:val="tx1"/>
            </w14:solidFill>
          </w14:textFill>
        </w:rPr>
        <w:t>。</w:t>
      </w:r>
    </w:p>
    <w:p w14:paraId="7F3B05BB">
      <w:pPr>
        <w:pStyle w:val="87"/>
        <w:spacing w:before="120"/>
        <w:rPr>
          <w:color w:val="000000" w:themeColor="text1"/>
          <w:lang w:bidi="he-IL"/>
          <w14:textFill>
            <w14:solidFill>
              <w14:schemeClr w14:val="tx1"/>
            </w14:solidFill>
          </w14:textFill>
        </w:rPr>
      </w:pPr>
      <w:bookmarkStart w:id="126" w:name="_Ref155622535"/>
      <w:r>
        <w:rPr>
          <w:color w:val="000000" w:themeColor="text1"/>
          <w:lang w:bidi="he-IL"/>
          <w14:textFill>
            <w14:solidFill>
              <w14:schemeClr w14:val="tx1"/>
            </w14:solidFill>
          </w14:textFill>
        </w:rPr>
        <w:t>线路</w:t>
      </w:r>
      <w:r>
        <w:rPr>
          <w:rFonts w:hint="eastAsia"/>
          <w:color w:val="000000" w:themeColor="text1"/>
          <w:lang w:bidi="he-IL"/>
          <w14:textFill>
            <w14:solidFill>
              <w14:schemeClr w14:val="tx1"/>
            </w14:solidFill>
          </w14:textFill>
        </w:rPr>
        <w:t>沿线</w:t>
      </w:r>
      <w:r>
        <w:rPr>
          <w:color w:val="000000" w:themeColor="text1"/>
          <w:lang w:bidi="he-IL"/>
          <w14:textFill>
            <w14:solidFill>
              <w14:schemeClr w14:val="tx1"/>
            </w14:solidFill>
          </w14:textFill>
        </w:rPr>
        <w:t>环境功能区类别一览表</w:t>
      </w:r>
      <w:bookmarkEnd w:id="126"/>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0"/>
        <w:gridCol w:w="871"/>
        <w:gridCol w:w="1597"/>
        <w:gridCol w:w="5944"/>
      </w:tblGrid>
      <w:tr w14:paraId="1AA9C1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blHeader/>
          <w:jc w:val="center"/>
        </w:trPr>
        <w:tc>
          <w:tcPr>
            <w:tcW w:w="469" w:type="pct"/>
            <w:shd w:val="clear" w:color="auto" w:fill="auto"/>
            <w:vAlign w:val="center"/>
          </w:tcPr>
          <w:p w14:paraId="6227EFC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环境</w:t>
            </w:r>
          </w:p>
          <w:p w14:paraId="0B0E218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要素</w:t>
            </w:r>
          </w:p>
        </w:tc>
        <w:tc>
          <w:tcPr>
            <w:tcW w:w="469" w:type="pct"/>
            <w:shd w:val="clear" w:color="auto" w:fill="auto"/>
            <w:vAlign w:val="center"/>
          </w:tcPr>
          <w:p w14:paraId="35EC24A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范围</w:t>
            </w:r>
          </w:p>
        </w:tc>
        <w:tc>
          <w:tcPr>
            <w:tcW w:w="860" w:type="pct"/>
            <w:shd w:val="clear" w:color="auto" w:fill="auto"/>
            <w:vAlign w:val="center"/>
          </w:tcPr>
          <w:p w14:paraId="3517009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区域功能</w:t>
            </w:r>
          </w:p>
        </w:tc>
        <w:tc>
          <w:tcPr>
            <w:tcW w:w="3202" w:type="pct"/>
            <w:shd w:val="clear" w:color="auto" w:fill="auto"/>
            <w:vAlign w:val="center"/>
          </w:tcPr>
          <w:p w14:paraId="1B7DD0E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功能类别</w:t>
            </w:r>
          </w:p>
        </w:tc>
      </w:tr>
      <w:tr w14:paraId="71BC2A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69" w:type="pct"/>
            <w:shd w:val="clear" w:color="auto" w:fill="auto"/>
            <w:vAlign w:val="center"/>
          </w:tcPr>
          <w:p w14:paraId="24E8820B">
            <w:pPr>
              <w:pStyle w:val="105"/>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469" w:type="pct"/>
            <w:shd w:val="clear" w:color="auto" w:fill="auto"/>
            <w:vAlign w:val="center"/>
          </w:tcPr>
          <w:p w14:paraId="7E01C99A">
            <w:pPr>
              <w:pStyle w:val="105"/>
              <w:rPr>
                <w:color w:val="000000" w:themeColor="text1"/>
                <w14:textFill>
                  <w14:solidFill>
                    <w14:schemeClr w14:val="tx1"/>
                  </w14:solidFill>
                </w14:textFill>
              </w:rPr>
            </w:pPr>
            <w:r>
              <w:rPr>
                <w:color w:val="000000" w:themeColor="text1"/>
                <w14:textFill>
                  <w14:solidFill>
                    <w14:schemeClr w14:val="tx1"/>
                  </w14:solidFill>
                </w14:textFill>
              </w:rPr>
              <w:t>沿线评价区域</w:t>
            </w:r>
          </w:p>
        </w:tc>
        <w:tc>
          <w:tcPr>
            <w:tcW w:w="860" w:type="pct"/>
            <w:shd w:val="clear" w:color="auto" w:fill="auto"/>
            <w:vAlign w:val="center"/>
          </w:tcPr>
          <w:p w14:paraId="72475D1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居住、生活</w:t>
            </w:r>
          </w:p>
        </w:tc>
        <w:tc>
          <w:tcPr>
            <w:tcW w:w="3202" w:type="pct"/>
            <w:shd w:val="clear" w:color="auto" w:fill="auto"/>
            <w:vAlign w:val="center"/>
          </w:tcPr>
          <w:p w14:paraId="1792E0E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项目属于二级公路，属于交通干线，项目建成后，根据《声环境功能区划分技术规范》（GB/T 15190-2014），将交通干线边界线外一定距离内的区域划分为4a 类声环境功能区：相邻区域为 2 类声环境功能区，距离为 </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m；当临街建筑高于三层楼房以上（含三层）时，将临街建筑面向交通干线一侧至交通干线边界线的区域定为4a 类声环境功能区。</w:t>
            </w:r>
          </w:p>
        </w:tc>
      </w:tr>
      <w:tr w14:paraId="0EE3D6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69" w:type="pct"/>
            <w:shd w:val="clear" w:color="auto" w:fill="auto"/>
            <w:vAlign w:val="center"/>
          </w:tcPr>
          <w:p w14:paraId="5A996E3F">
            <w:pPr>
              <w:pStyle w:val="105"/>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469" w:type="pct"/>
            <w:shd w:val="clear" w:color="auto" w:fill="auto"/>
            <w:vAlign w:val="center"/>
          </w:tcPr>
          <w:p w14:paraId="789799CC">
            <w:pPr>
              <w:pStyle w:val="105"/>
              <w:rPr>
                <w:color w:val="000000" w:themeColor="text1"/>
                <w14:textFill>
                  <w14:solidFill>
                    <w14:schemeClr w14:val="tx1"/>
                  </w14:solidFill>
                </w14:textFill>
              </w:rPr>
            </w:pPr>
            <w:r>
              <w:rPr>
                <w:color w:val="000000" w:themeColor="text1"/>
                <w14:textFill>
                  <w14:solidFill>
                    <w14:schemeClr w14:val="tx1"/>
                  </w14:solidFill>
                </w14:textFill>
              </w:rPr>
              <w:t>沿线评价区域</w:t>
            </w:r>
          </w:p>
        </w:tc>
        <w:tc>
          <w:tcPr>
            <w:tcW w:w="860" w:type="pct"/>
            <w:shd w:val="clear" w:color="auto" w:fill="auto"/>
            <w:vAlign w:val="center"/>
          </w:tcPr>
          <w:p w14:paraId="46CC6CAC">
            <w:pPr>
              <w:pStyle w:val="105"/>
              <w:rPr>
                <w:color w:val="000000" w:themeColor="text1"/>
                <w14:textFill>
                  <w14:solidFill>
                    <w14:schemeClr w14:val="tx1"/>
                  </w14:solidFill>
                </w14:textFill>
              </w:rPr>
            </w:pPr>
            <w:r>
              <w:rPr>
                <w:color w:val="000000" w:themeColor="text1"/>
                <w14:textFill>
                  <w14:solidFill>
                    <w14:schemeClr w14:val="tx1"/>
                  </w14:solidFill>
                </w14:textFill>
              </w:rPr>
              <w:t>城镇郊区</w:t>
            </w:r>
          </w:p>
        </w:tc>
        <w:tc>
          <w:tcPr>
            <w:tcW w:w="3202" w:type="pct"/>
            <w:shd w:val="clear" w:color="auto" w:fill="auto"/>
            <w:vAlign w:val="center"/>
          </w:tcPr>
          <w:p w14:paraId="15843883">
            <w:pPr>
              <w:pStyle w:val="105"/>
              <w:rPr>
                <w:color w:val="000000" w:themeColor="text1"/>
                <w14:textFill>
                  <w14:solidFill>
                    <w14:schemeClr w14:val="tx1"/>
                  </w14:solidFill>
                </w14:textFill>
              </w:rPr>
            </w:pPr>
            <w:r>
              <w:rPr>
                <w:color w:val="000000" w:themeColor="text1"/>
                <w14:textFill>
                  <w14:solidFill>
                    <w14:schemeClr w14:val="tx1"/>
                  </w14:solidFill>
                </w14:textFill>
              </w:rPr>
              <w:t>二类</w:t>
            </w:r>
          </w:p>
        </w:tc>
      </w:tr>
      <w:tr w14:paraId="69A0C0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69" w:type="pct"/>
            <w:shd w:val="clear" w:color="auto" w:fill="auto"/>
            <w:vAlign w:val="center"/>
          </w:tcPr>
          <w:p w14:paraId="3025CB8E">
            <w:pPr>
              <w:pStyle w:val="105"/>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469" w:type="pct"/>
            <w:shd w:val="clear" w:color="auto" w:fill="auto"/>
            <w:vAlign w:val="center"/>
          </w:tcPr>
          <w:p w14:paraId="2687562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迳江</w:t>
            </w:r>
          </w:p>
        </w:tc>
        <w:tc>
          <w:tcPr>
            <w:tcW w:w="860" w:type="pct"/>
            <w:shd w:val="clear" w:color="auto" w:fill="auto"/>
            <w:vAlign w:val="center"/>
          </w:tcPr>
          <w:p w14:paraId="0F3C0243">
            <w:pPr>
              <w:pStyle w:val="105"/>
              <w:rPr>
                <w:color w:val="000000" w:themeColor="text1"/>
                <w14:textFill>
                  <w14:solidFill>
                    <w14:schemeClr w14:val="tx1"/>
                  </w14:solidFill>
                </w14:textFill>
              </w:rPr>
            </w:pPr>
            <w:r>
              <w:rPr>
                <w:color w:val="000000" w:themeColor="text1"/>
                <w14:textFill>
                  <w14:solidFill>
                    <w14:schemeClr w14:val="tx1"/>
                  </w14:solidFill>
                </w14:textFill>
              </w:rPr>
              <w:t>水体主导功能为农业用水</w:t>
            </w:r>
            <w:r>
              <w:rPr>
                <w:rFonts w:hint="eastAsia"/>
                <w:color w:val="000000" w:themeColor="text1"/>
                <w14:textFill>
                  <w14:solidFill>
                    <w14:schemeClr w14:val="tx1"/>
                  </w14:solidFill>
                </w14:textFill>
              </w:rPr>
              <w:t>、景观</w:t>
            </w:r>
            <w:r>
              <w:rPr>
                <w:color w:val="000000" w:themeColor="text1"/>
                <w14:textFill>
                  <w14:solidFill>
                    <w14:schemeClr w14:val="tx1"/>
                  </w14:solidFill>
                </w14:textFill>
              </w:rPr>
              <w:t>。</w:t>
            </w:r>
          </w:p>
        </w:tc>
        <w:tc>
          <w:tcPr>
            <w:tcW w:w="3202" w:type="pct"/>
            <w:shd w:val="clear" w:color="auto" w:fill="auto"/>
            <w:vAlign w:val="center"/>
          </w:tcPr>
          <w:p w14:paraId="582CE56C">
            <w:pPr>
              <w:pStyle w:val="105"/>
              <w:rPr>
                <w:color w:val="000000" w:themeColor="text1"/>
                <w14:textFill>
                  <w14:solidFill>
                    <w14:schemeClr w14:val="tx1"/>
                  </w14:solidFill>
                </w14:textFill>
              </w:rPr>
            </w:pPr>
            <w:r>
              <w:rPr>
                <w:color w:val="000000" w:themeColor="text1"/>
                <w14:textFill>
                  <w14:solidFill>
                    <w14:schemeClr w14:val="tx1"/>
                  </w14:solidFill>
                </w14:textFill>
              </w:rPr>
              <w:t>Ⅲ类</w:t>
            </w:r>
          </w:p>
        </w:tc>
      </w:tr>
      <w:tr w14:paraId="551ED4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69" w:type="pct"/>
            <w:shd w:val="clear" w:color="auto" w:fill="auto"/>
            <w:vAlign w:val="center"/>
          </w:tcPr>
          <w:p w14:paraId="0D97FC6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tc>
        <w:tc>
          <w:tcPr>
            <w:tcW w:w="469" w:type="pct"/>
            <w:shd w:val="clear" w:color="auto" w:fill="auto"/>
            <w:vAlign w:val="center"/>
          </w:tcPr>
          <w:p w14:paraId="7111A0BD">
            <w:pPr>
              <w:pStyle w:val="105"/>
              <w:rPr>
                <w:color w:val="000000" w:themeColor="text1"/>
                <w14:textFill>
                  <w14:solidFill>
                    <w14:schemeClr w14:val="tx1"/>
                  </w14:solidFill>
                </w14:textFill>
              </w:rPr>
            </w:pPr>
            <w:r>
              <w:rPr>
                <w:color w:val="000000" w:themeColor="text1"/>
                <w14:textFill>
                  <w14:solidFill>
                    <w14:schemeClr w14:val="tx1"/>
                  </w14:solidFill>
                </w14:textFill>
              </w:rPr>
              <w:t>沿线评价区域</w:t>
            </w:r>
          </w:p>
        </w:tc>
        <w:tc>
          <w:tcPr>
            <w:tcW w:w="860" w:type="pct"/>
            <w:shd w:val="clear" w:color="auto" w:fill="auto"/>
            <w:vAlign w:val="center"/>
          </w:tcPr>
          <w:p w14:paraId="3D44B07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202" w:type="pct"/>
            <w:shd w:val="clear" w:color="auto" w:fill="auto"/>
            <w:vAlign w:val="center"/>
          </w:tcPr>
          <w:p w14:paraId="0F06690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福建省生态功能区划：线路所在地的生态功能单元为“</w:t>
            </w:r>
            <w:r>
              <w:rPr>
                <w:rFonts w:cs="Times New Roman"/>
                <w:color w:val="000000" w:themeColor="text1"/>
                <w:kern w:val="0"/>
                <w:szCs w:val="24"/>
                <w:lang w:val="zh-CN"/>
                <w14:textFill>
                  <w14:solidFill>
                    <w14:schemeClr w14:val="tx1"/>
                  </w14:solidFill>
                </w14:textFill>
              </w:rPr>
              <w:t>Ⅱ闽东南生态区</w:t>
            </w:r>
            <w:r>
              <w:rPr>
                <w:rFonts w:hint="eastAsia" w:cs="Times New Roman"/>
                <w:color w:val="000000" w:themeColor="text1"/>
                <w:kern w:val="0"/>
                <w:szCs w:val="24"/>
                <w:lang w:val="zh-CN"/>
                <w14:textFill>
                  <w14:solidFill>
                    <w14:schemeClr w14:val="tx1"/>
                  </w14:solidFill>
                </w14:textFill>
              </w:rPr>
              <w:t>——</w:t>
            </w:r>
            <w:r>
              <w:rPr>
                <w:rFonts w:cs="Times New Roman"/>
                <w:color w:val="000000" w:themeColor="text1"/>
                <w:kern w:val="0"/>
                <w:szCs w:val="24"/>
                <w:lang w:val="zh-CN"/>
                <w14:textFill>
                  <w14:solidFill>
                    <w14:schemeClr w14:val="tx1"/>
                  </w14:solidFill>
                </w14:textFill>
              </w:rPr>
              <w:t>Ⅱ</w:t>
            </w:r>
            <w:r>
              <w:rPr>
                <w:rFonts w:cs="Times New Roman"/>
                <w:color w:val="000000" w:themeColor="text1"/>
                <w:kern w:val="0"/>
                <w:szCs w:val="24"/>
                <w:vertAlign w:val="sub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闽东南沿海台丘平原与近岸海域生态</w:t>
            </w:r>
            <w:r>
              <w:rPr>
                <w:rFonts w:hint="eastAsia"/>
                <w:color w:val="000000" w:themeColor="text1"/>
                <w:kern w:val="0"/>
                <w:szCs w:val="24"/>
                <w:lang w:val="zh-CN"/>
                <w14:textFill>
                  <w14:solidFill>
                    <w14:schemeClr w14:val="tx1"/>
                  </w14:solidFill>
                </w14:textFill>
              </w:rPr>
              <w:t>亚</w:t>
            </w:r>
            <w:r>
              <w:rPr>
                <w:color w:val="000000" w:themeColor="text1"/>
                <w:kern w:val="0"/>
                <w:szCs w:val="24"/>
                <w:lang w:val="zh-CN"/>
                <w14:textFill>
                  <w14:solidFill>
                    <w14:schemeClr w14:val="tx1"/>
                  </w14:solidFill>
                </w14:textFill>
              </w:rPr>
              <w:t>区</w:t>
            </w:r>
            <w:r>
              <w:rPr>
                <w:rFonts w:hint="eastAsia"/>
                <w:color w:val="000000" w:themeColor="text1"/>
                <w:kern w:val="0"/>
                <w:szCs w:val="24"/>
                <w:lang w:val="zh-CN"/>
                <w14:textFill>
                  <w14:solidFill>
                    <w14:schemeClr w14:val="tx1"/>
                  </w14:solidFill>
                </w14:textFill>
              </w:rPr>
              <w:t>——</w:t>
            </w:r>
            <w:r>
              <w:rPr>
                <w:rFonts w:cs="Times New Roman"/>
                <w:color w:val="000000" w:themeColor="text1"/>
                <w:kern w:val="0"/>
                <w:szCs w:val="24"/>
                <w:lang w:val="zh-CN"/>
                <w14:textFill>
                  <w14:solidFill>
                    <w14:schemeClr w14:val="tx1"/>
                  </w14:solidFill>
                </w14:textFill>
              </w:rPr>
              <w:t>5203 福 清一平潭城镇和集约化高优农业生态功能区</w:t>
            </w:r>
            <w:r>
              <w:rPr>
                <w:rFonts w:hint="eastAsia"/>
                <w:color w:val="000000" w:themeColor="text1"/>
                <w14:textFill>
                  <w14:solidFill>
                    <w14:schemeClr w14:val="tx1"/>
                  </w14:solidFill>
                </w14:textFill>
              </w:rPr>
              <w:t>”。</w:t>
            </w:r>
          </w:p>
          <w:p w14:paraId="45E4385E">
            <w:pPr>
              <w:pStyle w:val="105"/>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福清市生态功能区划：项目位于福清西南部城镇与工业环境</w:t>
            </w:r>
            <w:bookmarkStart w:id="127" w:name="hmcheck_1ed727552e9f4a17b9ed89318e4df8c9"/>
            <w:r>
              <w:rPr>
                <w:rFonts w:hint="eastAsia"/>
                <w:color w:val="000000" w:themeColor="text1"/>
                <w:shd w:val="clear" w:fill="B2E9BC"/>
                <w:lang w:eastAsia="zh-CN"/>
                <w14:textFill>
                  <w14:solidFill>
                    <w14:schemeClr w14:val="tx1"/>
                  </w14:solidFill>
                </w14:textFill>
              </w:rPr>
              <w:t>生态</w:t>
            </w:r>
            <w:bookmarkEnd w:id="127"/>
            <w:r>
              <w:rPr>
                <w:rFonts w:hint="eastAsia"/>
                <w:color w:val="000000" w:themeColor="text1"/>
                <w14:textFill>
                  <w14:solidFill>
                    <w14:schemeClr w14:val="tx1"/>
                  </w14:solidFill>
                </w14:textFill>
              </w:rPr>
              <w:t>功能小区（520118108）和兴化湾渔业养殖与旅游环境生态功能小区（520118112）</w:t>
            </w:r>
          </w:p>
        </w:tc>
      </w:tr>
    </w:tbl>
    <w:p w14:paraId="2EE7BAE0">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环境质量标准</w:t>
      </w:r>
    </w:p>
    <w:p w14:paraId="45EB74A1">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环境空气</w:t>
      </w:r>
    </w:p>
    <w:p w14:paraId="0B4BC31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本项目沿线</w:t>
      </w:r>
      <w:r>
        <w:rPr>
          <w:color w:val="000000" w:themeColor="text1"/>
          <w:lang w:val="zh-CN"/>
          <w14:textFill>
            <w14:solidFill>
              <w14:schemeClr w14:val="tx1"/>
            </w14:solidFill>
          </w14:textFill>
        </w:rPr>
        <w:t>环境空气质量执行《环境空气质量标准》（GB3095-2012）</w:t>
      </w:r>
      <w:r>
        <w:rPr>
          <w:rFonts w:hint="eastAsia"/>
          <w:color w:val="000000" w:themeColor="text1"/>
          <w:lang w:val="zh-CN"/>
          <w14:textFill>
            <w14:solidFill>
              <w14:schemeClr w14:val="tx1"/>
            </w14:solidFill>
          </w14:textFill>
        </w:rPr>
        <w:t>及其修改单</w:t>
      </w:r>
      <w:r>
        <w:rPr>
          <w:color w:val="000000" w:themeColor="text1"/>
          <w:lang w:val="zh-CN"/>
          <w14:textFill>
            <w14:solidFill>
              <w14:schemeClr w14:val="tx1"/>
            </w14:solidFill>
          </w14:textFill>
        </w:rPr>
        <w:t>中的二级标准，</w:t>
      </w:r>
      <w:r>
        <w:rPr>
          <w:rFonts w:hint="eastAsia"/>
          <w:color w:val="000000" w:themeColor="text1"/>
          <w14:textFill>
            <w14:solidFill>
              <w14:schemeClr w14:val="tx1"/>
            </w14:solidFill>
          </w14:textFill>
        </w:rPr>
        <w:t>具体见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_Ref74737829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表2.5-2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3838261C">
      <w:pPr>
        <w:pStyle w:val="87"/>
        <w:spacing w:before="120"/>
        <w:rPr>
          <w:color w:val="000000" w:themeColor="text1"/>
          <w14:textFill>
            <w14:solidFill>
              <w14:schemeClr w14:val="tx1"/>
            </w14:solidFill>
          </w14:textFill>
        </w:rPr>
      </w:pPr>
      <w:bookmarkStart w:id="128" w:name="_Ref74737829"/>
      <w:r>
        <w:rPr>
          <w:rFonts w:hint="eastAsia"/>
          <w:color w:val="000000" w:themeColor="text1"/>
          <w14:textFill>
            <w14:solidFill>
              <w14:schemeClr w14:val="tx1"/>
            </w14:solidFill>
          </w14:textFill>
        </w:rPr>
        <w:t>环境空气质量标准限值</w:t>
      </w:r>
      <w:bookmarkEnd w:id="128"/>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91"/>
        <w:gridCol w:w="2505"/>
        <w:gridCol w:w="2782"/>
        <w:gridCol w:w="1908"/>
      </w:tblGrid>
      <w:tr w14:paraId="193BAD1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tblHeader/>
          <w:jc w:val="center"/>
        </w:trPr>
        <w:tc>
          <w:tcPr>
            <w:tcW w:w="1126" w:type="pct"/>
            <w:vAlign w:val="center"/>
          </w:tcPr>
          <w:p w14:paraId="688E9BD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污染物名称</w:t>
            </w:r>
          </w:p>
        </w:tc>
        <w:tc>
          <w:tcPr>
            <w:tcW w:w="1349" w:type="pct"/>
            <w:vAlign w:val="center"/>
          </w:tcPr>
          <w:p w14:paraId="6A684D9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取值时间</w:t>
            </w:r>
          </w:p>
        </w:tc>
        <w:tc>
          <w:tcPr>
            <w:tcW w:w="1498" w:type="pct"/>
            <w:vAlign w:val="center"/>
          </w:tcPr>
          <w:p w14:paraId="1012733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GB3095-</w:t>
            </w:r>
            <w:r>
              <w:rPr>
                <w:rFonts w:hint="eastAsia"/>
                <w:color w:val="000000" w:themeColor="text1"/>
                <w14:textFill>
                  <w14:solidFill>
                    <w14:schemeClr w14:val="tx1"/>
                  </w14:solidFill>
                </w14:textFill>
              </w:rPr>
              <w:t>2012</w:t>
            </w:r>
            <w:r>
              <w:rPr>
                <w:color w:val="000000" w:themeColor="text1"/>
                <w14:textFill>
                  <w14:solidFill>
                    <w14:schemeClr w14:val="tx1"/>
                  </w14:solidFill>
                </w14:textFill>
              </w:rPr>
              <w:t>二级标准</w:t>
            </w:r>
          </w:p>
        </w:tc>
        <w:tc>
          <w:tcPr>
            <w:tcW w:w="1027" w:type="pct"/>
            <w:vAlign w:val="center"/>
          </w:tcPr>
          <w:p w14:paraId="45894BA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r>
      <w:tr w14:paraId="28F2A1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restart"/>
            <w:vAlign w:val="center"/>
          </w:tcPr>
          <w:p w14:paraId="69136A6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二氧化硫（SO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w:t>
            </w:r>
          </w:p>
        </w:tc>
        <w:tc>
          <w:tcPr>
            <w:tcW w:w="1349" w:type="pct"/>
            <w:vAlign w:val="center"/>
          </w:tcPr>
          <w:p w14:paraId="07C2B76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498" w:type="pct"/>
            <w:vAlign w:val="center"/>
          </w:tcPr>
          <w:p w14:paraId="7702462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c>
          <w:tcPr>
            <w:tcW w:w="1027" w:type="pct"/>
            <w:vMerge w:val="restart"/>
            <w:vAlign w:val="center"/>
          </w:tcPr>
          <w:p w14:paraId="02543D3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p>
        </w:tc>
      </w:tr>
      <w:tr w14:paraId="28CBC3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0EA4194B">
            <w:pPr>
              <w:pStyle w:val="105"/>
              <w:jc w:val="center"/>
              <w:rPr>
                <w:color w:val="000000" w:themeColor="text1"/>
                <w14:textFill>
                  <w14:solidFill>
                    <w14:schemeClr w14:val="tx1"/>
                  </w14:solidFill>
                </w14:textFill>
              </w:rPr>
            </w:pPr>
          </w:p>
        </w:tc>
        <w:tc>
          <w:tcPr>
            <w:tcW w:w="1349" w:type="pct"/>
            <w:vAlign w:val="center"/>
          </w:tcPr>
          <w:p w14:paraId="3EECA68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24</w:t>
            </w:r>
            <w:r>
              <w:rPr>
                <w:color w:val="000000" w:themeColor="text1"/>
                <w14:textFill>
                  <w14:solidFill>
                    <w14:schemeClr w14:val="tx1"/>
                  </w14:solidFill>
                </w14:textFill>
              </w:rPr>
              <w:t>小时平均</w:t>
            </w:r>
          </w:p>
        </w:tc>
        <w:tc>
          <w:tcPr>
            <w:tcW w:w="1498" w:type="pct"/>
            <w:vAlign w:val="center"/>
          </w:tcPr>
          <w:p w14:paraId="6A3980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150</w:t>
            </w:r>
          </w:p>
        </w:tc>
        <w:tc>
          <w:tcPr>
            <w:tcW w:w="1027" w:type="pct"/>
            <w:vMerge w:val="continue"/>
            <w:vAlign w:val="center"/>
          </w:tcPr>
          <w:p w14:paraId="610A4081">
            <w:pPr>
              <w:pStyle w:val="105"/>
              <w:jc w:val="center"/>
              <w:rPr>
                <w:color w:val="000000" w:themeColor="text1"/>
                <w14:textFill>
                  <w14:solidFill>
                    <w14:schemeClr w14:val="tx1"/>
                  </w14:solidFill>
                </w14:textFill>
              </w:rPr>
            </w:pPr>
          </w:p>
        </w:tc>
      </w:tr>
      <w:tr w14:paraId="3C0463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5D056B4C">
            <w:pPr>
              <w:pStyle w:val="105"/>
              <w:jc w:val="center"/>
              <w:rPr>
                <w:color w:val="000000" w:themeColor="text1"/>
                <w14:textFill>
                  <w14:solidFill>
                    <w14:schemeClr w14:val="tx1"/>
                  </w14:solidFill>
                </w14:textFill>
              </w:rPr>
            </w:pPr>
          </w:p>
        </w:tc>
        <w:tc>
          <w:tcPr>
            <w:tcW w:w="1349" w:type="pct"/>
            <w:vAlign w:val="center"/>
          </w:tcPr>
          <w:p w14:paraId="544A25C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498" w:type="pct"/>
            <w:vAlign w:val="center"/>
          </w:tcPr>
          <w:p w14:paraId="7DA70EB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1027" w:type="pct"/>
            <w:vMerge w:val="continue"/>
            <w:vAlign w:val="center"/>
          </w:tcPr>
          <w:p w14:paraId="2861DC79">
            <w:pPr>
              <w:pStyle w:val="105"/>
              <w:jc w:val="center"/>
              <w:rPr>
                <w:color w:val="000000" w:themeColor="text1"/>
                <w14:textFill>
                  <w14:solidFill>
                    <w14:schemeClr w14:val="tx1"/>
                  </w14:solidFill>
                </w14:textFill>
              </w:rPr>
            </w:pPr>
          </w:p>
        </w:tc>
      </w:tr>
      <w:tr w14:paraId="7099D6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restart"/>
            <w:vAlign w:val="center"/>
          </w:tcPr>
          <w:p w14:paraId="0253AB3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二氧化氮（NO</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w:t>
            </w:r>
          </w:p>
        </w:tc>
        <w:tc>
          <w:tcPr>
            <w:tcW w:w="1349" w:type="pct"/>
            <w:vAlign w:val="center"/>
          </w:tcPr>
          <w:p w14:paraId="6917D8F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498" w:type="pct"/>
            <w:vAlign w:val="center"/>
          </w:tcPr>
          <w:p w14:paraId="3F89ABF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1027" w:type="pct"/>
            <w:vMerge w:val="continue"/>
            <w:vAlign w:val="center"/>
          </w:tcPr>
          <w:p w14:paraId="15D728EA">
            <w:pPr>
              <w:pStyle w:val="105"/>
              <w:jc w:val="center"/>
              <w:rPr>
                <w:color w:val="000000" w:themeColor="text1"/>
                <w14:textFill>
                  <w14:solidFill>
                    <w14:schemeClr w14:val="tx1"/>
                  </w14:solidFill>
                </w14:textFill>
              </w:rPr>
            </w:pPr>
          </w:p>
        </w:tc>
      </w:tr>
      <w:tr w14:paraId="3A72AC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75E337CB">
            <w:pPr>
              <w:pStyle w:val="105"/>
              <w:jc w:val="center"/>
              <w:rPr>
                <w:color w:val="000000" w:themeColor="text1"/>
                <w14:textFill>
                  <w14:solidFill>
                    <w14:schemeClr w14:val="tx1"/>
                  </w14:solidFill>
                </w14:textFill>
              </w:rPr>
            </w:pPr>
          </w:p>
        </w:tc>
        <w:tc>
          <w:tcPr>
            <w:tcW w:w="1349" w:type="pct"/>
            <w:vAlign w:val="center"/>
          </w:tcPr>
          <w:p w14:paraId="6B3E047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24</w:t>
            </w:r>
            <w:r>
              <w:rPr>
                <w:color w:val="000000" w:themeColor="text1"/>
                <w14:textFill>
                  <w14:solidFill>
                    <w14:schemeClr w14:val="tx1"/>
                  </w14:solidFill>
                </w14:textFill>
              </w:rPr>
              <w:t>小时平均</w:t>
            </w:r>
          </w:p>
        </w:tc>
        <w:tc>
          <w:tcPr>
            <w:tcW w:w="1498" w:type="pct"/>
            <w:vAlign w:val="center"/>
          </w:tcPr>
          <w:p w14:paraId="06679B0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80</w:t>
            </w:r>
          </w:p>
        </w:tc>
        <w:tc>
          <w:tcPr>
            <w:tcW w:w="1027" w:type="pct"/>
            <w:vMerge w:val="continue"/>
            <w:vAlign w:val="center"/>
          </w:tcPr>
          <w:p w14:paraId="055181B6">
            <w:pPr>
              <w:pStyle w:val="105"/>
              <w:jc w:val="center"/>
              <w:rPr>
                <w:color w:val="000000" w:themeColor="text1"/>
                <w14:textFill>
                  <w14:solidFill>
                    <w14:schemeClr w14:val="tx1"/>
                  </w14:solidFill>
                </w14:textFill>
              </w:rPr>
            </w:pPr>
          </w:p>
        </w:tc>
      </w:tr>
      <w:tr w14:paraId="4DC8D7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3B446716">
            <w:pPr>
              <w:pStyle w:val="105"/>
              <w:jc w:val="center"/>
              <w:rPr>
                <w:color w:val="000000" w:themeColor="text1"/>
                <w14:textFill>
                  <w14:solidFill>
                    <w14:schemeClr w14:val="tx1"/>
                  </w14:solidFill>
                </w14:textFill>
              </w:rPr>
            </w:pPr>
          </w:p>
        </w:tc>
        <w:tc>
          <w:tcPr>
            <w:tcW w:w="1349" w:type="pct"/>
            <w:vAlign w:val="center"/>
          </w:tcPr>
          <w:p w14:paraId="7E41AE7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498" w:type="pct"/>
            <w:vAlign w:val="center"/>
          </w:tcPr>
          <w:p w14:paraId="4909030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027" w:type="pct"/>
            <w:vMerge w:val="continue"/>
            <w:vAlign w:val="center"/>
          </w:tcPr>
          <w:p w14:paraId="5A475245">
            <w:pPr>
              <w:pStyle w:val="105"/>
              <w:jc w:val="center"/>
              <w:rPr>
                <w:color w:val="000000" w:themeColor="text1"/>
                <w14:textFill>
                  <w14:solidFill>
                    <w14:schemeClr w14:val="tx1"/>
                  </w14:solidFill>
                </w14:textFill>
              </w:rPr>
            </w:pPr>
          </w:p>
        </w:tc>
      </w:tr>
      <w:tr w14:paraId="5C314B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restart"/>
            <w:vAlign w:val="center"/>
          </w:tcPr>
          <w:p w14:paraId="3267D0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一氧化碳（CO）</w:t>
            </w:r>
          </w:p>
        </w:tc>
        <w:tc>
          <w:tcPr>
            <w:tcW w:w="1349" w:type="pct"/>
            <w:vAlign w:val="center"/>
          </w:tcPr>
          <w:p w14:paraId="0A30ADA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24</w:t>
            </w:r>
            <w:r>
              <w:rPr>
                <w:color w:val="000000" w:themeColor="text1"/>
                <w14:textFill>
                  <w14:solidFill>
                    <w14:schemeClr w14:val="tx1"/>
                  </w14:solidFill>
                </w14:textFill>
              </w:rPr>
              <w:t>小时平均</w:t>
            </w:r>
          </w:p>
        </w:tc>
        <w:tc>
          <w:tcPr>
            <w:tcW w:w="1498" w:type="pct"/>
            <w:vAlign w:val="center"/>
          </w:tcPr>
          <w:p w14:paraId="70A076A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027" w:type="pct"/>
            <w:vMerge w:val="restart"/>
            <w:vAlign w:val="center"/>
          </w:tcPr>
          <w:p w14:paraId="6CBFD98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mg/m</w:t>
            </w:r>
            <w:r>
              <w:rPr>
                <w:color w:val="000000" w:themeColor="text1"/>
                <w:vertAlign w:val="superscript"/>
                <w14:textFill>
                  <w14:solidFill>
                    <w14:schemeClr w14:val="tx1"/>
                  </w14:solidFill>
                </w14:textFill>
              </w:rPr>
              <w:t>3</w:t>
            </w:r>
          </w:p>
        </w:tc>
      </w:tr>
      <w:tr w14:paraId="5B16EF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26538CA4">
            <w:pPr>
              <w:pStyle w:val="105"/>
              <w:jc w:val="center"/>
              <w:rPr>
                <w:color w:val="000000" w:themeColor="text1"/>
                <w14:textFill>
                  <w14:solidFill>
                    <w14:schemeClr w14:val="tx1"/>
                  </w14:solidFill>
                </w14:textFill>
              </w:rPr>
            </w:pPr>
          </w:p>
        </w:tc>
        <w:tc>
          <w:tcPr>
            <w:tcW w:w="1349" w:type="pct"/>
            <w:vAlign w:val="center"/>
          </w:tcPr>
          <w:p w14:paraId="648AB93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1小时平均</w:t>
            </w:r>
          </w:p>
        </w:tc>
        <w:tc>
          <w:tcPr>
            <w:tcW w:w="1498" w:type="pct"/>
            <w:vAlign w:val="center"/>
          </w:tcPr>
          <w:p w14:paraId="5AAF76C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027" w:type="pct"/>
            <w:vMerge w:val="continue"/>
            <w:vAlign w:val="center"/>
          </w:tcPr>
          <w:p w14:paraId="497A1B09">
            <w:pPr>
              <w:pStyle w:val="105"/>
              <w:jc w:val="center"/>
              <w:rPr>
                <w:color w:val="000000" w:themeColor="text1"/>
                <w14:textFill>
                  <w14:solidFill>
                    <w14:schemeClr w14:val="tx1"/>
                  </w14:solidFill>
                </w14:textFill>
              </w:rPr>
            </w:pPr>
          </w:p>
        </w:tc>
      </w:tr>
      <w:tr w14:paraId="2C1BB1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restart"/>
            <w:vAlign w:val="center"/>
          </w:tcPr>
          <w:p w14:paraId="5C8AEB5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总悬浮颗粒物（TSP）</w:t>
            </w:r>
          </w:p>
        </w:tc>
        <w:tc>
          <w:tcPr>
            <w:tcW w:w="1349" w:type="pct"/>
            <w:vAlign w:val="center"/>
          </w:tcPr>
          <w:p w14:paraId="0C3EA7F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498" w:type="pct"/>
            <w:vAlign w:val="center"/>
          </w:tcPr>
          <w:p w14:paraId="0A24CF0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200</w:t>
            </w:r>
          </w:p>
        </w:tc>
        <w:tc>
          <w:tcPr>
            <w:tcW w:w="1027" w:type="pct"/>
            <w:vMerge w:val="restart"/>
            <w:vAlign w:val="center"/>
          </w:tcPr>
          <w:p w14:paraId="5919300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μg/m</w:t>
            </w:r>
            <w:r>
              <w:rPr>
                <w:color w:val="000000" w:themeColor="text1"/>
                <w:vertAlign w:val="superscript"/>
                <w14:textFill>
                  <w14:solidFill>
                    <w14:schemeClr w14:val="tx1"/>
                  </w14:solidFill>
                </w14:textFill>
              </w:rPr>
              <w:t>3</w:t>
            </w:r>
          </w:p>
        </w:tc>
      </w:tr>
      <w:tr w14:paraId="14389C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7B4BD062">
            <w:pPr>
              <w:pStyle w:val="105"/>
              <w:jc w:val="center"/>
              <w:rPr>
                <w:color w:val="000000" w:themeColor="text1"/>
                <w14:textFill>
                  <w14:solidFill>
                    <w14:schemeClr w14:val="tx1"/>
                  </w14:solidFill>
                </w14:textFill>
              </w:rPr>
            </w:pPr>
          </w:p>
        </w:tc>
        <w:tc>
          <w:tcPr>
            <w:tcW w:w="1349" w:type="pct"/>
            <w:vAlign w:val="center"/>
          </w:tcPr>
          <w:p w14:paraId="0F147FC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24</w:t>
            </w:r>
            <w:r>
              <w:rPr>
                <w:color w:val="000000" w:themeColor="text1"/>
                <w14:textFill>
                  <w14:solidFill>
                    <w14:schemeClr w14:val="tx1"/>
                  </w14:solidFill>
                </w14:textFill>
              </w:rPr>
              <w:t>小时平均</w:t>
            </w:r>
          </w:p>
        </w:tc>
        <w:tc>
          <w:tcPr>
            <w:tcW w:w="1498" w:type="pct"/>
            <w:vAlign w:val="center"/>
          </w:tcPr>
          <w:p w14:paraId="7B6770A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300</w:t>
            </w:r>
          </w:p>
        </w:tc>
        <w:tc>
          <w:tcPr>
            <w:tcW w:w="1027" w:type="pct"/>
            <w:vMerge w:val="continue"/>
            <w:vAlign w:val="center"/>
          </w:tcPr>
          <w:p w14:paraId="6E018E86">
            <w:pPr>
              <w:pStyle w:val="105"/>
              <w:jc w:val="center"/>
              <w:rPr>
                <w:color w:val="000000" w:themeColor="text1"/>
                <w14:textFill>
                  <w14:solidFill>
                    <w14:schemeClr w14:val="tx1"/>
                  </w14:solidFill>
                </w14:textFill>
              </w:rPr>
            </w:pPr>
          </w:p>
        </w:tc>
      </w:tr>
      <w:tr w14:paraId="0F93C2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restart"/>
            <w:vAlign w:val="center"/>
          </w:tcPr>
          <w:p w14:paraId="599C2CD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颗粒物（PM</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w:t>
            </w:r>
          </w:p>
        </w:tc>
        <w:tc>
          <w:tcPr>
            <w:tcW w:w="1349" w:type="pct"/>
            <w:vAlign w:val="center"/>
          </w:tcPr>
          <w:p w14:paraId="28344DA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498" w:type="pct"/>
            <w:vAlign w:val="center"/>
          </w:tcPr>
          <w:p w14:paraId="2009A2C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70</w:t>
            </w:r>
          </w:p>
        </w:tc>
        <w:tc>
          <w:tcPr>
            <w:tcW w:w="1027" w:type="pct"/>
            <w:vMerge w:val="continue"/>
            <w:vAlign w:val="center"/>
          </w:tcPr>
          <w:p w14:paraId="156823BA">
            <w:pPr>
              <w:pStyle w:val="105"/>
              <w:jc w:val="center"/>
              <w:rPr>
                <w:color w:val="000000" w:themeColor="text1"/>
                <w14:textFill>
                  <w14:solidFill>
                    <w14:schemeClr w14:val="tx1"/>
                  </w14:solidFill>
                </w14:textFill>
              </w:rPr>
            </w:pPr>
          </w:p>
        </w:tc>
      </w:tr>
      <w:tr w14:paraId="3F5926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4D1ACF2C">
            <w:pPr>
              <w:pStyle w:val="105"/>
              <w:jc w:val="center"/>
              <w:rPr>
                <w:color w:val="000000" w:themeColor="text1"/>
                <w14:textFill>
                  <w14:solidFill>
                    <w14:schemeClr w14:val="tx1"/>
                  </w14:solidFill>
                </w14:textFill>
              </w:rPr>
            </w:pPr>
          </w:p>
        </w:tc>
        <w:tc>
          <w:tcPr>
            <w:tcW w:w="1349" w:type="pct"/>
            <w:vAlign w:val="center"/>
          </w:tcPr>
          <w:p w14:paraId="7E6EF96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24</w:t>
            </w:r>
            <w:r>
              <w:rPr>
                <w:color w:val="000000" w:themeColor="text1"/>
                <w14:textFill>
                  <w14:solidFill>
                    <w14:schemeClr w14:val="tx1"/>
                  </w14:solidFill>
                </w14:textFill>
              </w:rPr>
              <w:t>小时平均</w:t>
            </w:r>
          </w:p>
        </w:tc>
        <w:tc>
          <w:tcPr>
            <w:tcW w:w="1498" w:type="pct"/>
            <w:vAlign w:val="center"/>
          </w:tcPr>
          <w:p w14:paraId="627D6D6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150</w:t>
            </w:r>
          </w:p>
        </w:tc>
        <w:tc>
          <w:tcPr>
            <w:tcW w:w="1027" w:type="pct"/>
            <w:vMerge w:val="continue"/>
            <w:vAlign w:val="center"/>
          </w:tcPr>
          <w:p w14:paraId="3DDCC877">
            <w:pPr>
              <w:pStyle w:val="105"/>
              <w:jc w:val="center"/>
              <w:rPr>
                <w:color w:val="000000" w:themeColor="text1"/>
                <w14:textFill>
                  <w14:solidFill>
                    <w14:schemeClr w14:val="tx1"/>
                  </w14:solidFill>
                </w14:textFill>
              </w:rPr>
            </w:pPr>
          </w:p>
        </w:tc>
      </w:tr>
      <w:tr w14:paraId="0AE879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restart"/>
            <w:vAlign w:val="center"/>
          </w:tcPr>
          <w:p w14:paraId="207D68F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颗粒物（PM</w:t>
            </w:r>
            <w:r>
              <w:rPr>
                <w:rFonts w:hint="eastAsia"/>
                <w:color w:val="000000" w:themeColor="text1"/>
                <w:vertAlign w:val="subscript"/>
                <w14:textFill>
                  <w14:solidFill>
                    <w14:schemeClr w14:val="tx1"/>
                  </w14:solidFill>
                </w14:textFill>
              </w:rPr>
              <w:t>2.5</w:t>
            </w:r>
            <w:r>
              <w:rPr>
                <w:color w:val="000000" w:themeColor="text1"/>
                <w14:textFill>
                  <w14:solidFill>
                    <w14:schemeClr w14:val="tx1"/>
                  </w14:solidFill>
                </w14:textFill>
              </w:rPr>
              <w:t>）</w:t>
            </w:r>
          </w:p>
        </w:tc>
        <w:tc>
          <w:tcPr>
            <w:tcW w:w="1349" w:type="pct"/>
            <w:vAlign w:val="center"/>
          </w:tcPr>
          <w:p w14:paraId="6B22161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年平均</w:t>
            </w:r>
          </w:p>
        </w:tc>
        <w:tc>
          <w:tcPr>
            <w:tcW w:w="1498" w:type="pct"/>
            <w:vAlign w:val="center"/>
          </w:tcPr>
          <w:p w14:paraId="596F708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35</w:t>
            </w:r>
          </w:p>
        </w:tc>
        <w:tc>
          <w:tcPr>
            <w:tcW w:w="1027" w:type="pct"/>
            <w:vMerge w:val="continue"/>
            <w:vAlign w:val="center"/>
          </w:tcPr>
          <w:p w14:paraId="7F044A85">
            <w:pPr>
              <w:pStyle w:val="105"/>
              <w:jc w:val="center"/>
              <w:rPr>
                <w:color w:val="000000" w:themeColor="text1"/>
                <w14:textFill>
                  <w14:solidFill>
                    <w14:schemeClr w14:val="tx1"/>
                  </w14:solidFill>
                </w14:textFill>
              </w:rPr>
            </w:pPr>
          </w:p>
        </w:tc>
      </w:tr>
      <w:tr w14:paraId="03C527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1126" w:type="pct"/>
            <w:vMerge w:val="continue"/>
            <w:vAlign w:val="center"/>
          </w:tcPr>
          <w:p w14:paraId="78C88870">
            <w:pPr>
              <w:pStyle w:val="105"/>
              <w:jc w:val="center"/>
              <w:rPr>
                <w:color w:val="000000" w:themeColor="text1"/>
                <w14:textFill>
                  <w14:solidFill>
                    <w14:schemeClr w14:val="tx1"/>
                  </w14:solidFill>
                </w14:textFill>
              </w:rPr>
            </w:pPr>
          </w:p>
        </w:tc>
        <w:tc>
          <w:tcPr>
            <w:tcW w:w="1349" w:type="pct"/>
            <w:vAlign w:val="center"/>
          </w:tcPr>
          <w:p w14:paraId="2C47C7A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24</w:t>
            </w:r>
            <w:r>
              <w:rPr>
                <w:color w:val="000000" w:themeColor="text1"/>
                <w14:textFill>
                  <w14:solidFill>
                    <w14:schemeClr w14:val="tx1"/>
                  </w14:solidFill>
                </w14:textFill>
              </w:rPr>
              <w:t>小时平均</w:t>
            </w:r>
          </w:p>
        </w:tc>
        <w:tc>
          <w:tcPr>
            <w:tcW w:w="1498" w:type="pct"/>
            <w:vAlign w:val="center"/>
          </w:tcPr>
          <w:p w14:paraId="237E644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75</w:t>
            </w:r>
          </w:p>
        </w:tc>
        <w:tc>
          <w:tcPr>
            <w:tcW w:w="1027" w:type="pct"/>
            <w:vMerge w:val="continue"/>
            <w:vAlign w:val="center"/>
          </w:tcPr>
          <w:p w14:paraId="73FC5BFF">
            <w:pPr>
              <w:pStyle w:val="105"/>
              <w:jc w:val="center"/>
              <w:rPr>
                <w:color w:val="000000" w:themeColor="text1"/>
                <w14:textFill>
                  <w14:solidFill>
                    <w14:schemeClr w14:val="tx1"/>
                  </w14:solidFill>
                </w14:textFill>
              </w:rPr>
            </w:pPr>
          </w:p>
        </w:tc>
      </w:tr>
    </w:tbl>
    <w:p w14:paraId="265FC0F2">
      <w:pPr>
        <w:pStyle w:val="118"/>
        <w:spacing w:before="240"/>
        <w:rPr>
          <w:color w:val="000000" w:themeColor="text1"/>
          <w14:textFill>
            <w14:solidFill>
              <w14:schemeClr w14:val="tx1"/>
            </w14:solidFill>
          </w14:textFill>
        </w:rPr>
      </w:pPr>
      <w:r>
        <w:rPr>
          <w:rFonts w:hint="eastAsia"/>
          <w:color w:val="000000" w:themeColor="text1"/>
          <w14:textFill>
            <w14:solidFill>
              <w14:schemeClr w14:val="tx1"/>
            </w14:solidFill>
          </w14:textFill>
        </w:rPr>
        <w:t>地表水</w:t>
      </w:r>
    </w:p>
    <w:p w14:paraId="7927194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线路周边地表水为迳江和福渠，根据《福建省人民政府关于福州市地表水环境功能区划定方案的批复》（闽政文〔2006〕133号）及《福州市水环境功能区划》，水质执行《地表水环境质量标准》(GB3838-2002)Ⅲ类标准。</w:t>
      </w:r>
      <w:r>
        <w:rPr>
          <w:color w:val="000000" w:themeColor="text1"/>
          <w14:textFill>
            <w14:solidFill>
              <w14:schemeClr w14:val="tx1"/>
            </w14:solidFill>
          </w14:textFill>
        </w:rPr>
        <w:t>主要水质指标见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_Ref82805770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表2.5-3</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7D113EF9">
      <w:pPr>
        <w:ind w:firstLine="480"/>
        <w:rPr>
          <w:color w:val="000000" w:themeColor="text1"/>
          <w14:textFill>
            <w14:solidFill>
              <w14:schemeClr w14:val="tx1"/>
            </w14:solidFill>
          </w14:textFill>
        </w:rPr>
      </w:pPr>
    </w:p>
    <w:p w14:paraId="35CD8DF4">
      <w:pPr>
        <w:ind w:firstLine="480"/>
        <w:rPr>
          <w:color w:val="000000" w:themeColor="text1"/>
          <w14:textFill>
            <w14:solidFill>
              <w14:schemeClr w14:val="tx1"/>
            </w14:solidFill>
          </w14:textFill>
        </w:rPr>
      </w:pPr>
    </w:p>
    <w:p w14:paraId="735F3381">
      <w:pPr>
        <w:ind w:firstLine="480"/>
        <w:rPr>
          <w:color w:val="000000" w:themeColor="text1"/>
          <w14:textFill>
            <w14:solidFill>
              <w14:schemeClr w14:val="tx1"/>
            </w14:solidFill>
          </w14:textFill>
        </w:rPr>
      </w:pPr>
    </w:p>
    <w:p w14:paraId="59FED878">
      <w:pPr>
        <w:pStyle w:val="87"/>
        <w:spacing w:before="120"/>
        <w:rPr>
          <w:color w:val="000000" w:themeColor="text1"/>
          <w14:textFill>
            <w14:solidFill>
              <w14:schemeClr w14:val="tx1"/>
            </w14:solidFill>
          </w14:textFill>
        </w:rPr>
      </w:pPr>
      <w:bookmarkStart w:id="129" w:name="_Ref82805770"/>
      <w:r>
        <w:rPr>
          <w:color w:val="000000" w:themeColor="text1"/>
          <w14:textFill>
            <w14:solidFill>
              <w14:schemeClr w14:val="tx1"/>
            </w14:solidFill>
          </w14:textFill>
        </w:rPr>
        <w:t>地表水环境质量标准（摘录）</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GB3838-2002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单位：mg/L（pH除外）</w:t>
      </w:r>
      <w:bookmarkEnd w:id="129"/>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13"/>
        <w:gridCol w:w="2994"/>
        <w:gridCol w:w="1562"/>
        <w:gridCol w:w="1449"/>
        <w:gridCol w:w="1333"/>
        <w:gridCol w:w="1335"/>
      </w:tblGrid>
      <w:tr w14:paraId="7AF9DC4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40" w:hRule="atLeast"/>
          <w:tblHeader/>
          <w:jc w:val="center"/>
        </w:trPr>
        <w:tc>
          <w:tcPr>
            <w:tcW w:w="330" w:type="pct"/>
            <w:shd w:val="clear" w:color="auto" w:fill="auto"/>
            <w:vAlign w:val="center"/>
          </w:tcPr>
          <w:p w14:paraId="37DA70E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612" w:type="pct"/>
            <w:shd w:val="clear" w:color="auto" w:fill="auto"/>
            <w:vAlign w:val="center"/>
          </w:tcPr>
          <w:p w14:paraId="1ECF180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p>
        </w:tc>
        <w:tc>
          <w:tcPr>
            <w:tcW w:w="841" w:type="pct"/>
            <w:shd w:val="clear" w:color="auto" w:fill="auto"/>
            <w:vAlign w:val="center"/>
          </w:tcPr>
          <w:p w14:paraId="6442B90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Ⅱ类</w:t>
            </w:r>
          </w:p>
        </w:tc>
        <w:tc>
          <w:tcPr>
            <w:tcW w:w="780" w:type="pct"/>
            <w:shd w:val="clear" w:color="auto" w:fill="auto"/>
            <w:vAlign w:val="center"/>
          </w:tcPr>
          <w:p w14:paraId="3641A4FB">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Ⅲ类</w:t>
            </w:r>
          </w:p>
        </w:tc>
        <w:tc>
          <w:tcPr>
            <w:tcW w:w="718" w:type="pct"/>
            <w:shd w:val="clear" w:color="auto" w:fill="auto"/>
            <w:vAlign w:val="center"/>
          </w:tcPr>
          <w:p w14:paraId="3C42828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Ⅳ类</w:t>
            </w:r>
          </w:p>
        </w:tc>
        <w:tc>
          <w:tcPr>
            <w:tcW w:w="719" w:type="pct"/>
            <w:shd w:val="clear" w:color="auto" w:fill="auto"/>
            <w:vAlign w:val="center"/>
          </w:tcPr>
          <w:p w14:paraId="0326D6B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Ⅴ类</w:t>
            </w:r>
          </w:p>
        </w:tc>
      </w:tr>
      <w:tr w14:paraId="0E06E3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1732425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1612" w:type="pct"/>
            <w:shd w:val="clear" w:color="auto" w:fill="auto"/>
            <w:vAlign w:val="center"/>
          </w:tcPr>
          <w:p w14:paraId="69CD1A5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pH值（无量纲）</w:t>
            </w:r>
          </w:p>
        </w:tc>
        <w:tc>
          <w:tcPr>
            <w:tcW w:w="3058" w:type="pct"/>
            <w:gridSpan w:val="4"/>
            <w:shd w:val="clear" w:color="auto" w:fill="auto"/>
            <w:vAlign w:val="center"/>
          </w:tcPr>
          <w:p w14:paraId="78D47E79">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6~9</w:t>
            </w:r>
          </w:p>
        </w:tc>
      </w:tr>
      <w:tr w14:paraId="6429DF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39130AD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612" w:type="pct"/>
            <w:shd w:val="clear" w:color="auto" w:fill="auto"/>
            <w:vAlign w:val="center"/>
          </w:tcPr>
          <w:p w14:paraId="15FE241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溶解氧≥</w:t>
            </w:r>
          </w:p>
        </w:tc>
        <w:tc>
          <w:tcPr>
            <w:tcW w:w="841" w:type="pct"/>
            <w:shd w:val="clear" w:color="auto" w:fill="auto"/>
            <w:vAlign w:val="center"/>
          </w:tcPr>
          <w:p w14:paraId="3910C9E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780" w:type="pct"/>
            <w:shd w:val="clear" w:color="auto" w:fill="auto"/>
            <w:vAlign w:val="center"/>
          </w:tcPr>
          <w:p w14:paraId="685A3C98">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5</w:t>
            </w:r>
          </w:p>
        </w:tc>
        <w:tc>
          <w:tcPr>
            <w:tcW w:w="718" w:type="pct"/>
            <w:shd w:val="clear" w:color="auto" w:fill="auto"/>
            <w:vAlign w:val="center"/>
          </w:tcPr>
          <w:p w14:paraId="6260B43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719" w:type="pct"/>
            <w:shd w:val="clear" w:color="auto" w:fill="auto"/>
            <w:vAlign w:val="center"/>
          </w:tcPr>
          <w:p w14:paraId="2E48686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1C3164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7969703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612" w:type="pct"/>
            <w:shd w:val="clear" w:color="auto" w:fill="auto"/>
            <w:vAlign w:val="center"/>
          </w:tcPr>
          <w:p w14:paraId="55ED2B7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高锰酸盐指数≤</w:t>
            </w:r>
          </w:p>
        </w:tc>
        <w:tc>
          <w:tcPr>
            <w:tcW w:w="841" w:type="pct"/>
            <w:shd w:val="clear" w:color="auto" w:fill="auto"/>
            <w:vAlign w:val="center"/>
          </w:tcPr>
          <w:p w14:paraId="3EAFDC3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780" w:type="pct"/>
            <w:shd w:val="clear" w:color="auto" w:fill="auto"/>
            <w:vAlign w:val="center"/>
          </w:tcPr>
          <w:p w14:paraId="47C435EF">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6</w:t>
            </w:r>
          </w:p>
        </w:tc>
        <w:tc>
          <w:tcPr>
            <w:tcW w:w="718" w:type="pct"/>
            <w:shd w:val="clear" w:color="auto" w:fill="auto"/>
            <w:vAlign w:val="center"/>
          </w:tcPr>
          <w:p w14:paraId="055A638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719" w:type="pct"/>
            <w:shd w:val="clear" w:color="auto" w:fill="auto"/>
            <w:vAlign w:val="center"/>
          </w:tcPr>
          <w:p w14:paraId="47376C2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r>
      <w:tr w14:paraId="549662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7BA9643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1612" w:type="pct"/>
            <w:shd w:val="clear" w:color="auto" w:fill="auto"/>
            <w:vAlign w:val="center"/>
          </w:tcPr>
          <w:p w14:paraId="453EA74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化学需氧量（COD）≤</w:t>
            </w:r>
          </w:p>
        </w:tc>
        <w:tc>
          <w:tcPr>
            <w:tcW w:w="841" w:type="pct"/>
            <w:shd w:val="clear" w:color="auto" w:fill="auto"/>
            <w:vAlign w:val="center"/>
          </w:tcPr>
          <w:p w14:paraId="77DC78B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780" w:type="pct"/>
            <w:shd w:val="clear" w:color="auto" w:fill="auto"/>
            <w:vAlign w:val="center"/>
          </w:tcPr>
          <w:p w14:paraId="54ECA5CB">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20</w:t>
            </w:r>
          </w:p>
        </w:tc>
        <w:tc>
          <w:tcPr>
            <w:tcW w:w="718" w:type="pct"/>
            <w:shd w:val="clear" w:color="auto" w:fill="auto"/>
            <w:vAlign w:val="center"/>
          </w:tcPr>
          <w:p w14:paraId="1BB409A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30</w:t>
            </w:r>
          </w:p>
        </w:tc>
        <w:tc>
          <w:tcPr>
            <w:tcW w:w="719" w:type="pct"/>
            <w:shd w:val="clear" w:color="auto" w:fill="auto"/>
            <w:vAlign w:val="center"/>
          </w:tcPr>
          <w:p w14:paraId="1478340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r>
      <w:tr w14:paraId="6E01AB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33DC8E4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612" w:type="pct"/>
            <w:shd w:val="clear" w:color="auto" w:fill="auto"/>
            <w:vAlign w:val="center"/>
          </w:tcPr>
          <w:p w14:paraId="29F7F95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五日生化需氧量（BOD5）≤</w:t>
            </w:r>
          </w:p>
        </w:tc>
        <w:tc>
          <w:tcPr>
            <w:tcW w:w="841" w:type="pct"/>
            <w:shd w:val="clear" w:color="auto" w:fill="auto"/>
            <w:vAlign w:val="center"/>
          </w:tcPr>
          <w:p w14:paraId="68E6CE3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780" w:type="pct"/>
            <w:shd w:val="clear" w:color="auto" w:fill="auto"/>
            <w:vAlign w:val="center"/>
          </w:tcPr>
          <w:p w14:paraId="08217F08">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4</w:t>
            </w:r>
          </w:p>
        </w:tc>
        <w:tc>
          <w:tcPr>
            <w:tcW w:w="718" w:type="pct"/>
            <w:shd w:val="clear" w:color="auto" w:fill="auto"/>
            <w:vAlign w:val="center"/>
          </w:tcPr>
          <w:p w14:paraId="318F2D6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719" w:type="pct"/>
            <w:shd w:val="clear" w:color="auto" w:fill="auto"/>
            <w:vAlign w:val="center"/>
          </w:tcPr>
          <w:p w14:paraId="594031C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594DC3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428B35D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1612" w:type="pct"/>
            <w:shd w:val="clear" w:color="auto" w:fill="auto"/>
            <w:vAlign w:val="center"/>
          </w:tcPr>
          <w:p w14:paraId="699732E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氨氮（NH3-N）≤</w:t>
            </w:r>
          </w:p>
        </w:tc>
        <w:tc>
          <w:tcPr>
            <w:tcW w:w="841" w:type="pct"/>
            <w:shd w:val="clear" w:color="auto" w:fill="auto"/>
            <w:vAlign w:val="center"/>
          </w:tcPr>
          <w:p w14:paraId="5C7B5AF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780" w:type="pct"/>
            <w:shd w:val="clear" w:color="auto" w:fill="auto"/>
            <w:vAlign w:val="center"/>
          </w:tcPr>
          <w:p w14:paraId="165FB1AE">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1</w:t>
            </w:r>
          </w:p>
        </w:tc>
        <w:tc>
          <w:tcPr>
            <w:tcW w:w="718" w:type="pct"/>
            <w:shd w:val="clear" w:color="auto" w:fill="auto"/>
            <w:vAlign w:val="center"/>
          </w:tcPr>
          <w:p w14:paraId="79BB87C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719" w:type="pct"/>
            <w:shd w:val="clear" w:color="auto" w:fill="auto"/>
            <w:vAlign w:val="center"/>
          </w:tcPr>
          <w:p w14:paraId="6A1472F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3F0C0E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05FEA8D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1612" w:type="pct"/>
            <w:shd w:val="clear" w:color="auto" w:fill="auto"/>
            <w:vAlign w:val="center"/>
          </w:tcPr>
          <w:p w14:paraId="1EEB92A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总磷（以P计）≤</w:t>
            </w:r>
          </w:p>
        </w:tc>
        <w:tc>
          <w:tcPr>
            <w:tcW w:w="841" w:type="pct"/>
            <w:shd w:val="clear" w:color="auto" w:fill="auto"/>
            <w:vAlign w:val="center"/>
          </w:tcPr>
          <w:p w14:paraId="2B136D6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w:t>
            </w:r>
          </w:p>
        </w:tc>
        <w:tc>
          <w:tcPr>
            <w:tcW w:w="780" w:type="pct"/>
            <w:shd w:val="clear" w:color="auto" w:fill="auto"/>
            <w:vAlign w:val="center"/>
          </w:tcPr>
          <w:p w14:paraId="1778A0AE">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0.2</w:t>
            </w:r>
          </w:p>
        </w:tc>
        <w:tc>
          <w:tcPr>
            <w:tcW w:w="718" w:type="pct"/>
            <w:shd w:val="clear" w:color="auto" w:fill="auto"/>
            <w:vAlign w:val="center"/>
          </w:tcPr>
          <w:p w14:paraId="6B0B8F5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0.3</w:t>
            </w:r>
          </w:p>
        </w:tc>
        <w:tc>
          <w:tcPr>
            <w:tcW w:w="719" w:type="pct"/>
            <w:shd w:val="clear" w:color="auto" w:fill="auto"/>
            <w:vAlign w:val="center"/>
          </w:tcPr>
          <w:p w14:paraId="5A7D55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r>
      <w:tr w14:paraId="65B0B4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3843E46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w:t>
            </w:r>
          </w:p>
        </w:tc>
        <w:tc>
          <w:tcPr>
            <w:tcW w:w="1612" w:type="pct"/>
            <w:shd w:val="clear" w:color="auto" w:fill="auto"/>
            <w:vAlign w:val="center"/>
          </w:tcPr>
          <w:p w14:paraId="47ECA78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总氮（湖、库，以N计）≤</w:t>
            </w:r>
          </w:p>
        </w:tc>
        <w:tc>
          <w:tcPr>
            <w:tcW w:w="841" w:type="pct"/>
            <w:shd w:val="clear" w:color="auto" w:fill="auto"/>
            <w:vAlign w:val="center"/>
          </w:tcPr>
          <w:p w14:paraId="59EA47C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780" w:type="pct"/>
            <w:shd w:val="clear" w:color="auto" w:fill="auto"/>
            <w:vAlign w:val="center"/>
          </w:tcPr>
          <w:p w14:paraId="10056C85">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1</w:t>
            </w:r>
          </w:p>
        </w:tc>
        <w:tc>
          <w:tcPr>
            <w:tcW w:w="718" w:type="pct"/>
            <w:shd w:val="clear" w:color="auto" w:fill="auto"/>
            <w:vAlign w:val="center"/>
          </w:tcPr>
          <w:p w14:paraId="501F1D2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719" w:type="pct"/>
            <w:shd w:val="clear" w:color="auto" w:fill="auto"/>
            <w:vAlign w:val="center"/>
          </w:tcPr>
          <w:p w14:paraId="65B8019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r>
      <w:tr w14:paraId="001F77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330" w:type="pct"/>
            <w:shd w:val="clear" w:color="auto" w:fill="auto"/>
            <w:vAlign w:val="center"/>
          </w:tcPr>
          <w:p w14:paraId="7CDD951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9</w:t>
            </w:r>
          </w:p>
        </w:tc>
        <w:tc>
          <w:tcPr>
            <w:tcW w:w="1612" w:type="pct"/>
            <w:shd w:val="clear" w:color="auto" w:fill="auto"/>
            <w:vAlign w:val="center"/>
          </w:tcPr>
          <w:p w14:paraId="72C6962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石油类≤</w:t>
            </w:r>
          </w:p>
        </w:tc>
        <w:tc>
          <w:tcPr>
            <w:tcW w:w="841" w:type="pct"/>
            <w:shd w:val="clear" w:color="auto" w:fill="auto"/>
            <w:vAlign w:val="center"/>
          </w:tcPr>
          <w:p w14:paraId="3206660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c>
          <w:tcPr>
            <w:tcW w:w="780" w:type="pct"/>
            <w:shd w:val="clear" w:color="auto" w:fill="auto"/>
            <w:vAlign w:val="center"/>
          </w:tcPr>
          <w:p w14:paraId="158AF14C">
            <w:pPr>
              <w:pStyle w:val="105"/>
              <w:jc w:val="center"/>
              <w:rPr>
                <w:color w:val="000000" w:themeColor="text1"/>
                <w:shd w:val="pct10" w:color="auto" w:fill="FFFFFF"/>
                <w14:textFill>
                  <w14:solidFill>
                    <w14:schemeClr w14:val="tx1"/>
                  </w14:solidFill>
                </w14:textFill>
              </w:rPr>
            </w:pPr>
            <w:r>
              <w:rPr>
                <w:rFonts w:hint="eastAsia"/>
                <w:color w:val="000000" w:themeColor="text1"/>
                <w:shd w:val="pct10" w:color="auto" w:fill="FFFFFF"/>
                <w14:textFill>
                  <w14:solidFill>
                    <w14:schemeClr w14:val="tx1"/>
                  </w14:solidFill>
                </w14:textFill>
              </w:rPr>
              <w:t>0.05</w:t>
            </w:r>
          </w:p>
        </w:tc>
        <w:tc>
          <w:tcPr>
            <w:tcW w:w="718" w:type="pct"/>
            <w:shd w:val="clear" w:color="auto" w:fill="auto"/>
            <w:vAlign w:val="center"/>
          </w:tcPr>
          <w:p w14:paraId="1DC5BBF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719" w:type="pct"/>
            <w:shd w:val="clear" w:color="auto" w:fill="auto"/>
            <w:vAlign w:val="center"/>
          </w:tcPr>
          <w:p w14:paraId="7012661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r>
    </w:tbl>
    <w:p w14:paraId="18D1C92A">
      <w:pPr>
        <w:pStyle w:val="118"/>
        <w:spacing w:before="240"/>
        <w:rPr>
          <w:color w:val="000000" w:themeColor="text1"/>
          <w14:textFill>
            <w14:solidFill>
              <w14:schemeClr w14:val="tx1"/>
            </w14:solidFill>
          </w14:textFill>
        </w:rPr>
      </w:pPr>
      <w:r>
        <w:rPr>
          <w:color w:val="000000" w:themeColor="text1"/>
          <w14:textFill>
            <w14:solidFill>
              <w14:schemeClr w14:val="tx1"/>
            </w14:solidFill>
          </w14:textFill>
        </w:rPr>
        <w:t>声环境</w:t>
      </w:r>
    </w:p>
    <w:p w14:paraId="78FF3B6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为旅游公路，设计等级为二级公路，属于交通干线，项目建成后，当临街（路）建筑高于3层楼房以上（含三层）时，将临街建筑面向交通干线一侧至交通干线边界线的区域执行GB3096-2008中4a类标准，当临街（路）建筑低于3层楼交通干线边界线外</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m以内面向公路一侧区域声环境执行GB3096-2008中4a类标准，评价范围内的其他区域，执行2类标准。根据《关于公路、铁路（含轻轨）等建设项目环境影响评价中环境噪声有关问题的通知》，评价范围内的学校、医院（疗养院、敬老院）等特殊敏感建筑，其室外噪声昼间按60</w:t>
      </w:r>
      <w:r>
        <w:rPr>
          <w:color w:val="000000" w:themeColor="text1"/>
          <w14:textFill>
            <w14:solidFill>
              <w14:schemeClr w14:val="tx1"/>
            </w14:solidFill>
          </w14:textFill>
        </w:rPr>
        <w:t>dB</w:t>
      </w:r>
      <w:r>
        <w:rPr>
          <w:rFonts w:hint="eastAsia"/>
          <w:color w:val="000000" w:themeColor="text1"/>
          <w14:textFill>
            <w14:solidFill>
              <w14:schemeClr w14:val="tx1"/>
            </w14:solidFill>
          </w14:textFill>
        </w:rPr>
        <w:t>、夜间按50</w:t>
      </w:r>
      <w:r>
        <w:rPr>
          <w:color w:val="000000" w:themeColor="text1"/>
          <w14:textFill>
            <w14:solidFill>
              <w14:schemeClr w14:val="tx1"/>
            </w14:solidFill>
          </w14:textFill>
        </w:rPr>
        <w:t>dB</w:t>
      </w:r>
      <w:r>
        <w:rPr>
          <w:rFonts w:hint="eastAsia"/>
          <w:color w:val="000000" w:themeColor="text1"/>
          <w14:textFill>
            <w14:solidFill>
              <w14:schemeClr w14:val="tx1"/>
            </w14:solidFill>
          </w14:textFill>
        </w:rPr>
        <w:t>执行。</w:t>
      </w:r>
      <w:r>
        <w:rPr>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_Ref140135727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表2.5-4</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6EBDF5D9">
      <w:pPr>
        <w:pStyle w:val="87"/>
        <w:spacing w:before="120"/>
        <w:rPr>
          <w:color w:val="000000" w:themeColor="text1"/>
          <w14:textFill>
            <w14:solidFill>
              <w14:schemeClr w14:val="tx1"/>
            </w14:solidFill>
          </w14:textFill>
        </w:rPr>
      </w:pPr>
      <w:bookmarkStart w:id="130" w:name="_Ref140135727"/>
      <w:r>
        <w:rPr>
          <w:color w:val="000000" w:themeColor="text1"/>
          <w14:textFill>
            <w14:solidFill>
              <w14:schemeClr w14:val="tx1"/>
            </w14:solidFill>
          </w14:textFill>
        </w:rPr>
        <w:t>《声环境质量标准》（摘录）单位：dB（A）</w:t>
      </w:r>
      <w:bookmarkEnd w:id="130"/>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0"/>
        <w:gridCol w:w="6457"/>
        <w:gridCol w:w="969"/>
        <w:gridCol w:w="970"/>
      </w:tblGrid>
      <w:tr w14:paraId="3D5586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9" w:type="pct"/>
            <w:vAlign w:val="center"/>
          </w:tcPr>
          <w:p w14:paraId="52164687">
            <w:pPr>
              <w:pStyle w:val="105"/>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3477" w:type="pct"/>
            <w:vAlign w:val="center"/>
          </w:tcPr>
          <w:p w14:paraId="4F7441B4">
            <w:pPr>
              <w:pStyle w:val="105"/>
              <w:rPr>
                <w:color w:val="000000" w:themeColor="text1"/>
                <w14:textFill>
                  <w14:solidFill>
                    <w14:schemeClr w14:val="tx1"/>
                  </w14:solidFill>
                </w14:textFill>
              </w:rPr>
            </w:pPr>
            <w:r>
              <w:rPr>
                <w:color w:val="000000" w:themeColor="text1"/>
                <w14:textFill>
                  <w14:solidFill>
                    <w14:schemeClr w14:val="tx1"/>
                  </w14:solidFill>
                </w14:textFill>
              </w:rPr>
              <w:t>适用区域</w:t>
            </w:r>
          </w:p>
        </w:tc>
        <w:tc>
          <w:tcPr>
            <w:tcW w:w="522" w:type="pct"/>
            <w:vAlign w:val="center"/>
          </w:tcPr>
          <w:p w14:paraId="2602F25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522" w:type="pct"/>
            <w:vAlign w:val="center"/>
          </w:tcPr>
          <w:p w14:paraId="66ECAC7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夜间</w:t>
            </w:r>
          </w:p>
        </w:tc>
      </w:tr>
      <w:tr w14:paraId="7D5EB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9" w:type="pct"/>
            <w:vAlign w:val="center"/>
          </w:tcPr>
          <w:p w14:paraId="23A981CD">
            <w:pPr>
              <w:pStyle w:val="105"/>
              <w:rPr>
                <w:color w:val="000000" w:themeColor="text1"/>
                <w14:textFill>
                  <w14:solidFill>
                    <w14:schemeClr w14:val="tx1"/>
                  </w14:solidFill>
                </w14:textFill>
              </w:rPr>
            </w:pPr>
            <w:r>
              <w:rPr>
                <w:color w:val="000000" w:themeColor="text1"/>
                <w14:textFill>
                  <w14:solidFill>
                    <w14:schemeClr w14:val="tx1"/>
                  </w14:solidFill>
                </w14:textFill>
              </w:rPr>
              <w:t>2类</w:t>
            </w:r>
          </w:p>
        </w:tc>
        <w:tc>
          <w:tcPr>
            <w:tcW w:w="3477" w:type="pct"/>
            <w:vAlign w:val="center"/>
          </w:tcPr>
          <w:p w14:paraId="4A51C664">
            <w:pPr>
              <w:pStyle w:val="105"/>
              <w:rPr>
                <w:color w:val="000000" w:themeColor="text1"/>
                <w14:textFill>
                  <w14:solidFill>
                    <w14:schemeClr w14:val="tx1"/>
                  </w14:solidFill>
                </w14:textFill>
              </w:rPr>
            </w:pPr>
            <w:r>
              <w:rPr>
                <w:color w:val="000000" w:themeColor="text1"/>
                <w14:textFill>
                  <w14:solidFill>
                    <w14:schemeClr w14:val="tx1"/>
                  </w14:solidFill>
                </w14:textFill>
              </w:rPr>
              <w:t>以商业金融、集市贸易为主要功能，或者居住、商业、工业混杂，需要维护住宅安静的区域</w:t>
            </w:r>
          </w:p>
        </w:tc>
        <w:tc>
          <w:tcPr>
            <w:tcW w:w="522" w:type="pct"/>
            <w:vAlign w:val="center"/>
          </w:tcPr>
          <w:p w14:paraId="1DF0D78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60</w:t>
            </w:r>
          </w:p>
        </w:tc>
        <w:tc>
          <w:tcPr>
            <w:tcW w:w="522" w:type="pct"/>
            <w:vAlign w:val="center"/>
          </w:tcPr>
          <w:p w14:paraId="403264C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50</w:t>
            </w:r>
          </w:p>
        </w:tc>
      </w:tr>
      <w:tr w14:paraId="0366E9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79" w:type="pct"/>
            <w:vAlign w:val="center"/>
          </w:tcPr>
          <w:p w14:paraId="313B5E46">
            <w:pPr>
              <w:pStyle w:val="105"/>
              <w:rPr>
                <w:color w:val="000000" w:themeColor="text1"/>
                <w14:textFill>
                  <w14:solidFill>
                    <w14:schemeClr w14:val="tx1"/>
                  </w14:solidFill>
                </w14:textFill>
              </w:rPr>
            </w:pPr>
            <w:r>
              <w:rPr>
                <w:color w:val="000000" w:themeColor="text1"/>
                <w14:textFill>
                  <w14:solidFill>
                    <w14:schemeClr w14:val="tx1"/>
                  </w14:solidFill>
                </w14:textFill>
              </w:rPr>
              <w:t>4a类</w:t>
            </w:r>
          </w:p>
        </w:tc>
        <w:tc>
          <w:tcPr>
            <w:tcW w:w="3477" w:type="pct"/>
            <w:vAlign w:val="center"/>
          </w:tcPr>
          <w:p w14:paraId="427D1074">
            <w:pPr>
              <w:pStyle w:val="105"/>
              <w:rPr>
                <w:color w:val="000000" w:themeColor="text1"/>
                <w14:textFill>
                  <w14:solidFill>
                    <w14:schemeClr w14:val="tx1"/>
                  </w14:solidFill>
                </w14:textFill>
              </w:rPr>
            </w:pPr>
            <w:r>
              <w:rPr>
                <w:color w:val="000000" w:themeColor="text1"/>
                <w14:textFill>
                  <w14:solidFill>
                    <w14:schemeClr w14:val="tx1"/>
                  </w14:solidFill>
                </w14:textFill>
              </w:rPr>
              <w:t>高速公路、一级公路、二级公路、城市快速路、城市主干路、城市次干路、城市轨道交通（地面段）、内河航道两侧区域</w:t>
            </w:r>
          </w:p>
        </w:tc>
        <w:tc>
          <w:tcPr>
            <w:tcW w:w="522" w:type="pct"/>
            <w:vAlign w:val="center"/>
          </w:tcPr>
          <w:p w14:paraId="66D68F5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522" w:type="pct"/>
            <w:vAlign w:val="center"/>
          </w:tcPr>
          <w:p w14:paraId="149F954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55</w:t>
            </w:r>
          </w:p>
        </w:tc>
      </w:tr>
    </w:tbl>
    <w:p w14:paraId="58945FF7">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排放标准</w:t>
      </w:r>
    </w:p>
    <w:p w14:paraId="101A3EE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（1）大气污染物排放标准：施工期颗粒物、沥青烟排放执行《大气污染物综合排放标准》（GB16297-1996）表2中二级标准及无组织排放监控浓度限值。</w:t>
      </w:r>
      <w:r>
        <w:rPr>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_Ref140136948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表2.5-5</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7E78609C">
      <w:pPr>
        <w:pStyle w:val="87"/>
        <w:spacing w:before="120"/>
        <w:rPr>
          <w:color w:val="000000" w:themeColor="text1"/>
          <w14:textFill>
            <w14:solidFill>
              <w14:schemeClr w14:val="tx1"/>
            </w14:solidFill>
          </w14:textFill>
        </w:rPr>
      </w:pPr>
      <w:bookmarkStart w:id="131" w:name="_Ref140136948"/>
      <w:r>
        <w:rPr>
          <w:rFonts w:hint="eastAsia"/>
          <w:color w:val="000000" w:themeColor="text1"/>
          <w14:textFill>
            <w14:solidFill>
              <w14:schemeClr w14:val="tx1"/>
            </w14:solidFill>
          </w14:textFill>
        </w:rPr>
        <w:t>大气污染物综合排放标准</w:t>
      </w:r>
      <w:bookmarkEnd w:id="131"/>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2"/>
        <w:gridCol w:w="3048"/>
        <w:gridCol w:w="4786"/>
      </w:tblGrid>
      <w:tr w14:paraId="088CC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2" w:type="pct"/>
            <w:shd w:val="clear" w:color="auto" w:fill="auto"/>
            <w:vAlign w:val="center"/>
          </w:tcPr>
          <w:p w14:paraId="625F0D83">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污染物</w:t>
            </w:r>
          </w:p>
        </w:tc>
        <w:tc>
          <w:tcPr>
            <w:tcW w:w="1641" w:type="pct"/>
            <w:shd w:val="clear" w:color="auto" w:fill="auto"/>
            <w:vAlign w:val="center"/>
          </w:tcPr>
          <w:p w14:paraId="0E951028">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最高浓度限值（mg/m</w:t>
            </w:r>
            <w:r>
              <w:rPr>
                <w:snapToGrid w:val="0"/>
                <w:color w:val="000000" w:themeColor="text1"/>
                <w:vertAlign w:val="superscript"/>
                <w14:textFill>
                  <w14:solidFill>
                    <w14:schemeClr w14:val="tx1"/>
                  </w14:solidFill>
                </w14:textFill>
              </w:rPr>
              <w:t>3</w:t>
            </w:r>
            <w:r>
              <w:rPr>
                <w:rFonts w:hint="eastAsia"/>
                <w:snapToGrid w:val="0"/>
                <w:color w:val="000000" w:themeColor="text1"/>
                <w14:textFill>
                  <w14:solidFill>
                    <w14:schemeClr w14:val="tx1"/>
                  </w14:solidFill>
                </w14:textFill>
              </w:rPr>
              <w:t>）</w:t>
            </w:r>
          </w:p>
        </w:tc>
        <w:tc>
          <w:tcPr>
            <w:tcW w:w="2577" w:type="pct"/>
            <w:shd w:val="clear" w:color="auto" w:fill="auto"/>
            <w:vAlign w:val="center"/>
          </w:tcPr>
          <w:p w14:paraId="5D0EE247">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无组织排放监控浓度限值点</w:t>
            </w:r>
          </w:p>
        </w:tc>
      </w:tr>
      <w:tr w14:paraId="51831F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2" w:type="pct"/>
            <w:shd w:val="clear" w:color="auto" w:fill="auto"/>
            <w:vAlign w:val="center"/>
          </w:tcPr>
          <w:p w14:paraId="57A3485D">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颗粒物</w:t>
            </w:r>
          </w:p>
        </w:tc>
        <w:tc>
          <w:tcPr>
            <w:tcW w:w="1641" w:type="pct"/>
            <w:shd w:val="clear" w:color="auto" w:fill="auto"/>
            <w:vAlign w:val="center"/>
          </w:tcPr>
          <w:p w14:paraId="1E90CE6A">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120</w:t>
            </w:r>
          </w:p>
        </w:tc>
        <w:tc>
          <w:tcPr>
            <w:tcW w:w="2577" w:type="pct"/>
            <w:shd w:val="clear" w:color="auto" w:fill="auto"/>
            <w:vAlign w:val="center"/>
          </w:tcPr>
          <w:p w14:paraId="0E9C6BA4">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周界外浓度最高点1.0</w:t>
            </w:r>
          </w:p>
        </w:tc>
      </w:tr>
      <w:tr w14:paraId="5C7891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2" w:type="pct"/>
            <w:shd w:val="clear" w:color="auto" w:fill="auto"/>
            <w:vAlign w:val="center"/>
          </w:tcPr>
          <w:p w14:paraId="6B33B08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沥青烟</w:t>
            </w:r>
          </w:p>
        </w:tc>
        <w:tc>
          <w:tcPr>
            <w:tcW w:w="1641" w:type="pct"/>
            <w:shd w:val="clear" w:color="auto" w:fill="auto"/>
            <w:vAlign w:val="center"/>
          </w:tcPr>
          <w:p w14:paraId="780298B1">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40（沥青熔炼）</w:t>
            </w:r>
          </w:p>
        </w:tc>
        <w:tc>
          <w:tcPr>
            <w:tcW w:w="2577" w:type="pct"/>
            <w:vMerge w:val="restart"/>
            <w:shd w:val="clear" w:color="auto" w:fill="auto"/>
            <w:vAlign w:val="center"/>
          </w:tcPr>
          <w:p w14:paraId="192F33C9">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生产设备不得有明显的无组织排放存在</w:t>
            </w:r>
          </w:p>
        </w:tc>
      </w:tr>
      <w:tr w14:paraId="52155D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2" w:type="pct"/>
            <w:shd w:val="clear" w:color="auto" w:fill="auto"/>
            <w:vAlign w:val="center"/>
          </w:tcPr>
          <w:p w14:paraId="550CA8B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沥青烟</w:t>
            </w:r>
          </w:p>
        </w:tc>
        <w:tc>
          <w:tcPr>
            <w:tcW w:w="1641" w:type="pct"/>
            <w:shd w:val="clear" w:color="auto" w:fill="auto"/>
            <w:vAlign w:val="center"/>
          </w:tcPr>
          <w:p w14:paraId="206E2B5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75（沥青搅拌）</w:t>
            </w:r>
          </w:p>
        </w:tc>
        <w:tc>
          <w:tcPr>
            <w:tcW w:w="2577" w:type="pct"/>
            <w:vMerge w:val="continue"/>
            <w:shd w:val="clear" w:color="auto" w:fill="auto"/>
            <w:vAlign w:val="center"/>
          </w:tcPr>
          <w:p w14:paraId="18BC98EE">
            <w:pPr>
              <w:pStyle w:val="105"/>
              <w:jc w:val="center"/>
              <w:rPr>
                <w:snapToGrid w:val="0"/>
                <w:color w:val="000000" w:themeColor="text1"/>
                <w14:textFill>
                  <w14:solidFill>
                    <w14:schemeClr w14:val="tx1"/>
                  </w14:solidFill>
                </w14:textFill>
              </w:rPr>
            </w:pPr>
          </w:p>
        </w:tc>
      </w:tr>
    </w:tbl>
    <w:p w14:paraId="1B0F5FBF">
      <w:pPr>
        <w:pStyle w:val="124"/>
        <w:rPr>
          <w:color w:val="000000" w:themeColor="text1"/>
          <w14:textFill>
            <w14:solidFill>
              <w14:schemeClr w14:val="tx1"/>
            </w14:solidFill>
          </w14:textFill>
        </w:rPr>
      </w:pPr>
      <w:r>
        <w:rPr>
          <w:color w:val="000000" w:themeColor="text1"/>
          <w14:textFill>
            <w14:solidFill>
              <w14:schemeClr w14:val="tx1"/>
            </w14:solidFill>
          </w14:textFill>
        </w:rPr>
        <w:t>（2）水污染物排放标准</w:t>
      </w:r>
    </w:p>
    <w:p w14:paraId="0B08C5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项目施工废水经处理后回用，不外排；</w:t>
      </w:r>
      <w:r>
        <w:rPr>
          <w:color w:val="000000" w:themeColor="text1"/>
          <w14:textFill>
            <w14:solidFill>
              <w14:schemeClr w14:val="tx1"/>
            </w14:solidFill>
          </w14:textFill>
        </w:rPr>
        <w:t>施工人员租用工程沿线民房，生活污水利用当地民房的化粪池等处理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分散纳入当地污水处理系统。</w:t>
      </w:r>
      <w:r>
        <w:rPr>
          <w:color w:val="000000" w:themeColor="text1"/>
          <w14:textFill>
            <w14:solidFill>
              <w14:schemeClr w14:val="tx1"/>
            </w14:solidFill>
          </w14:textFill>
        </w:rPr>
        <w:t>运营期只有地表径流，无生活、生产污水排放。</w:t>
      </w:r>
    </w:p>
    <w:p w14:paraId="33C81539">
      <w:pPr>
        <w:ind w:firstLine="480"/>
        <w:rPr>
          <w:color w:val="000000" w:themeColor="text1"/>
          <w14:textFill>
            <w14:solidFill>
              <w14:schemeClr w14:val="tx1"/>
            </w14:solidFill>
          </w14:textFill>
        </w:rPr>
      </w:pPr>
      <w:r>
        <w:rPr>
          <w:color w:val="000000" w:themeColor="text1"/>
          <w14:textFill>
            <w14:solidFill>
              <w14:schemeClr w14:val="tx1"/>
            </w14:solidFill>
          </w14:textFill>
        </w:rPr>
        <w:t>（3）噪声排放标准</w:t>
      </w:r>
    </w:p>
    <w:p w14:paraId="52C7E8B6">
      <w:pPr>
        <w:ind w:firstLine="480"/>
        <w:rPr>
          <w:color w:val="000000" w:themeColor="text1"/>
          <w14:textFill>
            <w14:solidFill>
              <w14:schemeClr w14:val="tx1"/>
            </w14:solidFill>
          </w14:textFill>
        </w:rPr>
      </w:pPr>
      <w:r>
        <w:rPr>
          <w:color w:val="000000" w:themeColor="text1"/>
          <w14:textFill>
            <w14:solidFill>
              <w14:schemeClr w14:val="tx1"/>
            </w14:solidFill>
          </w14:textFill>
        </w:rPr>
        <w:t>施工期场地噪声执行《建筑施工场界环境噪声排放标准》（GB12523-2011）</w:t>
      </w: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_Ref140137059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表2.5-6</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78785147">
      <w:pPr>
        <w:pStyle w:val="87"/>
        <w:spacing w:before="120"/>
        <w:ind w:left="480" w:firstLine="480"/>
        <w:rPr>
          <w:color w:val="000000" w:themeColor="text1"/>
          <w14:textFill>
            <w14:solidFill>
              <w14:schemeClr w14:val="tx1"/>
            </w14:solidFill>
          </w14:textFill>
        </w:rPr>
      </w:pPr>
      <w:bookmarkStart w:id="132" w:name="_Ref140137059"/>
      <w:r>
        <w:rPr>
          <w:rFonts w:hint="eastAsia"/>
          <w:color w:val="000000" w:themeColor="text1"/>
          <w14:textFill>
            <w14:solidFill>
              <w14:schemeClr w14:val="tx1"/>
            </w14:solidFill>
          </w14:textFill>
        </w:rPr>
        <w:t>建筑施工场界环境噪声排放限值</w:t>
      </w:r>
      <w:bookmarkEnd w:id="132"/>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96"/>
        <w:gridCol w:w="3094"/>
        <w:gridCol w:w="3096"/>
      </w:tblGrid>
      <w:tr w14:paraId="2F8AEF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shd w:val="clear" w:color="auto" w:fill="auto"/>
            <w:vAlign w:val="center"/>
          </w:tcPr>
          <w:p w14:paraId="33659DA7">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类别</w:t>
            </w:r>
          </w:p>
        </w:tc>
        <w:tc>
          <w:tcPr>
            <w:tcW w:w="1666" w:type="pct"/>
            <w:shd w:val="clear" w:color="auto" w:fill="auto"/>
            <w:vAlign w:val="center"/>
          </w:tcPr>
          <w:p w14:paraId="33D0127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昼间</w:t>
            </w:r>
          </w:p>
        </w:tc>
        <w:tc>
          <w:tcPr>
            <w:tcW w:w="1667" w:type="pct"/>
            <w:shd w:val="clear" w:color="auto" w:fill="auto"/>
            <w:vAlign w:val="center"/>
          </w:tcPr>
          <w:p w14:paraId="30109DA1">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夜间</w:t>
            </w:r>
          </w:p>
        </w:tc>
      </w:tr>
      <w:tr w14:paraId="14DFA3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67" w:type="pct"/>
            <w:shd w:val="clear" w:color="auto" w:fill="auto"/>
            <w:vAlign w:val="center"/>
          </w:tcPr>
          <w:p w14:paraId="5074229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施工场界环境噪声</w:t>
            </w:r>
          </w:p>
        </w:tc>
        <w:tc>
          <w:tcPr>
            <w:tcW w:w="1666" w:type="pct"/>
            <w:shd w:val="clear" w:color="auto" w:fill="auto"/>
            <w:vAlign w:val="center"/>
          </w:tcPr>
          <w:p w14:paraId="0EF6884F">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70</w:t>
            </w:r>
            <w:r>
              <w:rPr>
                <w:snapToGrid w:val="0"/>
                <w:color w:val="000000" w:themeColor="text1"/>
                <w14:textFill>
                  <w14:solidFill>
                    <w14:schemeClr w14:val="tx1"/>
                  </w14:solidFill>
                </w14:textFill>
              </w:rPr>
              <w:t>dB</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w:t>
            </w:r>
          </w:p>
        </w:tc>
        <w:tc>
          <w:tcPr>
            <w:tcW w:w="1667" w:type="pct"/>
            <w:shd w:val="clear" w:color="auto" w:fill="auto"/>
            <w:vAlign w:val="center"/>
          </w:tcPr>
          <w:p w14:paraId="09F528B1">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55</w:t>
            </w:r>
            <w:r>
              <w:rPr>
                <w:snapToGrid w:val="0"/>
                <w:color w:val="000000" w:themeColor="text1"/>
                <w14:textFill>
                  <w14:solidFill>
                    <w14:schemeClr w14:val="tx1"/>
                  </w14:solidFill>
                </w14:textFill>
              </w:rPr>
              <w:t>dB</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w:t>
            </w:r>
          </w:p>
        </w:tc>
      </w:tr>
      <w:tr w14:paraId="4E8285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3"/>
            <w:shd w:val="clear" w:color="auto" w:fill="auto"/>
            <w:vAlign w:val="center"/>
          </w:tcPr>
          <w:p w14:paraId="5A658217">
            <w:pPr>
              <w:pStyle w:val="105"/>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①夜间噪声最大声级超过限值的幅度不得高于15dB（A）。</w:t>
            </w:r>
          </w:p>
          <w:p w14:paraId="78CFBEA9">
            <w:pPr>
              <w:pStyle w:val="105"/>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②当</w:t>
            </w:r>
            <w:bookmarkStart w:id="133" w:name="hmcheck_9d6d078b1e1443a983bfdabbf9991ce3"/>
            <w:r>
              <w:rPr>
                <w:rFonts w:hint="eastAsia"/>
                <w:snapToGrid w:val="0"/>
                <w:color w:val="000000" w:themeColor="text1"/>
                <w:shd w:val="clear" w:fill="FFAFAA"/>
                <w14:textFill>
                  <w14:solidFill>
                    <w14:schemeClr w14:val="tx1"/>
                  </w14:solidFill>
                </w14:textFill>
              </w:rPr>
              <w:t>场界</w:t>
            </w:r>
            <w:bookmarkEnd w:id="133"/>
            <w:r>
              <w:rPr>
                <w:rFonts w:hint="eastAsia"/>
                <w:snapToGrid w:val="0"/>
                <w:color w:val="000000" w:themeColor="text1"/>
                <w14:textFill>
                  <w14:solidFill>
                    <w14:schemeClr w14:val="tx1"/>
                  </w14:solidFill>
                </w14:textFill>
              </w:rPr>
              <w:t>距噪声敏感建筑物较近，其室外不满足测量条件时，可在噪声敏感建筑物室内测量，并将表1.5-7中相应的限值减10dB（A）作为评价依据。</w:t>
            </w:r>
          </w:p>
        </w:tc>
      </w:tr>
    </w:tbl>
    <w:p w14:paraId="50C75375">
      <w:pPr>
        <w:pStyle w:val="116"/>
        <w:spacing w:before="240"/>
        <w:rPr>
          <w:color w:val="000000" w:themeColor="text1"/>
          <w14:textFill>
            <w14:solidFill>
              <w14:schemeClr w14:val="tx1"/>
            </w14:solidFill>
          </w14:textFill>
        </w:rPr>
      </w:pPr>
      <w:bookmarkStart w:id="134" w:name="_Toc193912362"/>
      <w:bookmarkStart w:id="135" w:name="_Toc88764829"/>
      <w:bookmarkStart w:id="136" w:name="_Toc61517052"/>
      <w:bookmarkStart w:id="137" w:name="_Toc153957812"/>
      <w:bookmarkStart w:id="138" w:name="_Toc159405456"/>
      <w:bookmarkStart w:id="139" w:name="_Toc88864635"/>
      <w:r>
        <w:rPr>
          <w:rFonts w:hint="eastAsia"/>
          <w:color w:val="000000" w:themeColor="text1"/>
          <w14:textFill>
            <w14:solidFill>
              <w14:schemeClr w14:val="tx1"/>
            </w14:solidFill>
          </w14:textFill>
        </w:rPr>
        <w:t>评价等级及范围</w:t>
      </w:r>
      <w:bookmarkEnd w:id="134"/>
      <w:bookmarkEnd w:id="135"/>
      <w:bookmarkEnd w:id="136"/>
      <w:bookmarkEnd w:id="137"/>
      <w:bookmarkEnd w:id="138"/>
      <w:bookmarkEnd w:id="139"/>
    </w:p>
    <w:p w14:paraId="255C4714">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生态</w:t>
      </w:r>
    </w:p>
    <w:p w14:paraId="3B71AA2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（1）评价等级：</w:t>
      </w:r>
      <w:r>
        <w:rPr>
          <w:rFonts w:hint="eastAsia"/>
          <w:color w:val="000000" w:themeColor="text1"/>
          <w:spacing w:val="-7"/>
          <w14:textFill>
            <w14:solidFill>
              <w14:schemeClr w14:val="tx1"/>
            </w14:solidFill>
          </w14:textFill>
        </w:rPr>
        <w:t>项目总征占地面积6.</w:t>
      </w:r>
      <w:r>
        <w:rPr>
          <w:color w:val="000000" w:themeColor="text1"/>
          <w:spacing w:val="-7"/>
          <w14:textFill>
            <w14:solidFill>
              <w14:schemeClr w14:val="tx1"/>
            </w14:solidFill>
          </w14:textFill>
        </w:rPr>
        <w:t>7067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，其中永久占地 </w:t>
      </w:r>
      <w:r>
        <w:rPr>
          <w:color w:val="000000" w:themeColor="text1"/>
          <w:spacing w:val="-7"/>
          <w14:textFill>
            <w14:solidFill>
              <w14:schemeClr w14:val="tx1"/>
            </w14:solidFill>
          </w14:textFill>
        </w:rPr>
        <w:t>14.6617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 ，临时占地 </w:t>
      </w:r>
      <w:r>
        <w:rPr>
          <w:color w:val="000000" w:themeColor="text1"/>
          <w:spacing w:val="-7"/>
          <w14:textFill>
            <w14:solidFill>
              <w14:schemeClr w14:val="tx1"/>
            </w14:solidFill>
          </w14:textFill>
        </w:rPr>
        <w:t>2.045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14:textFill>
            <w14:solidFill>
              <w14:schemeClr w14:val="tx1"/>
            </w14:solidFill>
          </w14:textFill>
        </w:rPr>
        <w:t>，本项目不涉及国家公园、自然保护区、世界自然遗产、重要生境等区域，不涉及自然公园、生态保护红线等区域。因此，根据HJ19-2022、</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，本项目</w:t>
      </w:r>
      <w:r>
        <w:rPr>
          <w:rFonts w:hint="eastAsia"/>
          <w:color w:val="000000" w:themeColor="text1"/>
          <w:kern w:val="0"/>
          <w:szCs w:val="24"/>
          <w:lang w:val="zh-CN"/>
          <w14:textFill>
            <w14:solidFill>
              <w14:schemeClr w14:val="tx1"/>
            </w14:solidFill>
          </w14:textFill>
        </w:rPr>
        <w:t>生态评价</w:t>
      </w:r>
      <w:r>
        <w:rPr>
          <w:rFonts w:hint="eastAsia"/>
          <w:color w:val="000000" w:themeColor="text1"/>
          <w14:textFill>
            <w14:solidFill>
              <w14:schemeClr w14:val="tx1"/>
            </w14:solidFill>
          </w14:textFill>
        </w:rPr>
        <w:t>工作等级为三级。</w:t>
      </w:r>
    </w:p>
    <w:p w14:paraId="3F44FF4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（2）评价范围：线路中心线两侧外延300 m，项目临时占地四周外延</w:t>
      </w:r>
      <w:r>
        <w:rPr>
          <w:color w:val="000000" w:themeColor="text1"/>
          <w14:textFill>
            <w14:solidFill>
              <w14:schemeClr w14:val="tx1"/>
            </w14:solidFill>
          </w14:textFill>
        </w:rPr>
        <w:t>200</w:t>
      </w:r>
      <w:r>
        <w:rPr>
          <w:rFonts w:hint="eastAsia"/>
          <w:color w:val="000000" w:themeColor="text1"/>
          <w14:textFill>
            <w14:solidFill>
              <w14:schemeClr w14:val="tx1"/>
            </w14:solidFill>
          </w14:textFill>
        </w:rPr>
        <w:t>m。</w:t>
      </w:r>
    </w:p>
    <w:p w14:paraId="0CB3D9DD">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p w14:paraId="4AD3F6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评价等级：根据《环境影响评价技术导则 公路建设项目》（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），项目所处区域执行《声环境质量标准》（GB3096-2008）规定的2类区标准，建设前后噪声级有明显增高（项目建设前后评价范围内敏感目标噪声级增高量在5dB以上），故噪声影响评价确定为一级。</w:t>
      </w:r>
    </w:p>
    <w:p w14:paraId="4EAD6396">
      <w:pPr>
        <w:ind w:firstLine="480"/>
        <w:rPr>
          <w:color w:val="000000" w:themeColor="text1"/>
          <w14:textFill>
            <w14:solidFill>
              <w14:schemeClr w14:val="tx1"/>
            </w14:solidFill>
          </w14:textFill>
        </w:rPr>
      </w:pPr>
      <w:r>
        <w:rPr>
          <w:color w:val="000000" w:themeColor="text1"/>
          <w14:textFill>
            <w14:solidFill>
              <w14:schemeClr w14:val="tx1"/>
            </w14:solidFill>
          </w14:textFill>
        </w:rPr>
        <w:t>评价范围：</w:t>
      </w:r>
      <w:r>
        <w:rPr>
          <w:rFonts w:hint="eastAsia"/>
          <w:color w:val="000000" w:themeColor="text1"/>
          <w14:textFill>
            <w14:solidFill>
              <w14:schemeClr w14:val="tx1"/>
            </w14:solidFill>
          </w14:textFill>
        </w:rPr>
        <w:t>线路中心线两侧</w:t>
      </w:r>
      <w:r>
        <w:rPr>
          <w:color w:val="000000" w:themeColor="text1"/>
          <w14:textFill>
            <w14:solidFill>
              <w14:schemeClr w14:val="tx1"/>
            </w14:solidFill>
          </w14:textFill>
        </w:rPr>
        <w:t>200m</w:t>
      </w:r>
      <w:r>
        <w:rPr>
          <w:rFonts w:hint="eastAsia"/>
          <w:color w:val="000000" w:themeColor="text1"/>
          <w14:textFill>
            <w14:solidFill>
              <w14:schemeClr w14:val="tx1"/>
            </w14:solidFill>
          </w14:textFill>
        </w:rPr>
        <w:t>范围</w:t>
      </w:r>
      <w:r>
        <w:rPr>
          <w:color w:val="000000" w:themeColor="text1"/>
          <w14:textFill>
            <w14:solidFill>
              <w14:schemeClr w14:val="tx1"/>
            </w14:solidFill>
          </w14:textFill>
        </w:rPr>
        <w:t>及拟设施工场地、临时用地</w:t>
      </w:r>
      <w:r>
        <w:rPr>
          <w:rFonts w:hint="eastAsia"/>
          <w:color w:val="000000" w:themeColor="text1"/>
          <w14:textFill>
            <w14:solidFill>
              <w14:schemeClr w14:val="tx1"/>
            </w14:solidFill>
          </w14:textFill>
        </w:rPr>
        <w:t>厂界外200m</w:t>
      </w:r>
      <w:r>
        <w:rPr>
          <w:color w:val="000000" w:themeColor="text1"/>
          <w14:textFill>
            <w14:solidFill>
              <w14:schemeClr w14:val="tx1"/>
            </w14:solidFill>
          </w14:textFill>
        </w:rPr>
        <w:t>。</w:t>
      </w:r>
    </w:p>
    <w:p w14:paraId="433113B7">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地表水环境</w:t>
      </w:r>
    </w:p>
    <w:p w14:paraId="2330C3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水污染影响型：本项目为公路建设工程，对照《环境影响评价技术导则 地表水环境》（HJ23-2018），本项目属于水污染影响型建设项目。本项目施工期主要为施工人员生活污水和施工废水等，施工废水经沉淀处理后回用，不外排；</w:t>
      </w:r>
      <w:r>
        <w:rPr>
          <w:color w:val="000000" w:themeColor="text1"/>
          <w14:textFill>
            <w14:solidFill>
              <w14:schemeClr w14:val="tx1"/>
            </w14:solidFill>
          </w14:textFill>
        </w:rPr>
        <w:t>施工人员租用工程沿线民房，生活污水利用当地民房的化粪池等处理</w:t>
      </w:r>
      <w:r>
        <w:rPr>
          <w:rFonts w:hint="eastAsia"/>
          <w:color w:val="000000" w:themeColor="text1"/>
          <w14:textFill>
            <w14:solidFill>
              <w14:schemeClr w14:val="tx1"/>
            </w14:solidFill>
          </w14:textFill>
        </w:rPr>
        <w:t>后</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分散纳入当地污水处理系统。</w:t>
      </w:r>
      <w:r>
        <w:rPr>
          <w:color w:val="000000" w:themeColor="text1"/>
          <w14:textFill>
            <w14:solidFill>
              <w14:schemeClr w14:val="tx1"/>
            </w14:solidFill>
          </w14:textFill>
        </w:rPr>
        <w:t>运营期只有地表径流，无生活、生产污水排放。</w:t>
      </w:r>
      <w:r>
        <w:rPr>
          <w:rFonts w:hint="eastAsia"/>
          <w:color w:val="000000" w:themeColor="text1"/>
          <w14:textFill>
            <w14:solidFill>
              <w14:schemeClr w14:val="tx1"/>
            </w14:solidFill>
          </w14:textFill>
        </w:rPr>
        <w:t>根据《环境影响评价技术导则 公路建设项目》（</w:t>
      </w:r>
      <w:r>
        <w:rPr>
          <w:color w:val="000000" w:themeColor="text1"/>
          <w14:textFill>
            <w14:solidFill>
              <w14:schemeClr w14:val="tx1"/>
            </w14:solidFill>
          </w14:textFill>
        </w:rPr>
        <w:t>HJ1358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），本项目地表水环境评价不定级。</w:t>
      </w:r>
    </w:p>
    <w:p w14:paraId="6C2A1FA2">
      <w:pPr>
        <w:pStyle w:val="120"/>
        <w:rPr>
          <w:color w:val="000000" w:themeColor="text1"/>
          <w14:textFill>
            <w14:solidFill>
              <w14:schemeClr w14:val="tx1"/>
            </w14:solidFill>
          </w14:textFill>
        </w:rPr>
      </w:pPr>
      <w:bookmarkStart w:id="140" w:name="_Toc12539229"/>
      <w:bookmarkStart w:id="141" w:name="_Toc458945292"/>
      <w:bookmarkStart w:id="142" w:name="_Toc4590790"/>
      <w:bookmarkStart w:id="143" w:name="_Toc468088764"/>
      <w:bookmarkStart w:id="144" w:name="_Toc514780778"/>
      <w:bookmarkStart w:id="145" w:name="_Toc458945289"/>
      <w:bookmarkStart w:id="146" w:name="_Toc12539226"/>
      <w:bookmarkStart w:id="147" w:name="_Toc468088761"/>
      <w:bookmarkStart w:id="148" w:name="_Toc514780775"/>
      <w:bookmarkStart w:id="149" w:name="_Toc4590787"/>
      <w:bookmarkStart w:id="150" w:name="_Hlk90113524"/>
      <w:r>
        <w:rPr>
          <w:rFonts w:hint="eastAsia"/>
          <w:color w:val="000000" w:themeColor="text1"/>
          <w14:textFill>
            <w14:solidFill>
              <w14:schemeClr w14:val="tx1"/>
            </w14:solidFill>
          </w14:textFill>
        </w:rPr>
        <w:t>环境空气</w:t>
      </w:r>
      <w:bookmarkEnd w:id="140"/>
      <w:bookmarkEnd w:id="141"/>
      <w:bookmarkEnd w:id="142"/>
      <w:bookmarkEnd w:id="143"/>
      <w:bookmarkEnd w:id="144"/>
    </w:p>
    <w:p w14:paraId="64345EED">
      <w:pPr>
        <w:ind w:firstLine="480"/>
        <w:rPr>
          <w:color w:val="000000" w:themeColor="text1"/>
          <w14:textFill>
            <w14:solidFill>
              <w14:schemeClr w14:val="tx1"/>
            </w14:solidFill>
          </w14:textFill>
        </w:rPr>
      </w:pPr>
      <w:r>
        <w:rPr>
          <w:color w:val="000000" w:themeColor="text1"/>
          <w14:textFill>
            <w14:solidFill>
              <w14:schemeClr w14:val="tx1"/>
            </w14:solidFill>
          </w14:textFill>
        </w:rPr>
        <w:t>根据《环境影响评价技术导则</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大气环境》（</w:t>
      </w:r>
      <w:r>
        <w:rPr>
          <w:rFonts w:eastAsia="Times New Roman"/>
          <w:color w:val="000000" w:themeColor="text1"/>
          <w14:textFill>
            <w14:solidFill>
              <w14:schemeClr w14:val="tx1"/>
            </w14:solidFill>
          </w14:textFill>
        </w:rPr>
        <w:t>HJ2.2-2018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和《环境影响评价技术导则 公路建设项目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为旅游公路（二级公路），全线未设置服务区、车站等集中式排放源，</w:t>
      </w:r>
      <w:r>
        <w:rPr>
          <w:color w:val="000000" w:themeColor="text1"/>
          <w14:textFill>
            <w14:solidFill>
              <w14:schemeClr w14:val="tx1"/>
            </w14:solidFill>
          </w14:textFill>
        </w:rPr>
        <w:t>不存在集中式大气污染物排放源</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因此，本项目大气环境</w:t>
      </w:r>
      <w:r>
        <w:rPr>
          <w:rFonts w:hint="eastAsia"/>
          <w:color w:val="000000" w:themeColor="text1"/>
          <w14:textFill>
            <w14:solidFill>
              <w14:schemeClr w14:val="tx1"/>
            </w14:solidFill>
          </w14:textFill>
        </w:rPr>
        <w:t>评价不定级</w:t>
      </w:r>
      <w:r>
        <w:rPr>
          <w:color w:val="000000" w:themeColor="text1"/>
          <w14:textFill>
            <w14:solidFill>
              <w14:schemeClr w14:val="tx1"/>
            </w14:solidFill>
          </w14:textFill>
        </w:rPr>
        <w:t>，不需设置大气环境影响评价范围。</w:t>
      </w:r>
    </w:p>
    <w:bookmarkEnd w:id="145"/>
    <w:bookmarkEnd w:id="146"/>
    <w:bookmarkEnd w:id="147"/>
    <w:bookmarkEnd w:id="148"/>
    <w:bookmarkEnd w:id="149"/>
    <w:p w14:paraId="4C76E3FE">
      <w:pPr>
        <w:pStyle w:val="120"/>
        <w:rPr>
          <w:color w:val="000000" w:themeColor="text1"/>
          <w14:textFill>
            <w14:solidFill>
              <w14:schemeClr w14:val="tx1"/>
            </w14:solidFill>
          </w14:textFill>
        </w:rPr>
      </w:pPr>
      <w:bookmarkStart w:id="151" w:name="_Toc514780777"/>
      <w:bookmarkStart w:id="152" w:name="_Toc12539228"/>
      <w:bookmarkStart w:id="153" w:name="_Toc458945291"/>
      <w:bookmarkStart w:id="154" w:name="_Toc468088763"/>
      <w:bookmarkStart w:id="155" w:name="_Toc4590789"/>
      <w:r>
        <w:rPr>
          <w:rFonts w:hint="eastAsia"/>
          <w:color w:val="000000" w:themeColor="text1"/>
          <w14:textFill>
            <w14:solidFill>
              <w14:schemeClr w14:val="tx1"/>
            </w14:solidFill>
          </w14:textFill>
        </w:rPr>
        <w:t>地下水</w:t>
      </w:r>
      <w:bookmarkEnd w:id="151"/>
      <w:bookmarkEnd w:id="152"/>
      <w:bookmarkEnd w:id="153"/>
      <w:bookmarkEnd w:id="154"/>
      <w:bookmarkEnd w:id="155"/>
    </w:p>
    <w:p w14:paraId="4050BE8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《环境影响评价技术导则</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大气环境》（</w:t>
      </w:r>
      <w:r>
        <w:rPr>
          <w:rFonts w:eastAsia="Times New Roman"/>
          <w:color w:val="000000" w:themeColor="text1"/>
          <w14:textFill>
            <w14:solidFill>
              <w14:schemeClr w14:val="tx1"/>
            </w14:solidFill>
          </w14:textFill>
        </w:rPr>
        <w:t>HJ2.2-2018</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和《环境影响评价技术导则 公路建设项目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》，本项目为“P公路-123公路”，为Ⅳ类地下水环境影响评价项目，不涉及地下水“敏感区”，项目不涉及加油站，评价不定级，不开展地下水环境影响评价。</w:t>
      </w:r>
    </w:p>
    <w:p w14:paraId="4275E596">
      <w:pPr>
        <w:pStyle w:val="120"/>
        <w:rPr>
          <w:color w:val="000000" w:themeColor="text1"/>
          <w14:textFill>
            <w14:solidFill>
              <w14:schemeClr w14:val="tx1"/>
            </w14:solidFill>
          </w14:textFill>
        </w:rPr>
      </w:pPr>
      <w:bookmarkStart w:id="156" w:name="_Toc12539230"/>
      <w:bookmarkStart w:id="157" w:name="_Toc4590791"/>
      <w:bookmarkStart w:id="158" w:name="_Toc468088765"/>
      <w:bookmarkStart w:id="159" w:name="_Toc458945293"/>
      <w:bookmarkStart w:id="160" w:name="_Toc514780779"/>
      <w:r>
        <w:rPr>
          <w:rFonts w:hint="eastAsia"/>
          <w:color w:val="000000" w:themeColor="text1"/>
          <w14:textFill>
            <w14:solidFill>
              <w14:schemeClr w14:val="tx1"/>
            </w14:solidFill>
          </w14:textFill>
        </w:rPr>
        <w:t>土壤环境</w:t>
      </w:r>
    </w:p>
    <w:p w14:paraId="1E7835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根据《环境影响评价技术导则土壤环境（试行）》（</w:t>
      </w:r>
      <w:r>
        <w:rPr>
          <w:color w:val="000000" w:themeColor="text1"/>
          <w14:textFill>
            <w14:solidFill>
              <w14:schemeClr w14:val="tx1"/>
            </w14:solidFill>
          </w14:textFill>
        </w:rPr>
        <w:t>HJ964-2018</w:t>
      </w:r>
      <w:r>
        <w:rPr>
          <w:rFonts w:hint="eastAsia"/>
          <w:color w:val="000000" w:themeColor="text1"/>
          <w14:textFill>
            <w14:solidFill>
              <w14:schemeClr w14:val="tx1"/>
            </w14:solidFill>
          </w14:textFill>
        </w:rPr>
        <w:t>）附录A和《环境影响评价技术导则 公路建设项目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》，项目属于“交通运输仓储邮政业”中“其他”，为Ⅳ类项目，不涉及加油站，评价不定级，可不开展土壤环境影响评价。</w:t>
      </w:r>
    </w:p>
    <w:bookmarkEnd w:id="156"/>
    <w:bookmarkEnd w:id="157"/>
    <w:bookmarkEnd w:id="158"/>
    <w:bookmarkEnd w:id="159"/>
    <w:bookmarkEnd w:id="160"/>
    <w:p w14:paraId="3581C03B">
      <w:pPr>
        <w:pStyle w:val="120"/>
        <w:rPr>
          <w:color w:val="000000" w:themeColor="text1"/>
          <w14:textFill>
            <w14:solidFill>
              <w14:schemeClr w14:val="tx1"/>
            </w14:solidFill>
          </w14:textFill>
        </w:rPr>
      </w:pPr>
      <w:bookmarkStart w:id="161" w:name="_Toc12539231"/>
      <w:bookmarkStart w:id="162" w:name="_Toc468088766"/>
      <w:bookmarkStart w:id="163" w:name="_Toc458945294"/>
      <w:bookmarkStart w:id="164" w:name="_Toc514780780"/>
      <w:bookmarkStart w:id="165" w:name="_Toc4590792"/>
      <w:r>
        <w:rPr>
          <w:rFonts w:hint="eastAsia"/>
          <w:color w:val="000000" w:themeColor="text1"/>
          <w14:textFill>
            <w14:solidFill>
              <w14:schemeClr w14:val="tx1"/>
            </w14:solidFill>
          </w14:textFill>
        </w:rPr>
        <w:t>环境风险</w:t>
      </w:r>
      <w:bookmarkEnd w:id="161"/>
      <w:bookmarkEnd w:id="162"/>
      <w:bookmarkEnd w:id="163"/>
      <w:bookmarkEnd w:id="164"/>
      <w:bookmarkEnd w:id="165"/>
    </w:p>
    <w:bookmarkEnd w:id="150"/>
    <w:p w14:paraId="570AF7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项目不涉及有毒有害和易燃易爆危险物质的生产、使用、储存，根据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，环境风险不定级，本次评价简单分析公路交通事故的环境风险。主要考虑运营期路段发生交通事故导致油品等进入周边水体，对水体及水环境带来的污染影响。</w:t>
      </w:r>
    </w:p>
    <w:p w14:paraId="3C7CD38D">
      <w:pPr>
        <w:pStyle w:val="116"/>
        <w:rPr>
          <w:color w:val="000000" w:themeColor="text1"/>
          <w14:textFill>
            <w14:solidFill>
              <w14:schemeClr w14:val="tx1"/>
            </w14:solidFill>
          </w14:textFill>
        </w:rPr>
      </w:pPr>
      <w:bookmarkStart w:id="166" w:name="_Toc153957813"/>
      <w:bookmarkStart w:id="167" w:name="_Toc88764830"/>
      <w:bookmarkStart w:id="168" w:name="_Toc61517053"/>
      <w:bookmarkStart w:id="169" w:name="_Toc88864636"/>
      <w:r>
        <w:rPr>
          <w:rFonts w:hint="eastAsia"/>
          <w:color w:val="000000" w:themeColor="text1"/>
          <w14:textFill>
            <w14:solidFill>
              <w14:schemeClr w14:val="tx1"/>
            </w14:solidFill>
          </w14:textFill>
        </w:rPr>
        <w:t xml:space="preserve"> </w:t>
      </w:r>
      <w:bookmarkStart w:id="170" w:name="_Toc159405457"/>
      <w:bookmarkStart w:id="171" w:name="_Toc193912363"/>
      <w:r>
        <w:rPr>
          <w:rFonts w:hint="eastAsia"/>
          <w:color w:val="000000" w:themeColor="text1"/>
          <w14:textFill>
            <w14:solidFill>
              <w14:schemeClr w14:val="tx1"/>
            </w14:solidFill>
          </w14:textFill>
        </w:rPr>
        <w:t>环境保护目标</w:t>
      </w:r>
      <w:bookmarkEnd w:id="166"/>
      <w:bookmarkEnd w:id="167"/>
      <w:bookmarkEnd w:id="168"/>
      <w:bookmarkEnd w:id="169"/>
      <w:bookmarkEnd w:id="170"/>
      <w:bookmarkEnd w:id="171"/>
    </w:p>
    <w:p w14:paraId="593B670C">
      <w:pPr>
        <w:pStyle w:val="120"/>
        <w:rPr>
          <w:color w:val="000000" w:themeColor="text1"/>
          <w14:textFill>
            <w14:solidFill>
              <w14:schemeClr w14:val="tx1"/>
            </w14:solidFill>
          </w14:textFill>
        </w:rPr>
      </w:pPr>
      <w:bookmarkStart w:id="172" w:name="_Hlk89350206"/>
      <w:r>
        <w:rPr>
          <w:rFonts w:hint="eastAsia"/>
          <w:color w:val="000000" w:themeColor="text1"/>
          <w14:textFill>
            <w14:solidFill>
              <w14:schemeClr w14:val="tx1"/>
            </w14:solidFill>
          </w14:textFill>
        </w:rPr>
        <w:t>大气环境、声环境敏感目标</w:t>
      </w:r>
      <w:bookmarkEnd w:id="172"/>
    </w:p>
    <w:p w14:paraId="27A7084C">
      <w:pPr>
        <w:ind w:firstLine="480"/>
        <w:rPr>
          <w:color w:val="000000" w:themeColor="text1"/>
          <w14:textFill>
            <w14:solidFill>
              <w14:schemeClr w14:val="tx1"/>
            </w14:solidFill>
          </w14:textFill>
        </w:rPr>
      </w:pPr>
      <w:bookmarkStart w:id="173" w:name="_Hlk89350705"/>
      <w:bookmarkStart w:id="174" w:name="_Hlk89350732"/>
      <w:r>
        <w:rPr>
          <w:rFonts w:hint="eastAsia"/>
          <w:color w:val="000000" w:themeColor="text1"/>
          <w14:textFill>
            <w14:solidFill>
              <w14:schemeClr w14:val="tx1"/>
            </w14:solidFill>
          </w14:textFill>
        </w:rPr>
        <w:t>根据《声环境质量标准》GB 3096-2008定义，噪声敏感建筑物指医院、学校、机关、科研单位、住宅等需要保持安静的建筑物。根据本次评价范围叠图及现场踏勘，</w:t>
      </w:r>
      <w:bookmarkStart w:id="175" w:name="_Hlk89350216"/>
      <w:r>
        <w:rPr>
          <w:rFonts w:hint="eastAsia"/>
          <w:color w:val="000000" w:themeColor="text1"/>
          <w14:textFill>
            <w14:solidFill>
              <w14:schemeClr w14:val="tx1"/>
            </w14:solidFill>
          </w14:textFill>
        </w:rPr>
        <w:t>项目沿线大气环境、声环境详见</w:t>
      </w:r>
      <w:bookmarkEnd w:id="175"/>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_Ref149722272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表2.7-1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_Ref149635498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表2.7-2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582D549D">
      <w:pPr>
        <w:ind w:firstLine="480"/>
        <w:rPr>
          <w:color w:val="000000" w:themeColor="text1"/>
          <w14:textFill>
            <w14:solidFill>
              <w14:schemeClr w14:val="tx1"/>
            </w14:solidFill>
          </w14:textFill>
        </w:rPr>
        <w:sectPr>
          <w:pgSz w:w="11906" w:h="16838"/>
          <w:pgMar w:top="1418" w:right="1418" w:bottom="1418" w:left="1418" w:header="851" w:footer="851" w:gutter="0"/>
          <w:cols w:space="425" w:num="1"/>
          <w:docGrid w:linePitch="326" w:charSpace="0"/>
        </w:sectPr>
      </w:pPr>
    </w:p>
    <w:p w14:paraId="0F901209">
      <w:pPr>
        <w:pStyle w:val="87"/>
        <w:spacing w:before="120"/>
        <w:ind w:left="480" w:firstLine="480"/>
        <w:rPr>
          <w:color w:val="000000" w:themeColor="text1"/>
          <w14:textFill>
            <w14:solidFill>
              <w14:schemeClr w14:val="tx1"/>
            </w14:solidFill>
          </w14:textFill>
        </w:rPr>
      </w:pPr>
      <w:bookmarkStart w:id="176" w:name="_Ref149722272"/>
      <w:r>
        <w:rPr>
          <w:rFonts w:hint="eastAsia"/>
          <w:color w:val="000000" w:themeColor="text1"/>
          <w14:textFill>
            <w14:solidFill>
              <w14:schemeClr w14:val="tx1"/>
            </w14:solidFill>
          </w14:textFill>
        </w:rPr>
        <w:t>公路大气、声环境保护目标调查表</w:t>
      </w:r>
      <w:bookmarkEnd w:id="176"/>
      <w:r>
        <w:rPr>
          <w:rFonts w:hint="eastAsia"/>
          <w:color w:val="000000" w:themeColor="text1"/>
          <w14:textFill>
            <w14:solidFill>
              <w14:schemeClr w14:val="tx1"/>
            </w14:solidFill>
          </w14:textFill>
        </w:rPr>
        <w:t>（现状）</w:t>
      </w:r>
    </w:p>
    <w:tbl>
      <w:tblPr>
        <w:tblStyle w:val="53"/>
        <w:tblW w:w="51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89"/>
        <w:gridCol w:w="584"/>
        <w:gridCol w:w="580"/>
        <w:gridCol w:w="730"/>
        <w:gridCol w:w="439"/>
        <w:gridCol w:w="435"/>
        <w:gridCol w:w="435"/>
        <w:gridCol w:w="875"/>
        <w:gridCol w:w="730"/>
        <w:gridCol w:w="730"/>
        <w:gridCol w:w="580"/>
        <w:gridCol w:w="730"/>
        <w:gridCol w:w="1745"/>
        <w:gridCol w:w="4368"/>
        <w:gridCol w:w="5889"/>
        <w:gridCol w:w="2835"/>
      </w:tblGrid>
      <w:tr w14:paraId="0CF1C95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0" w:hRule="atLeast"/>
          <w:tblHeader/>
          <w:jc w:val="center"/>
        </w:trPr>
        <w:tc>
          <w:tcPr>
            <w:tcW w:w="66" w:type="pct"/>
            <w:shd w:val="clear" w:color="auto" w:fill="auto"/>
            <w:vAlign w:val="center"/>
          </w:tcPr>
          <w:p w14:paraId="250337B9">
            <w:pPr>
              <w:pStyle w:val="105"/>
              <w:jc w:val="center"/>
              <w:rPr>
                <w:color w:val="000000" w:themeColor="text1"/>
                <w:sz w:val="18"/>
                <w:szCs w:val="18"/>
                <w14:textFill>
                  <w14:solidFill>
                    <w14:schemeClr w14:val="tx1"/>
                  </w14:solidFill>
                </w14:textFill>
              </w:rPr>
            </w:pPr>
            <w:bookmarkStart w:id="177" w:name="_Hlk179295945"/>
            <w:r>
              <w:rPr>
                <w:rFonts w:hint="eastAsia"/>
                <w:color w:val="000000" w:themeColor="text1"/>
                <w:sz w:val="18"/>
                <w:szCs w:val="18"/>
                <w14:textFill>
                  <w14:solidFill>
                    <w14:schemeClr w14:val="tx1"/>
                  </w14:solidFill>
                </w14:textFill>
              </w:rPr>
              <w:t>序</w:t>
            </w:r>
          </w:p>
          <w:p w14:paraId="777FB03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号</w:t>
            </w:r>
          </w:p>
        </w:tc>
        <w:tc>
          <w:tcPr>
            <w:tcW w:w="133" w:type="pct"/>
            <w:shd w:val="clear" w:color="auto" w:fill="auto"/>
            <w:vAlign w:val="center"/>
          </w:tcPr>
          <w:p w14:paraId="5AD2967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声环境保护目标名称</w:t>
            </w:r>
          </w:p>
        </w:tc>
        <w:tc>
          <w:tcPr>
            <w:tcW w:w="132" w:type="pct"/>
            <w:shd w:val="clear" w:color="auto" w:fill="auto"/>
            <w:vAlign w:val="center"/>
          </w:tcPr>
          <w:p w14:paraId="6586829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所在</w:t>
            </w:r>
          </w:p>
          <w:p w14:paraId="6488E54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路段</w:t>
            </w:r>
          </w:p>
        </w:tc>
        <w:tc>
          <w:tcPr>
            <w:tcW w:w="166" w:type="pct"/>
            <w:shd w:val="clear" w:color="auto" w:fill="auto"/>
            <w:vAlign w:val="center"/>
          </w:tcPr>
          <w:p w14:paraId="07994DC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里程</w:t>
            </w:r>
          </w:p>
          <w:p w14:paraId="0DC2AFC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范围</w:t>
            </w:r>
          </w:p>
        </w:tc>
        <w:tc>
          <w:tcPr>
            <w:tcW w:w="100" w:type="pct"/>
            <w:shd w:val="clear" w:color="auto" w:fill="auto"/>
            <w:vAlign w:val="center"/>
          </w:tcPr>
          <w:p w14:paraId="2A046CF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线路</w:t>
            </w:r>
          </w:p>
          <w:p w14:paraId="4DBC708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形式</w:t>
            </w:r>
          </w:p>
        </w:tc>
        <w:tc>
          <w:tcPr>
            <w:tcW w:w="99" w:type="pct"/>
            <w:shd w:val="clear" w:color="auto" w:fill="auto"/>
            <w:vAlign w:val="center"/>
          </w:tcPr>
          <w:p w14:paraId="6546304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 xml:space="preserve">纵坡 </w:t>
            </w:r>
          </w:p>
          <w:p w14:paraId="4412A81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p>
        </w:tc>
        <w:tc>
          <w:tcPr>
            <w:tcW w:w="99" w:type="pct"/>
            <w:shd w:val="clear" w:color="auto" w:fill="auto"/>
            <w:vAlign w:val="center"/>
          </w:tcPr>
          <w:p w14:paraId="21C98C4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方</w:t>
            </w:r>
          </w:p>
          <w:p w14:paraId="2DA8B5D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位</w:t>
            </w:r>
          </w:p>
        </w:tc>
        <w:tc>
          <w:tcPr>
            <w:tcW w:w="199" w:type="pct"/>
            <w:shd w:val="clear" w:color="auto" w:fill="auto"/>
            <w:vAlign w:val="center"/>
          </w:tcPr>
          <w:p w14:paraId="33116E4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敏感目标与路面高差/m</w:t>
            </w:r>
          </w:p>
        </w:tc>
        <w:tc>
          <w:tcPr>
            <w:tcW w:w="166" w:type="pct"/>
            <w:shd w:val="clear" w:color="auto" w:fill="auto"/>
            <w:vAlign w:val="center"/>
          </w:tcPr>
          <w:p w14:paraId="12345D6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距公路干线边界距离/m</w:t>
            </w:r>
          </w:p>
        </w:tc>
        <w:tc>
          <w:tcPr>
            <w:tcW w:w="166" w:type="pct"/>
            <w:shd w:val="clear" w:color="auto" w:fill="auto"/>
            <w:vAlign w:val="center"/>
          </w:tcPr>
          <w:p w14:paraId="57D0B71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距公路中心线距离/m</w:t>
            </w:r>
          </w:p>
        </w:tc>
        <w:tc>
          <w:tcPr>
            <w:tcW w:w="132" w:type="pct"/>
            <w:shd w:val="clear" w:color="auto" w:fill="auto"/>
            <w:vAlign w:val="center"/>
          </w:tcPr>
          <w:p w14:paraId="7BF454A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声环境</w:t>
            </w:r>
          </w:p>
          <w:p w14:paraId="5B6FD16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功能区划</w:t>
            </w:r>
          </w:p>
        </w:tc>
        <w:tc>
          <w:tcPr>
            <w:tcW w:w="166" w:type="pct"/>
            <w:shd w:val="clear" w:color="auto" w:fill="auto"/>
            <w:vAlign w:val="center"/>
          </w:tcPr>
          <w:p w14:paraId="2AAFE88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受影响</w:t>
            </w:r>
          </w:p>
          <w:p w14:paraId="57BD5C2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户数</w:t>
            </w:r>
          </w:p>
        </w:tc>
        <w:tc>
          <w:tcPr>
            <w:tcW w:w="397" w:type="pct"/>
            <w:shd w:val="clear" w:color="auto" w:fill="auto"/>
            <w:vAlign w:val="center"/>
          </w:tcPr>
          <w:p w14:paraId="20EF38F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声环境保护目标情况说明</w:t>
            </w:r>
          </w:p>
        </w:tc>
        <w:tc>
          <w:tcPr>
            <w:tcW w:w="994" w:type="pct"/>
            <w:shd w:val="clear" w:color="auto" w:fill="auto"/>
            <w:vAlign w:val="center"/>
          </w:tcPr>
          <w:p w14:paraId="4A18F11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平面位置关系图</w:t>
            </w:r>
          </w:p>
        </w:tc>
        <w:tc>
          <w:tcPr>
            <w:tcW w:w="1340" w:type="pct"/>
            <w:shd w:val="clear" w:color="auto" w:fill="auto"/>
            <w:vAlign w:val="center"/>
          </w:tcPr>
          <w:p w14:paraId="29825B8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现状照片</w:t>
            </w:r>
          </w:p>
        </w:tc>
        <w:tc>
          <w:tcPr>
            <w:tcW w:w="645" w:type="pct"/>
            <w:shd w:val="clear" w:color="auto" w:fill="auto"/>
            <w:vAlign w:val="center"/>
          </w:tcPr>
          <w:p w14:paraId="2C6D783D">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断面位置关系</w:t>
            </w:r>
          </w:p>
        </w:tc>
      </w:tr>
      <w:tr w14:paraId="0D655C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599" w:hRule="atLeast"/>
          <w:jc w:val="center"/>
        </w:trPr>
        <w:tc>
          <w:tcPr>
            <w:tcW w:w="66" w:type="pct"/>
            <w:vMerge w:val="restart"/>
            <w:shd w:val="clear" w:color="auto" w:fill="auto"/>
            <w:vAlign w:val="center"/>
          </w:tcPr>
          <w:p w14:paraId="3590133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p>
        </w:tc>
        <w:tc>
          <w:tcPr>
            <w:tcW w:w="133" w:type="pct"/>
            <w:vMerge w:val="restart"/>
            <w:shd w:val="clear" w:color="auto" w:fill="auto"/>
            <w:vAlign w:val="center"/>
          </w:tcPr>
          <w:p w14:paraId="055227D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牌边村</w:t>
            </w:r>
            <w:bookmarkStart w:id="178" w:name="_Hlk190535304"/>
            <w:r>
              <w:rPr>
                <w:rFonts w:hint="eastAsia"/>
                <w:color w:val="000000" w:themeColor="text1"/>
                <w:sz w:val="18"/>
                <w:szCs w:val="18"/>
                <w14:textFill>
                  <w14:solidFill>
                    <w14:schemeClr w14:val="tx1"/>
                  </w14:solidFill>
                </w14:textFill>
              </w:rPr>
              <w:t>新桥</w:t>
            </w:r>
            <w:bookmarkEnd w:id="178"/>
          </w:p>
        </w:tc>
        <w:tc>
          <w:tcPr>
            <w:tcW w:w="132" w:type="pct"/>
            <w:vMerge w:val="restart"/>
            <w:shd w:val="clear" w:color="auto" w:fill="auto"/>
            <w:vAlign w:val="center"/>
          </w:tcPr>
          <w:p w14:paraId="5D6FD2F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095006C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起点</w:t>
            </w:r>
            <w:bookmarkStart w:id="179" w:name="hmcheck_6d36e77644974535b4e87eb018510935"/>
            <w:r>
              <w:rPr>
                <w:rFonts w:hint="eastAsia"/>
                <w:color w:val="000000" w:themeColor="text1"/>
                <w:sz w:val="18"/>
                <w:szCs w:val="18"/>
                <w:shd w:val="clear" w:fill="FFAFAA"/>
                <w14:textFill>
                  <w14:solidFill>
                    <w14:schemeClr w14:val="tx1"/>
                  </w14:solidFill>
                </w14:textFill>
              </w:rPr>
              <w:t>~</w:t>
            </w:r>
            <w:bookmarkEnd w:id="179"/>
            <w:r>
              <w:rPr>
                <w:color w:val="000000" w:themeColor="text1"/>
                <w:sz w:val="18"/>
                <w:szCs w:val="18"/>
                <w14:textFill>
                  <w14:solidFill>
                    <w14:schemeClr w14:val="tx1"/>
                  </w14:solidFill>
                </w14:textFill>
              </w:rPr>
              <w:t>K0+140</w:t>
            </w:r>
          </w:p>
        </w:tc>
        <w:tc>
          <w:tcPr>
            <w:tcW w:w="100" w:type="pct"/>
            <w:vMerge w:val="restart"/>
            <w:shd w:val="clear" w:color="auto" w:fill="auto"/>
            <w:vAlign w:val="center"/>
          </w:tcPr>
          <w:p w14:paraId="44F279B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地面线路（路堑）</w:t>
            </w:r>
          </w:p>
        </w:tc>
        <w:tc>
          <w:tcPr>
            <w:tcW w:w="99" w:type="pct"/>
            <w:vMerge w:val="restart"/>
            <w:shd w:val="clear" w:color="auto" w:fill="auto"/>
            <w:vAlign w:val="center"/>
          </w:tcPr>
          <w:p w14:paraId="437A0B1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99" w:type="pct"/>
            <w:vMerge w:val="restart"/>
            <w:shd w:val="clear" w:color="auto" w:fill="auto"/>
            <w:vAlign w:val="center"/>
          </w:tcPr>
          <w:p w14:paraId="27747F8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两侧</w:t>
            </w:r>
          </w:p>
        </w:tc>
        <w:tc>
          <w:tcPr>
            <w:tcW w:w="199" w:type="pct"/>
            <w:shd w:val="clear" w:color="auto" w:fill="auto"/>
            <w:vAlign w:val="center"/>
          </w:tcPr>
          <w:p w14:paraId="093D35A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vertAlign w:val="superscript"/>
                <w14:textFill>
                  <w14:solidFill>
                    <w14:schemeClr w14:val="tx1"/>
                  </w14:solidFill>
                </w14:textFill>
              </w:rPr>
              <w:t>~</w:t>
            </w:r>
            <w:r>
              <w:rPr>
                <w:color w:val="000000" w:themeColor="text1"/>
                <w:sz w:val="18"/>
                <w:szCs w:val="18"/>
                <w14:textFill>
                  <w14:solidFill>
                    <w14:schemeClr w14:val="tx1"/>
                  </w14:solidFill>
                </w14:textFill>
              </w:rPr>
              <w:t>+2</w:t>
            </w:r>
          </w:p>
        </w:tc>
        <w:tc>
          <w:tcPr>
            <w:tcW w:w="166" w:type="pct"/>
            <w:shd w:val="clear" w:color="auto" w:fill="auto"/>
            <w:vAlign w:val="center"/>
          </w:tcPr>
          <w:p w14:paraId="24E913D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p>
        </w:tc>
        <w:tc>
          <w:tcPr>
            <w:tcW w:w="166" w:type="pct"/>
            <w:shd w:val="clear" w:color="auto" w:fill="auto"/>
            <w:vAlign w:val="center"/>
          </w:tcPr>
          <w:p w14:paraId="0893891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13</w:t>
            </w:r>
          </w:p>
        </w:tc>
        <w:tc>
          <w:tcPr>
            <w:tcW w:w="132" w:type="pct"/>
            <w:shd w:val="clear" w:color="auto" w:fill="auto"/>
            <w:vAlign w:val="center"/>
          </w:tcPr>
          <w:p w14:paraId="6B306AA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412D620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7户35人</w:t>
            </w:r>
          </w:p>
        </w:tc>
        <w:tc>
          <w:tcPr>
            <w:tcW w:w="397" w:type="pct"/>
            <w:vMerge w:val="restart"/>
            <w:shd w:val="clear" w:color="auto" w:fill="auto"/>
            <w:vAlign w:val="center"/>
          </w:tcPr>
          <w:p w14:paraId="1B33F4B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3~4</w:t>
            </w:r>
            <w:r>
              <w:rPr>
                <w:rFonts w:hint="eastAsia"/>
                <w:color w:val="000000" w:themeColor="text1"/>
                <w:sz w:val="18"/>
                <w:szCs w:val="18"/>
                <w14:textFill>
                  <w14:solidFill>
                    <w14:schemeClr w14:val="tx1"/>
                  </w14:solidFill>
                </w14:textFill>
              </w:rPr>
              <w:t>层，主要建筑侧对拟建道路（东南），铝合金推拉窗，周边园地（龙眼），与道路之间无密集林带。</w:t>
            </w:r>
          </w:p>
          <w:p w14:paraId="25C45A1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bookmarkStart w:id="180" w:name="hmcheck_dd6bb9b5395b41fcb8f4881f57bb6ea8"/>
            <w:r>
              <w:rPr>
                <w:rFonts w:hint="eastAsia"/>
                <w:color w:val="000000" w:themeColor="text1"/>
                <w:sz w:val="18"/>
                <w:szCs w:val="18"/>
                <w:shd w:val="clear" w:fill="FFAFAA"/>
                <w14:textFill>
                  <w14:solidFill>
                    <w14:schemeClr w14:val="tx1"/>
                  </w14:solidFill>
                </w14:textFill>
              </w:rPr>
              <w:t>区</w:t>
            </w:r>
            <w:bookmarkEnd w:id="180"/>
            <w:r>
              <w:rPr>
                <w:rFonts w:hint="eastAsia"/>
                <w:color w:val="000000" w:themeColor="text1"/>
                <w:sz w:val="18"/>
                <w:szCs w:val="18"/>
                <w14:textFill>
                  <w14:solidFill>
                    <w14:schemeClr w14:val="tx1"/>
                  </w14:solidFill>
                </w14:textFill>
              </w:rPr>
              <w:t>建筑与道路之前受密集建筑阻隔。</w:t>
            </w:r>
          </w:p>
        </w:tc>
        <w:tc>
          <w:tcPr>
            <w:tcW w:w="994" w:type="pct"/>
            <w:vMerge w:val="restart"/>
            <w:shd w:val="clear" w:color="auto" w:fill="auto"/>
            <w:vAlign w:val="center"/>
          </w:tcPr>
          <w:p w14:paraId="0C39D8E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862330</wp:posOffset>
                      </wp:positionH>
                      <wp:positionV relativeFrom="paragraph">
                        <wp:posOffset>1641475</wp:posOffset>
                      </wp:positionV>
                      <wp:extent cx="422275" cy="299720"/>
                      <wp:effectExtent l="0" t="0" r="0" b="5080"/>
                      <wp:wrapNone/>
                      <wp:docPr id="23" name="文本框 23"/>
                      <wp:cNvGraphicFramePr/>
                      <a:graphic xmlns:a="http://schemas.openxmlformats.org/drawingml/2006/main">
                        <a:graphicData uri="http://schemas.microsoft.com/office/word/2010/wordprocessingShape">
                          <wps:wsp>
                            <wps:cNvSpPr txBox="1"/>
                            <wps:spPr>
                              <a:xfrm>
                                <a:off x="0" y="0"/>
                                <a:ext cx="422275" cy="299720"/>
                              </a:xfrm>
                              <a:prstGeom prst="rect">
                                <a:avLst/>
                              </a:prstGeom>
                              <a:noFill/>
                              <a:ln w="6350">
                                <a:noFill/>
                              </a:ln>
                            </wps:spPr>
                            <wps:txbx>
                              <w:txbxContent>
                                <w:p w14:paraId="5A4E0000">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新桥</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67.9pt;margin-top:129.25pt;height:23.6pt;width:33.25pt;z-index:251670528;mso-width-relative:page;mso-height-relative:page;" filled="f" stroked="f" coordsize="21600,21600" o:gfxdata="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8Fat09kAAAALAQAADwAAAAAAAAABACAAAAAiAAAAZHJzL2Rvd25yZXYu&#10;eG1sUEsBAhQAFAAAAAgAh07iQAsjRoIzAgAAVwQAAA4AAAAAAAAAAQAgAAAAKAEAAGRycy9lMm9E&#10;b2MueG1sUEsFBgAAAAAGAAYAWQEAAM0FAAAAAA==&#10;">
                      <v:fill on="f" focussize="0,0"/>
                      <v:stroke on="f" weight="0.5pt"/>
                      <v:imagedata o:title=""/>
                      <o:lock v:ext="edit" aspectratio="f"/>
                      <v:textbox inset="0mm,0mm,0mm,0mm">
                        <w:txbxContent>
                          <w:p w14:paraId="5A4E0000">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新桥</w:t>
                            </w:r>
                          </w:p>
                        </w:txbxContent>
                      </v:textbox>
                    </v:shape>
                  </w:pict>
                </mc:Fallback>
              </mc:AlternateContent>
            </w:r>
            <w:r>
              <w:rPr>
                <w:color w:val="000000" w:themeColor="text1"/>
                <w14:textFill>
                  <w14:solidFill>
                    <w14:schemeClr w14:val="tx1"/>
                  </w14:solidFill>
                </w14:textFill>
              </w:rPr>
              <w:drawing>
                <wp:inline distT="0" distB="0" distL="0" distR="0">
                  <wp:extent cx="2317750" cy="2641600"/>
                  <wp:effectExtent l="0" t="0" r="635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40" cstate="email"/>
                          <a:srcRect/>
                          <a:stretch>
                            <a:fillRect/>
                          </a:stretch>
                        </pic:blipFill>
                        <pic:spPr>
                          <a:xfrm>
                            <a:off x="0" y="0"/>
                            <a:ext cx="2329383" cy="2655164"/>
                          </a:xfrm>
                          <a:prstGeom prst="rect">
                            <a:avLst/>
                          </a:prstGeom>
                          <a:noFill/>
                          <a:ln>
                            <a:noFill/>
                          </a:ln>
                        </pic:spPr>
                      </pic:pic>
                    </a:graphicData>
                  </a:graphic>
                </wp:inline>
              </w:drawing>
            </w:r>
          </w:p>
        </w:tc>
        <w:tc>
          <w:tcPr>
            <w:tcW w:w="1340" w:type="pct"/>
            <w:vMerge w:val="restart"/>
            <w:shd w:val="clear" w:color="auto" w:fill="auto"/>
            <w:vAlign w:val="center"/>
          </w:tcPr>
          <w:p w14:paraId="18FF4559">
            <w:pPr>
              <w:pStyle w:val="105"/>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829945</wp:posOffset>
                      </wp:positionH>
                      <wp:positionV relativeFrom="paragraph">
                        <wp:posOffset>763905</wp:posOffset>
                      </wp:positionV>
                      <wp:extent cx="422275" cy="299720"/>
                      <wp:effectExtent l="0" t="0" r="0" b="5080"/>
                      <wp:wrapNone/>
                      <wp:docPr id="468" name="文本框 468"/>
                      <wp:cNvGraphicFramePr/>
                      <a:graphic xmlns:a="http://schemas.openxmlformats.org/drawingml/2006/main">
                        <a:graphicData uri="http://schemas.microsoft.com/office/word/2010/wordprocessingShape">
                          <wps:wsp>
                            <wps:cNvSpPr txBox="1"/>
                            <wps:spPr>
                              <a:xfrm>
                                <a:off x="0" y="0"/>
                                <a:ext cx="422275" cy="299720"/>
                              </a:xfrm>
                              <a:prstGeom prst="rect">
                                <a:avLst/>
                              </a:prstGeom>
                              <a:noFill/>
                              <a:ln w="6350">
                                <a:noFill/>
                              </a:ln>
                            </wps:spPr>
                            <wps:txbx>
                              <w:txbxContent>
                                <w:p w14:paraId="0CC19F3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新桥</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65.35pt;margin-top:60.15pt;height:23.6pt;width:33.25pt;z-index:251672576;mso-width-relative:page;mso-height-relative:page;" filled="f" stroked="f" coordsize="21600,21600" o:gfxdata="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i1zGd9gAAAALAQAADwAAAAAAAAABACAAAAAiAAAAZHJzL2Rvd25yZXYu&#10;eG1sUEsBAhQAFAAAAAgAh07iQMSIjWw0AgAAWQQAAA4AAAAAAAAAAQAgAAAAJwEAAGRycy9lMm9E&#10;b2MueG1sUEsFBgAAAAAGAAYAWQEAAM0FAAAAAA==&#10;">
                      <v:fill on="f" focussize="0,0"/>
                      <v:stroke on="f" weight="0.5pt"/>
                      <v:imagedata o:title=""/>
                      <o:lock v:ext="edit" aspectratio="f"/>
                      <v:textbox inset="0mm,0mm,0mm,0mm">
                        <w:txbxContent>
                          <w:p w14:paraId="0CC19F3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新桥</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1918970</wp:posOffset>
                      </wp:positionH>
                      <wp:positionV relativeFrom="paragraph">
                        <wp:posOffset>262890</wp:posOffset>
                      </wp:positionV>
                      <wp:extent cx="843915" cy="2197735"/>
                      <wp:effectExtent l="0" t="19050" r="70485" b="31115"/>
                      <wp:wrapNone/>
                      <wp:docPr id="457" name="箭头: 下 457"/>
                      <wp:cNvGraphicFramePr/>
                      <a:graphic xmlns:a="http://schemas.openxmlformats.org/drawingml/2006/main">
                        <a:graphicData uri="http://schemas.microsoft.com/office/word/2010/wordprocessingShape">
                          <wps:wsp>
                            <wps:cNvSpPr/>
                            <wps:spPr>
                              <a:xfrm rot="10978042">
                                <a:off x="0" y="0"/>
                                <a:ext cx="843915" cy="2197735"/>
                              </a:xfrm>
                              <a:prstGeom prst="downArrow">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457" o:spid="_x0000_s1026" o:spt="67" type="#_x0000_t67" style="position:absolute;left:0pt;margin-left:151.1pt;margin-top:20.7pt;height:173.05pt;width:66.45pt;rotation:-11602011f;z-index:251671552;v-text-anchor:middle;mso-width-relative:page;mso-height-relative:page;" fillcolor="#FF0000" filled="t" stroked="t" coordsize="21600,21600" o:gfxdata="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FPYtMHaAAAACgEAAA8AAAAAAAAAAQAgAAAAIgAAAGRycy9kb3ducmV2LnhtbFBLAQIUABQAAAAI&#10;AIdO4kBJyH7/lgIAADIFAAAOAAAAAAAAAAEAIAAAACkBAABkcnMvZTJvRG9jLnhtbFBLBQYAAAAA&#10;BgAGAFkBAAAxBgAAAAA=&#10;" adj="17453,5400">
                      <v:fill on="t" opacity="13107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-151765</wp:posOffset>
                      </wp:positionH>
                      <wp:positionV relativeFrom="paragraph">
                        <wp:posOffset>1483360</wp:posOffset>
                      </wp:positionV>
                      <wp:extent cx="937895" cy="299720"/>
                      <wp:effectExtent l="0" t="0" r="14605" b="5080"/>
                      <wp:wrapNone/>
                      <wp:docPr id="49" name="文本框 49"/>
                      <wp:cNvGraphicFramePr/>
                      <a:graphic xmlns:a="http://schemas.openxmlformats.org/drawingml/2006/main">
                        <a:graphicData uri="http://schemas.microsoft.com/office/word/2010/wordprocessingShape">
                          <wps:wsp>
                            <wps:cNvSpPr txBox="1"/>
                            <wps:spPr>
                              <a:xfrm>
                                <a:off x="0" y="0"/>
                                <a:ext cx="937895" cy="299720"/>
                              </a:xfrm>
                              <a:prstGeom prst="rect">
                                <a:avLst/>
                              </a:prstGeom>
                              <a:noFill/>
                              <a:ln w="6350">
                                <a:noFill/>
                              </a:ln>
                            </wps:spPr>
                            <wps:txbx>
                              <w:txbxContent>
                                <w:p w14:paraId="7DE137AB">
                                  <w:pPr>
                                    <w:ind w:firstLine="0" w:firstLineChars="0"/>
                                    <w:rPr>
                                      <w:rFonts w:ascii="微软雅黑" w:hAnsi="微软雅黑" w:eastAsia="微软雅黑"/>
                                      <w:b/>
                                      <w:bCs/>
                                      <w:color w:val="FF0000"/>
                                      <w:sz w:val="21"/>
                                      <w:szCs w:val="20"/>
                                    </w:rPr>
                                  </w:pPr>
                                  <w:r>
                                    <w:rPr>
                                      <w:rFonts w:ascii="微软雅黑" w:hAnsi="微软雅黑" w:eastAsia="微软雅黑"/>
                                      <w:b/>
                                      <w:bCs/>
                                      <w:color w:val="FF0000"/>
                                      <w:sz w:val="21"/>
                                      <w:szCs w:val="20"/>
                                    </w:rPr>
                                    <w:t>G324</w:t>
                                  </w:r>
                                  <w:r>
                                    <w:rPr>
                                      <w:rFonts w:hint="eastAsia" w:ascii="微软雅黑" w:hAnsi="微软雅黑" w:eastAsia="微软雅黑"/>
                                      <w:b/>
                                      <w:bCs/>
                                      <w:color w:val="FF0000"/>
                                      <w:sz w:val="21"/>
                                      <w:szCs w:val="20"/>
                                    </w:rPr>
                                    <w:t>第一排</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1.95pt;margin-top:116.8pt;height:23.6pt;width:73.85pt;z-index:251674624;mso-width-relative:page;mso-height-relative:page;" filled="f" stroked="f" coordsize="21600,21600" o:gfxdata="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hQPm1dkAAAALAQAADwAAAAAAAAABACAAAAAiAAAAZHJzL2Rvd25yZXYu&#10;eG1sUEsBAhQAFAAAAAgAh07iQNNiFa4zAgAAVwQAAA4AAAAAAAAAAQAgAAAAKAEAAGRycy9lMm9E&#10;b2MueG1sUEsFBgAAAAAGAAYAWQEAAM0FAAAAAA==&#10;">
                      <v:fill on="f" focussize="0,0"/>
                      <v:stroke on="f" weight="0.5pt"/>
                      <v:imagedata o:title=""/>
                      <o:lock v:ext="edit" aspectratio="f"/>
                      <v:textbox inset="0mm,0mm,0mm,0mm">
                        <w:txbxContent>
                          <w:p w14:paraId="7DE137AB">
                            <w:pPr>
                              <w:ind w:firstLine="0" w:firstLineChars="0"/>
                              <w:rPr>
                                <w:rFonts w:ascii="微软雅黑" w:hAnsi="微软雅黑" w:eastAsia="微软雅黑"/>
                                <w:b/>
                                <w:bCs/>
                                <w:color w:val="FF0000"/>
                                <w:sz w:val="21"/>
                                <w:szCs w:val="20"/>
                              </w:rPr>
                            </w:pPr>
                            <w:r>
                              <w:rPr>
                                <w:rFonts w:ascii="微软雅黑" w:hAnsi="微软雅黑" w:eastAsia="微软雅黑"/>
                                <w:b/>
                                <w:bCs/>
                                <w:color w:val="FF0000"/>
                                <w:sz w:val="21"/>
                                <w:szCs w:val="20"/>
                              </w:rPr>
                              <w:t>G324</w:t>
                            </w:r>
                            <w:r>
                              <w:rPr>
                                <w:rFonts w:hint="eastAsia" w:ascii="微软雅黑" w:hAnsi="微软雅黑" w:eastAsia="微软雅黑"/>
                                <w:b/>
                                <w:bCs/>
                                <w:color w:val="FF0000"/>
                                <w:sz w:val="21"/>
                                <w:szCs w:val="20"/>
                              </w:rPr>
                              <w:t>第一排</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3283585</wp:posOffset>
                      </wp:positionH>
                      <wp:positionV relativeFrom="paragraph">
                        <wp:posOffset>1175385</wp:posOffset>
                      </wp:positionV>
                      <wp:extent cx="422275" cy="299720"/>
                      <wp:effectExtent l="0" t="0" r="0" b="5080"/>
                      <wp:wrapNone/>
                      <wp:docPr id="469" name="文本框 469"/>
                      <wp:cNvGraphicFramePr/>
                      <a:graphic xmlns:a="http://schemas.openxmlformats.org/drawingml/2006/main">
                        <a:graphicData uri="http://schemas.microsoft.com/office/word/2010/wordprocessingShape">
                          <wps:wsp>
                            <wps:cNvSpPr txBox="1"/>
                            <wps:spPr>
                              <a:xfrm>
                                <a:off x="0" y="0"/>
                                <a:ext cx="422275" cy="299720"/>
                              </a:xfrm>
                              <a:prstGeom prst="rect">
                                <a:avLst/>
                              </a:prstGeom>
                              <a:noFill/>
                              <a:ln w="6350">
                                <a:noFill/>
                              </a:ln>
                            </wps:spPr>
                            <wps:txbx>
                              <w:txbxContent>
                                <w:p w14:paraId="2F6F49F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工厂</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58.55pt;margin-top:92.55pt;height:23.6pt;width:33.25pt;z-index:251673600;mso-width-relative:page;mso-height-relative:page;" filled="f" stroked="f" coordsize="21600,21600" o:gfxdata="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iFaee2gAAAAsBAAAPAAAAAAAAAAEAIAAAACIAAABkcnMvZG93bnJl&#10;di54bWxQSwECFAAUAAAACACHTuJAKtehMTQCAABZBAAADgAAAAAAAAABACAAAAApAQAAZHJzL2Uy&#10;b0RvYy54bWxQSwUGAAAAAAYABgBZAQAAzwUAAAAA&#10;">
                      <v:fill on="f" focussize="0,0"/>
                      <v:stroke on="f" weight="0.5pt"/>
                      <v:imagedata o:title=""/>
                      <o:lock v:ext="edit" aspectratio="f"/>
                      <v:textbox inset="0mm,0mm,0mm,0mm">
                        <w:txbxContent>
                          <w:p w14:paraId="2F6F49F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工厂</w:t>
                            </w:r>
                          </w:p>
                        </w:txbxContent>
                      </v:textbox>
                    </v:shape>
                  </w:pict>
                </mc:Fallback>
              </mc:AlternateContent>
            </w: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3732530" cy="2411095"/>
                  <wp:effectExtent l="0" t="0" r="1270" b="825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41" cstate="email"/>
                          <a:stretch>
                            <a:fillRect/>
                          </a:stretch>
                        </pic:blipFill>
                        <pic:spPr>
                          <a:xfrm>
                            <a:off x="0" y="0"/>
                            <a:ext cx="3732530" cy="2411095"/>
                          </a:xfrm>
                          <a:prstGeom prst="rect">
                            <a:avLst/>
                          </a:prstGeom>
                        </pic:spPr>
                      </pic:pic>
                    </a:graphicData>
                  </a:graphic>
                </wp:inline>
              </w:drawing>
            </w:r>
          </w:p>
        </w:tc>
        <w:tc>
          <w:tcPr>
            <w:tcW w:w="645" w:type="pct"/>
            <w:vMerge w:val="restart"/>
            <w:shd w:val="clear" w:color="auto" w:fill="auto"/>
            <w:vAlign w:val="center"/>
          </w:tcPr>
          <w:p w14:paraId="36EBFA6C">
            <w:pPr>
              <w:pStyle w:val="105"/>
              <w:ind w:left="-48" w:leftChars="-20" w:right="-48" w:rightChars="-2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25" o:spt="75" type="#_x0000_t75" style="height:75.1pt;width:135.25pt;" o:ole="t" filled="f" o:preferrelative="t" stroked="f" coordsize="21600,21600">
                  <v:path/>
                  <v:fill on="f" focussize="0,0"/>
                  <v:stroke on="f" joinstyle="miter"/>
                  <v:imagedata r:id="rId43" cropleft="2057f" cropright="10508f" cropbottom="5555f" o:title=""/>
                  <o:lock v:ext="edit" aspectratio="t"/>
                  <w10:wrap type="none"/>
                  <w10:anchorlock/>
                </v:shape>
                <o:OLEObject Type="Embed" ProgID="AutoCAD.Drawing.24" ShapeID="_x0000_i1025" DrawAspect="Content" ObjectID="_1468075725" r:id="rId42">
                  <o:LockedField>false</o:LockedField>
                </o:OLEObject>
              </w:object>
            </w:r>
          </w:p>
        </w:tc>
      </w:tr>
      <w:tr w14:paraId="5AC4B5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064" w:hRule="atLeast"/>
          <w:jc w:val="center"/>
        </w:trPr>
        <w:tc>
          <w:tcPr>
            <w:tcW w:w="66" w:type="pct"/>
            <w:vMerge w:val="continue"/>
            <w:shd w:val="clear" w:color="auto" w:fill="auto"/>
            <w:vAlign w:val="center"/>
          </w:tcPr>
          <w:p w14:paraId="7280DE17">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0A8B0878">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2FE4FB67">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35FB6B90">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3E205363">
            <w:pPr>
              <w:pStyle w:val="105"/>
              <w:jc w:val="center"/>
              <w:rPr>
                <w:color w:val="000000" w:themeColor="text1"/>
                <w:sz w:val="18"/>
                <w:szCs w:val="18"/>
                <w14:textFill>
                  <w14:solidFill>
                    <w14:schemeClr w14:val="tx1"/>
                  </w14:solidFill>
                </w14:textFill>
              </w:rPr>
            </w:pPr>
          </w:p>
        </w:tc>
        <w:tc>
          <w:tcPr>
            <w:tcW w:w="99" w:type="pct"/>
            <w:vMerge w:val="continue"/>
            <w:shd w:val="clear" w:color="auto" w:fill="auto"/>
            <w:vAlign w:val="center"/>
          </w:tcPr>
          <w:p w14:paraId="43B894CE">
            <w:pPr>
              <w:pStyle w:val="105"/>
              <w:jc w:val="center"/>
              <w:rPr>
                <w:color w:val="000000" w:themeColor="text1"/>
                <w:sz w:val="18"/>
                <w:szCs w:val="18"/>
                <w14:textFill>
                  <w14:solidFill>
                    <w14:schemeClr w14:val="tx1"/>
                  </w14:solidFill>
                </w14:textFill>
              </w:rPr>
            </w:pPr>
          </w:p>
        </w:tc>
        <w:tc>
          <w:tcPr>
            <w:tcW w:w="99" w:type="pct"/>
            <w:vMerge w:val="continue"/>
            <w:shd w:val="clear" w:color="auto" w:fill="auto"/>
            <w:vAlign w:val="center"/>
          </w:tcPr>
          <w:p w14:paraId="2A15FE43">
            <w:pPr>
              <w:pStyle w:val="105"/>
              <w:jc w:val="center"/>
              <w:rPr>
                <w:color w:val="000000" w:themeColor="text1"/>
                <w:sz w:val="18"/>
                <w:szCs w:val="18"/>
                <w14:textFill>
                  <w14:solidFill>
                    <w14:schemeClr w14:val="tx1"/>
                  </w14:solidFill>
                </w14:textFill>
              </w:rPr>
            </w:pPr>
          </w:p>
        </w:tc>
        <w:tc>
          <w:tcPr>
            <w:tcW w:w="199" w:type="pct"/>
            <w:shd w:val="clear" w:color="auto" w:fill="auto"/>
            <w:vAlign w:val="center"/>
          </w:tcPr>
          <w:p w14:paraId="6A42FD8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vertAlign w:val="superscript"/>
                <w14:textFill>
                  <w14:solidFill>
                    <w14:schemeClr w14:val="tx1"/>
                  </w14:solidFill>
                </w14:textFill>
              </w:rPr>
              <w:t>~</w:t>
            </w:r>
            <w:r>
              <w:rPr>
                <w:color w:val="000000" w:themeColor="text1"/>
                <w:sz w:val="18"/>
                <w:szCs w:val="18"/>
                <w14:textFill>
                  <w14:solidFill>
                    <w14:schemeClr w14:val="tx1"/>
                  </w14:solidFill>
                </w14:textFill>
              </w:rPr>
              <w:t>+2</w:t>
            </w:r>
          </w:p>
        </w:tc>
        <w:tc>
          <w:tcPr>
            <w:tcW w:w="166" w:type="pct"/>
            <w:shd w:val="clear" w:color="auto" w:fill="auto"/>
            <w:vAlign w:val="center"/>
          </w:tcPr>
          <w:p w14:paraId="41BDA87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166" w:type="pct"/>
            <w:shd w:val="clear" w:color="auto" w:fill="auto"/>
            <w:vAlign w:val="center"/>
          </w:tcPr>
          <w:p w14:paraId="46695B2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1</w:t>
            </w:r>
          </w:p>
        </w:tc>
        <w:tc>
          <w:tcPr>
            <w:tcW w:w="132" w:type="pct"/>
            <w:shd w:val="clear" w:color="auto" w:fill="auto"/>
            <w:vAlign w:val="center"/>
          </w:tcPr>
          <w:p w14:paraId="2F96A45D">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166" w:type="pct"/>
            <w:shd w:val="clear" w:color="auto" w:fill="auto"/>
            <w:vAlign w:val="center"/>
          </w:tcPr>
          <w:p w14:paraId="7DF41F8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16户80人</w:t>
            </w:r>
          </w:p>
        </w:tc>
        <w:tc>
          <w:tcPr>
            <w:tcW w:w="397" w:type="pct"/>
            <w:vMerge w:val="continue"/>
            <w:shd w:val="clear" w:color="auto" w:fill="auto"/>
            <w:vAlign w:val="center"/>
          </w:tcPr>
          <w:p w14:paraId="34B32C75">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0C28F98A">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07F11E70">
            <w:pPr>
              <w:pStyle w:val="105"/>
              <w:rPr>
                <w:color w:val="000000" w:themeColor="text1"/>
                <w14:textFill>
                  <w14:solidFill>
                    <w14:schemeClr w14:val="tx1"/>
                  </w14:solidFill>
                </w14:textFill>
              </w:rPr>
            </w:pPr>
          </w:p>
        </w:tc>
        <w:tc>
          <w:tcPr>
            <w:tcW w:w="645" w:type="pct"/>
            <w:vMerge w:val="continue"/>
            <w:shd w:val="clear" w:color="auto" w:fill="auto"/>
            <w:vAlign w:val="center"/>
          </w:tcPr>
          <w:p w14:paraId="7833819D">
            <w:pPr>
              <w:pStyle w:val="105"/>
              <w:ind w:left="-120" w:leftChars="-50" w:right="-120" w:rightChars="-50"/>
              <w:jc w:val="center"/>
              <w:rPr>
                <w:color w:val="000000" w:themeColor="text1"/>
                <w:sz w:val="18"/>
                <w:szCs w:val="18"/>
                <w14:textFill>
                  <w14:solidFill>
                    <w14:schemeClr w14:val="tx1"/>
                  </w14:solidFill>
                </w14:textFill>
              </w:rPr>
            </w:pPr>
          </w:p>
        </w:tc>
      </w:tr>
      <w:tr w14:paraId="0A32A6F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 w:type="pct"/>
            <w:vMerge w:val="continue"/>
            <w:shd w:val="clear" w:color="auto" w:fill="auto"/>
            <w:vAlign w:val="center"/>
          </w:tcPr>
          <w:p w14:paraId="63F702D1">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4FC3217A">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4EE04B0A">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7CE976E2">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072012F7">
            <w:pPr>
              <w:pStyle w:val="105"/>
              <w:jc w:val="center"/>
              <w:rPr>
                <w:color w:val="000000" w:themeColor="text1"/>
                <w:sz w:val="18"/>
                <w:szCs w:val="18"/>
                <w14:textFill>
                  <w14:solidFill>
                    <w14:schemeClr w14:val="tx1"/>
                  </w14:solidFill>
                </w14:textFill>
              </w:rPr>
            </w:pPr>
          </w:p>
        </w:tc>
        <w:tc>
          <w:tcPr>
            <w:tcW w:w="99" w:type="pct"/>
            <w:vMerge w:val="continue"/>
            <w:shd w:val="clear" w:color="auto" w:fill="auto"/>
            <w:vAlign w:val="center"/>
          </w:tcPr>
          <w:p w14:paraId="0200F0D4">
            <w:pPr>
              <w:pStyle w:val="105"/>
              <w:jc w:val="center"/>
              <w:rPr>
                <w:color w:val="000000" w:themeColor="text1"/>
                <w:sz w:val="18"/>
                <w:szCs w:val="18"/>
                <w14:textFill>
                  <w14:solidFill>
                    <w14:schemeClr w14:val="tx1"/>
                  </w14:solidFill>
                </w14:textFill>
              </w:rPr>
            </w:pPr>
          </w:p>
        </w:tc>
        <w:tc>
          <w:tcPr>
            <w:tcW w:w="99" w:type="pct"/>
            <w:vMerge w:val="continue"/>
            <w:shd w:val="clear" w:color="auto" w:fill="auto"/>
            <w:vAlign w:val="center"/>
          </w:tcPr>
          <w:p w14:paraId="462BA7B2">
            <w:pPr>
              <w:pStyle w:val="105"/>
              <w:jc w:val="center"/>
              <w:rPr>
                <w:color w:val="000000" w:themeColor="text1"/>
                <w:sz w:val="18"/>
                <w:szCs w:val="18"/>
                <w14:textFill>
                  <w14:solidFill>
                    <w14:schemeClr w14:val="tx1"/>
                  </w14:solidFill>
                </w14:textFill>
              </w:rPr>
            </w:pPr>
          </w:p>
        </w:tc>
        <w:tc>
          <w:tcPr>
            <w:tcW w:w="199" w:type="pct"/>
            <w:shd w:val="clear" w:color="auto" w:fill="auto"/>
            <w:vAlign w:val="center"/>
          </w:tcPr>
          <w:p w14:paraId="2100529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vertAlign w:val="superscript"/>
                <w14:textFill>
                  <w14:solidFill>
                    <w14:schemeClr w14:val="tx1"/>
                  </w14:solidFill>
                </w14:textFill>
              </w:rPr>
              <w:t>~</w:t>
            </w:r>
            <w:r>
              <w:rPr>
                <w:color w:val="000000" w:themeColor="text1"/>
                <w:sz w:val="18"/>
                <w:szCs w:val="18"/>
                <w14:textFill>
                  <w14:solidFill>
                    <w14:schemeClr w14:val="tx1"/>
                  </w14:solidFill>
                </w14:textFill>
              </w:rPr>
              <w:t>+2</w:t>
            </w:r>
          </w:p>
        </w:tc>
        <w:tc>
          <w:tcPr>
            <w:tcW w:w="166" w:type="pct"/>
            <w:shd w:val="clear" w:color="auto" w:fill="auto"/>
            <w:vAlign w:val="center"/>
          </w:tcPr>
          <w:p w14:paraId="1C71D74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166" w:type="pct"/>
            <w:shd w:val="clear" w:color="auto" w:fill="auto"/>
            <w:vAlign w:val="center"/>
          </w:tcPr>
          <w:p w14:paraId="57B9D27B">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57</w:t>
            </w:r>
          </w:p>
        </w:tc>
        <w:tc>
          <w:tcPr>
            <w:tcW w:w="132" w:type="pct"/>
            <w:shd w:val="clear" w:color="auto" w:fill="auto"/>
            <w:vAlign w:val="center"/>
          </w:tcPr>
          <w:p w14:paraId="705ED60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的4a类）</w:t>
            </w:r>
          </w:p>
        </w:tc>
        <w:tc>
          <w:tcPr>
            <w:tcW w:w="166" w:type="pct"/>
            <w:shd w:val="clear" w:color="auto" w:fill="auto"/>
            <w:vAlign w:val="center"/>
          </w:tcPr>
          <w:p w14:paraId="4D10888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35</w:t>
            </w:r>
            <w:r>
              <w:rPr>
                <w:rFonts w:hint="eastAsia"/>
                <w:color w:val="000000" w:themeColor="text1"/>
                <w:sz w:val="18"/>
                <w:szCs w:val="18"/>
                <w14:textFill>
                  <w14:solidFill>
                    <w14:schemeClr w14:val="tx1"/>
                  </w14:solidFill>
                </w14:textFill>
              </w:rPr>
              <w:t>人</w:t>
            </w:r>
          </w:p>
        </w:tc>
        <w:tc>
          <w:tcPr>
            <w:tcW w:w="397" w:type="pct"/>
            <w:shd w:val="clear" w:color="auto" w:fill="auto"/>
            <w:vAlign w:val="center"/>
          </w:tcPr>
          <w:p w14:paraId="1FCF696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3~4</w:t>
            </w:r>
            <w:r>
              <w:rPr>
                <w:rFonts w:hint="eastAsia"/>
                <w:color w:val="000000" w:themeColor="text1"/>
                <w:sz w:val="18"/>
                <w:szCs w:val="18"/>
                <w14:textFill>
                  <w14:solidFill>
                    <w14:schemeClr w14:val="tx1"/>
                  </w14:solidFill>
                </w14:textFill>
              </w:rPr>
              <w:t>层，临G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第一排，自身采取中空隔声窗。</w:t>
            </w:r>
          </w:p>
        </w:tc>
        <w:tc>
          <w:tcPr>
            <w:tcW w:w="994" w:type="pct"/>
            <w:vMerge w:val="continue"/>
            <w:shd w:val="clear" w:color="auto" w:fill="auto"/>
            <w:vAlign w:val="center"/>
          </w:tcPr>
          <w:p w14:paraId="01EEC7C9">
            <w:pPr>
              <w:pStyle w:val="105"/>
              <w:jc w:val="center"/>
              <w:rPr>
                <w:color w:val="000000" w:themeColor="text1"/>
                <w:sz w:val="18"/>
                <w:szCs w:val="18"/>
                <w14:textFill>
                  <w14:solidFill>
                    <w14:schemeClr w14:val="tx1"/>
                  </w14:solidFill>
                </w14:textFill>
              </w:rPr>
            </w:pPr>
          </w:p>
        </w:tc>
        <w:tc>
          <w:tcPr>
            <w:tcW w:w="1340" w:type="pct"/>
            <w:vMerge w:val="continue"/>
            <w:shd w:val="clear" w:color="auto" w:fill="auto"/>
            <w:vAlign w:val="center"/>
          </w:tcPr>
          <w:p w14:paraId="10093302">
            <w:pPr>
              <w:pStyle w:val="105"/>
              <w:jc w:val="center"/>
              <w:rPr>
                <w:color w:val="000000" w:themeColor="text1"/>
                <w14:textFill>
                  <w14:solidFill>
                    <w14:schemeClr w14:val="tx1"/>
                  </w14:solidFill>
                </w14:textFill>
              </w:rPr>
            </w:pPr>
          </w:p>
        </w:tc>
        <w:tc>
          <w:tcPr>
            <w:tcW w:w="645" w:type="pct"/>
            <w:vMerge w:val="continue"/>
            <w:shd w:val="clear" w:color="auto" w:fill="auto"/>
            <w:vAlign w:val="center"/>
          </w:tcPr>
          <w:p w14:paraId="2A23F160">
            <w:pPr>
              <w:pStyle w:val="105"/>
              <w:ind w:left="-120" w:leftChars="-50" w:right="-120" w:rightChars="-50"/>
              <w:jc w:val="center"/>
              <w:rPr>
                <w:color w:val="000000" w:themeColor="text1"/>
                <w:sz w:val="18"/>
                <w:szCs w:val="18"/>
                <w14:textFill>
                  <w14:solidFill>
                    <w14:schemeClr w14:val="tx1"/>
                  </w14:solidFill>
                </w14:textFill>
              </w:rPr>
            </w:pPr>
          </w:p>
        </w:tc>
      </w:tr>
      <w:tr w14:paraId="7D4054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110" w:hRule="atLeast"/>
          <w:jc w:val="center"/>
        </w:trPr>
        <w:tc>
          <w:tcPr>
            <w:tcW w:w="66" w:type="pct"/>
            <w:vMerge w:val="restart"/>
            <w:shd w:val="clear" w:color="auto" w:fill="auto"/>
            <w:vAlign w:val="center"/>
          </w:tcPr>
          <w:p w14:paraId="50492E6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p>
        </w:tc>
        <w:tc>
          <w:tcPr>
            <w:tcW w:w="133" w:type="pct"/>
            <w:vMerge w:val="restart"/>
            <w:shd w:val="clear" w:color="auto" w:fill="auto"/>
            <w:vAlign w:val="center"/>
          </w:tcPr>
          <w:p w14:paraId="1BDDCAF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上张村林泉</w:t>
            </w:r>
          </w:p>
        </w:tc>
        <w:tc>
          <w:tcPr>
            <w:tcW w:w="132" w:type="pct"/>
            <w:vMerge w:val="restart"/>
            <w:shd w:val="clear" w:color="auto" w:fill="auto"/>
            <w:vAlign w:val="center"/>
          </w:tcPr>
          <w:p w14:paraId="76440B5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6FBAEEC8">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K0+</w:t>
            </w: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20~ K0+724</w:t>
            </w:r>
          </w:p>
        </w:tc>
        <w:tc>
          <w:tcPr>
            <w:tcW w:w="100" w:type="pct"/>
            <w:vMerge w:val="restart"/>
            <w:shd w:val="clear" w:color="auto" w:fill="auto"/>
            <w:vAlign w:val="center"/>
          </w:tcPr>
          <w:p w14:paraId="2C61FEA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地面线路（路基）</w:t>
            </w:r>
          </w:p>
        </w:tc>
        <w:tc>
          <w:tcPr>
            <w:tcW w:w="99" w:type="pct"/>
            <w:shd w:val="clear" w:color="auto" w:fill="auto"/>
            <w:vAlign w:val="center"/>
          </w:tcPr>
          <w:p w14:paraId="316F721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w:t>
            </w:r>
          </w:p>
        </w:tc>
        <w:tc>
          <w:tcPr>
            <w:tcW w:w="99" w:type="pct"/>
            <w:shd w:val="clear" w:color="auto" w:fill="auto"/>
            <w:vAlign w:val="center"/>
          </w:tcPr>
          <w:p w14:paraId="10E2DFF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686E398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3</w:t>
            </w:r>
          </w:p>
        </w:tc>
        <w:tc>
          <w:tcPr>
            <w:tcW w:w="166" w:type="pct"/>
            <w:shd w:val="clear" w:color="auto" w:fill="auto"/>
            <w:vAlign w:val="center"/>
          </w:tcPr>
          <w:p w14:paraId="6D60FA3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4</w:t>
            </w:r>
          </w:p>
        </w:tc>
        <w:tc>
          <w:tcPr>
            <w:tcW w:w="166" w:type="pct"/>
            <w:shd w:val="clear" w:color="auto" w:fill="auto"/>
            <w:vAlign w:val="center"/>
          </w:tcPr>
          <w:p w14:paraId="1DEB084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0</w:t>
            </w:r>
          </w:p>
        </w:tc>
        <w:tc>
          <w:tcPr>
            <w:tcW w:w="132" w:type="pct"/>
            <w:shd w:val="clear" w:color="auto" w:fill="auto"/>
            <w:vAlign w:val="center"/>
          </w:tcPr>
          <w:p w14:paraId="7FF3F06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7E72D88E">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r>
              <w:rPr>
                <w:rFonts w:hint="eastAsia"/>
                <w:color w:val="000000" w:themeColor="text1"/>
                <w:sz w:val="18"/>
                <w:szCs w:val="18"/>
                <w14:textFill>
                  <w14:solidFill>
                    <w14:schemeClr w14:val="tx1"/>
                  </w14:solidFill>
                </w14:textFill>
              </w:rPr>
              <w:t>户5人</w:t>
            </w:r>
          </w:p>
        </w:tc>
        <w:tc>
          <w:tcPr>
            <w:tcW w:w="397" w:type="pct"/>
            <w:vMerge w:val="restart"/>
            <w:shd w:val="clear" w:color="auto" w:fill="auto"/>
          </w:tcPr>
          <w:p w14:paraId="51B7CD7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3~4</w:t>
            </w:r>
            <w:r>
              <w:rPr>
                <w:rFonts w:hint="eastAsia"/>
                <w:color w:val="000000" w:themeColor="text1"/>
                <w:sz w:val="18"/>
                <w:szCs w:val="18"/>
                <w14:textFill>
                  <w14:solidFill>
                    <w14:schemeClr w14:val="tx1"/>
                  </w14:solidFill>
                </w14:textFill>
              </w:rPr>
              <w:t>层，主要建筑背对拟建道路（南），铝合金推拉窗，周边园地（龙眼），与道路之间分布有疏林带。</w:t>
            </w:r>
          </w:p>
          <w:p w14:paraId="65104D0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bookmarkStart w:id="181" w:name="hmcheck_22094f7cc9814cd384b36ce2596ffa81"/>
            <w:r>
              <w:rPr>
                <w:rFonts w:hint="eastAsia"/>
                <w:color w:val="000000" w:themeColor="text1"/>
                <w:sz w:val="18"/>
                <w:szCs w:val="18"/>
                <w:shd w:val="clear" w:fill="FFAFAA"/>
                <w14:textFill>
                  <w14:solidFill>
                    <w14:schemeClr w14:val="tx1"/>
                  </w14:solidFill>
                </w14:textFill>
              </w:rPr>
              <w:t>区</w:t>
            </w:r>
            <w:bookmarkEnd w:id="181"/>
            <w:r>
              <w:rPr>
                <w:rFonts w:hint="eastAsia"/>
                <w:color w:val="000000" w:themeColor="text1"/>
                <w:sz w:val="18"/>
                <w:szCs w:val="18"/>
                <w14:textFill>
                  <w14:solidFill>
                    <w14:schemeClr w14:val="tx1"/>
                  </w14:solidFill>
                </w14:textFill>
              </w:rPr>
              <w:t>建筑与道路之前受密集建筑阻隔。</w:t>
            </w:r>
          </w:p>
        </w:tc>
        <w:tc>
          <w:tcPr>
            <w:tcW w:w="994" w:type="pct"/>
            <w:vMerge w:val="restart"/>
            <w:shd w:val="clear" w:color="auto" w:fill="auto"/>
            <w:vAlign w:val="center"/>
          </w:tcPr>
          <w:p w14:paraId="1E0C49B5">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730250</wp:posOffset>
                      </wp:positionH>
                      <wp:positionV relativeFrom="paragraph">
                        <wp:posOffset>862330</wp:posOffset>
                      </wp:positionV>
                      <wp:extent cx="723900" cy="264160"/>
                      <wp:effectExtent l="0" t="19050" r="0" b="21590"/>
                      <wp:wrapNone/>
                      <wp:docPr id="40" name="文本框 40"/>
                      <wp:cNvGraphicFramePr/>
                      <a:graphic xmlns:a="http://schemas.openxmlformats.org/drawingml/2006/main">
                        <a:graphicData uri="http://schemas.microsoft.com/office/word/2010/wordprocessingShape">
                          <wps:wsp>
                            <wps:cNvSpPr txBox="1"/>
                            <wps:spPr>
                              <a:xfrm rot="219664">
                                <a:off x="0" y="0"/>
                                <a:ext cx="723900" cy="264160"/>
                              </a:xfrm>
                              <a:prstGeom prst="rect">
                                <a:avLst/>
                              </a:prstGeom>
                              <a:noFill/>
                              <a:ln w="6350">
                                <a:noFill/>
                              </a:ln>
                            </wps:spPr>
                            <wps:txbx>
                              <w:txbxContent>
                                <w:p w14:paraId="1B3493EA">
                                  <w:pPr>
                                    <w:ind w:firstLine="0" w:firstLineChars="0"/>
                                    <w:rPr>
                                      <w:rFonts w:ascii="微软雅黑" w:hAnsi="微软雅黑" w:eastAsia="微软雅黑"/>
                                      <w:color w:val="FF0000"/>
                                      <w:sz w:val="18"/>
                                      <w:szCs w:val="16"/>
                                    </w:rPr>
                                  </w:pPr>
                                  <w:r>
                                    <w:rPr>
                                      <w:rFonts w:hint="eastAsia" w:ascii="微软雅黑" w:hAnsi="微软雅黑" w:eastAsia="微软雅黑"/>
                                      <w:color w:val="FF0000"/>
                                      <w:sz w:val="18"/>
                                      <w:szCs w:val="16"/>
                                    </w:rPr>
                                    <w:t>鳗鱼养殖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5pt;margin-top:67.9pt;height:20.8pt;width:57pt;rotation:239932f;z-index:251661312;mso-width-relative:page;mso-height-relative:page;" filled="f" stroked="f" coordsize="21600,21600" o:gfxdata="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00C2fYAAAACwEAAA8AAAAAAAAAAQAgAAAA&#10;IgAAAGRycy9kb3ducmV2LnhtbFBLAQIUABQAAAAIAIdO4kBcffe6RAIAAHQEAAAOAAAAAAAAAAEA&#10;IAAAACcBAABkcnMvZTJvRG9jLnhtbFBLBQYAAAAABgAGAFkBAADdBQAAAAA=&#10;">
                      <v:fill on="f" focussize="0,0"/>
                      <v:stroke on="f" weight="0.5pt"/>
                      <v:imagedata o:title=""/>
                      <o:lock v:ext="edit" aspectratio="f"/>
                      <v:textbox>
                        <w:txbxContent>
                          <w:p w14:paraId="1B3493EA">
                            <w:pPr>
                              <w:ind w:firstLine="0" w:firstLineChars="0"/>
                              <w:rPr>
                                <w:rFonts w:ascii="微软雅黑" w:hAnsi="微软雅黑" w:eastAsia="微软雅黑"/>
                                <w:color w:val="FF0000"/>
                                <w:sz w:val="18"/>
                                <w:szCs w:val="16"/>
                              </w:rPr>
                            </w:pPr>
                            <w:r>
                              <w:rPr>
                                <w:rFonts w:hint="eastAsia" w:ascii="微软雅黑" w:hAnsi="微软雅黑" w:eastAsia="微软雅黑"/>
                                <w:color w:val="FF0000"/>
                                <w:sz w:val="18"/>
                                <w:szCs w:val="16"/>
                              </w:rPr>
                              <w:t>鳗鱼养殖</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1026160</wp:posOffset>
                      </wp:positionH>
                      <wp:positionV relativeFrom="paragraph">
                        <wp:posOffset>1822450</wp:posOffset>
                      </wp:positionV>
                      <wp:extent cx="989330" cy="299720"/>
                      <wp:effectExtent l="19050" t="76200" r="20320" b="81280"/>
                      <wp:wrapNone/>
                      <wp:docPr id="471" name="文本框 471"/>
                      <wp:cNvGraphicFramePr/>
                      <a:graphic xmlns:a="http://schemas.openxmlformats.org/drawingml/2006/main">
                        <a:graphicData uri="http://schemas.microsoft.com/office/word/2010/wordprocessingShape">
                          <wps:wsp>
                            <wps:cNvSpPr txBox="1"/>
                            <wps:spPr>
                              <a:xfrm rot="21075227">
                                <a:off x="0" y="0"/>
                                <a:ext cx="989330" cy="299720"/>
                              </a:xfrm>
                              <a:prstGeom prst="rect">
                                <a:avLst/>
                              </a:prstGeom>
                              <a:noFill/>
                              <a:ln w="6350">
                                <a:noFill/>
                              </a:ln>
                            </wps:spPr>
                            <wps:txbx>
                              <w:txbxContent>
                                <w:p w14:paraId="0B1ED1DC">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上张村林泉</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80.8pt;margin-top:143.5pt;height:23.6pt;width:77.9pt;rotation:-573192f;z-index:251665408;mso-width-relative:page;mso-height-relative:page;" filled="f" stroked="f" coordsize="21600,21600" o:gfxdata="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BElff1wAAAAsBAAAPAAAAAAAAAAEAIAAAACIAAABk&#10;cnMvZG93bnJldi54bWxQSwECFAAUAAAACACHTuJAS50Ao0ACAABoBAAADgAAAAAAAAABACAAAAAm&#10;AQAAZHJzL2Uyb0RvYy54bWxQSwUGAAAAAAYABgBZAQAA2AUAAAAA&#10;">
                      <v:fill on="f" focussize="0,0"/>
                      <v:stroke on="f" weight="0.5pt"/>
                      <v:imagedata o:title=""/>
                      <o:lock v:ext="edit" aspectratio="f"/>
                      <v:textbox inset="0mm,0mm,0mm,0mm">
                        <w:txbxContent>
                          <w:p w14:paraId="0B1ED1DC">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上张村林泉</w:t>
                            </w:r>
                          </w:p>
                        </w:txbxContent>
                      </v:textbox>
                    </v:shape>
                  </w:pict>
                </mc:Fallback>
              </mc:AlternateContent>
            </w:r>
            <w:r>
              <w:rPr>
                <w:color w:val="000000" w:themeColor="text1"/>
                <w14:textFill>
                  <w14:solidFill>
                    <w14:schemeClr w14:val="tx1"/>
                  </w14:solidFill>
                </w14:textFill>
              </w:rPr>
              <w:drawing>
                <wp:inline distT="0" distB="0" distL="0" distR="0">
                  <wp:extent cx="2618740" cy="2700655"/>
                  <wp:effectExtent l="0" t="0" r="0" b="444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44" cstate="email"/>
                          <a:srcRect/>
                          <a:stretch>
                            <a:fillRect/>
                          </a:stretch>
                        </pic:blipFill>
                        <pic:spPr>
                          <a:xfrm>
                            <a:off x="0" y="0"/>
                            <a:ext cx="2627982" cy="2710291"/>
                          </a:xfrm>
                          <a:prstGeom prst="rect">
                            <a:avLst/>
                          </a:prstGeom>
                          <a:noFill/>
                          <a:ln>
                            <a:noFill/>
                          </a:ln>
                        </pic:spPr>
                      </pic:pic>
                    </a:graphicData>
                  </a:graphic>
                </wp:inline>
              </w:drawing>
            </w:r>
          </w:p>
        </w:tc>
        <w:tc>
          <w:tcPr>
            <w:tcW w:w="1340" w:type="pct"/>
            <w:vMerge w:val="restart"/>
            <w:shd w:val="clear" w:color="auto" w:fill="auto"/>
            <w:vAlign w:val="center"/>
          </w:tcPr>
          <w:p w14:paraId="7A0C56A3">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2128520</wp:posOffset>
                      </wp:positionH>
                      <wp:positionV relativeFrom="paragraph">
                        <wp:posOffset>1463040</wp:posOffset>
                      </wp:positionV>
                      <wp:extent cx="989330" cy="299720"/>
                      <wp:effectExtent l="0" t="0" r="1270" b="5080"/>
                      <wp:wrapNone/>
                      <wp:docPr id="470" name="文本框 470"/>
                      <wp:cNvGraphicFramePr/>
                      <a:graphic xmlns:a="http://schemas.openxmlformats.org/drawingml/2006/main">
                        <a:graphicData uri="http://schemas.microsoft.com/office/word/2010/wordprocessingShape">
                          <wps:wsp>
                            <wps:cNvSpPr txBox="1"/>
                            <wps:spPr>
                              <a:xfrm>
                                <a:off x="0" y="0"/>
                                <a:ext cx="989330" cy="299720"/>
                              </a:xfrm>
                              <a:prstGeom prst="rect">
                                <a:avLst/>
                              </a:prstGeom>
                              <a:noFill/>
                              <a:ln w="6350">
                                <a:noFill/>
                              </a:ln>
                            </wps:spPr>
                            <wps:txbx>
                              <w:txbxContent>
                                <w:p w14:paraId="215BD2A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上张村林泉</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67.6pt;margin-top:115.2pt;height:23.6pt;width:77.9pt;z-index:251664384;mso-width-relative:page;mso-height-relative:page;" filled="f" stroked="f" coordsize="21600,21600" o:gfxdata="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9zPQM2gAAAAsBAAAPAAAAAAAAAAEAIAAAACIAAABkcnMvZG93bnJl&#10;di54bWxQSwECFAAUAAAACACHTuJAI9/yHzQCAABZBAAADgAAAAAAAAABACAAAAApAQAAZHJzL2Uy&#10;b0RvYy54bWxQSwUGAAAAAAYABgBZAQAAzwUAAAAA&#10;">
                      <v:fill on="f" focussize="0,0"/>
                      <v:stroke on="f" weight="0.5pt"/>
                      <v:imagedata o:title=""/>
                      <o:lock v:ext="edit" aspectratio="f"/>
                      <v:textbox inset="0mm,0mm,0mm,0mm">
                        <w:txbxContent>
                          <w:p w14:paraId="215BD2A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上张村林泉</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666115</wp:posOffset>
                      </wp:positionH>
                      <wp:positionV relativeFrom="paragraph">
                        <wp:posOffset>484505</wp:posOffset>
                      </wp:positionV>
                      <wp:extent cx="610235" cy="1923415"/>
                      <wp:effectExtent l="57150" t="38100" r="0" b="19685"/>
                      <wp:wrapNone/>
                      <wp:docPr id="462" name="箭头: 下 462"/>
                      <wp:cNvGraphicFramePr/>
                      <a:graphic xmlns:a="http://schemas.openxmlformats.org/drawingml/2006/main">
                        <a:graphicData uri="http://schemas.microsoft.com/office/word/2010/wordprocessingShape">
                          <wps:wsp>
                            <wps:cNvSpPr/>
                            <wps:spPr>
                              <a:xfrm rot="370134">
                                <a:off x="0" y="0"/>
                                <a:ext cx="610235" cy="1923415"/>
                              </a:xfrm>
                              <a:prstGeom prst="downArrow">
                                <a:avLst>
                                  <a:gd name="adj1" fmla="val 50000"/>
                                  <a:gd name="adj2" fmla="val 98063"/>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462" o:spid="_x0000_s1026" o:spt="67" type="#_x0000_t67" style="position:absolute;left:0pt;margin-left:52.45pt;margin-top:38.15pt;height:151.45pt;width:48.05pt;rotation:404285f;z-index:251662336;v-text-anchor:middle;mso-width-relative:page;mso-height-relative:page;" fillcolor="#FF0000" filled="t" stroked="t" coordsize="21600,21600" o:gfxdata="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Uk8petcAAAAKAQAADwAAAAAAAAABACAA&#10;AAAiAAAAZHJzL2Rvd25yZXYueG1sUEsBAhQAFAAAAAgAh07iQHrQSbO5AgAAgQUAAA4AAAAAAAAA&#10;AQAgAAAAJgEAAGRycy9lMm9Eb2MueG1sUEsFBgAAAAAGAAYAWQEAAFEGAAAAAA==&#10;" adj="14880,5400">
                      <v:fill on="t" opacity="13107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3732530" cy="2263775"/>
                  <wp:effectExtent l="0" t="0" r="1270" b="3175"/>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45" cstate="email"/>
                          <a:stretch>
                            <a:fillRect/>
                          </a:stretch>
                        </pic:blipFill>
                        <pic:spPr>
                          <a:xfrm>
                            <a:off x="0" y="0"/>
                            <a:ext cx="3732530" cy="2263775"/>
                          </a:xfrm>
                          <a:prstGeom prst="rect">
                            <a:avLst/>
                          </a:prstGeom>
                        </pic:spPr>
                      </pic:pic>
                    </a:graphicData>
                  </a:graphic>
                </wp:inline>
              </w:drawing>
            </w:r>
          </w:p>
        </w:tc>
        <w:tc>
          <w:tcPr>
            <w:tcW w:w="645" w:type="pct"/>
            <w:vMerge w:val="restart"/>
            <w:shd w:val="clear" w:color="auto" w:fill="auto"/>
            <w:vAlign w:val="center"/>
          </w:tcPr>
          <w:p w14:paraId="3E5CE71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26" o:spt="75" type="#_x0000_t75" style="height:72.4pt;width:149.2pt;" o:ole="t" filled="f" o:preferrelative="t" stroked="f" coordsize="21600,21600">
                  <v:path/>
                  <v:fill on="f" focussize="0,0"/>
                  <v:stroke on="f" joinstyle="miter"/>
                  <v:imagedata r:id="rId47" o:title=""/>
                  <o:lock v:ext="edit" aspectratio="t"/>
                  <w10:wrap type="none"/>
                  <w10:anchorlock/>
                </v:shape>
                <o:OLEObject Type="Embed" ProgID="AutoCAD.Drawing.24" ShapeID="_x0000_i1026" DrawAspect="Content" ObjectID="_1468075726" r:id="rId46">
                  <o:LockedField>false</o:LockedField>
                </o:OLEObject>
              </w:object>
            </w:r>
          </w:p>
        </w:tc>
      </w:tr>
      <w:tr w14:paraId="2E689F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 w:type="pct"/>
            <w:vMerge w:val="continue"/>
            <w:shd w:val="clear" w:color="auto" w:fill="auto"/>
            <w:vAlign w:val="center"/>
          </w:tcPr>
          <w:p w14:paraId="0D8CDFD0">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4066E466">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0DF15CF2">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3678E2B7">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1D613F00">
            <w:pPr>
              <w:pStyle w:val="105"/>
              <w:jc w:val="center"/>
              <w:rPr>
                <w:color w:val="000000" w:themeColor="text1"/>
                <w:sz w:val="18"/>
                <w:szCs w:val="18"/>
                <w14:textFill>
                  <w14:solidFill>
                    <w14:schemeClr w14:val="tx1"/>
                  </w14:solidFill>
                </w14:textFill>
              </w:rPr>
            </w:pPr>
          </w:p>
        </w:tc>
        <w:tc>
          <w:tcPr>
            <w:tcW w:w="99" w:type="pct"/>
            <w:shd w:val="clear" w:color="auto" w:fill="auto"/>
            <w:vAlign w:val="center"/>
          </w:tcPr>
          <w:p w14:paraId="499E7B8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w:t>
            </w:r>
          </w:p>
        </w:tc>
        <w:tc>
          <w:tcPr>
            <w:tcW w:w="99" w:type="pct"/>
            <w:shd w:val="clear" w:color="auto" w:fill="auto"/>
            <w:vAlign w:val="center"/>
          </w:tcPr>
          <w:p w14:paraId="24548FD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79B04FE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4</w:t>
            </w:r>
          </w:p>
        </w:tc>
        <w:tc>
          <w:tcPr>
            <w:tcW w:w="166" w:type="pct"/>
            <w:shd w:val="clear" w:color="auto" w:fill="auto"/>
            <w:vAlign w:val="center"/>
          </w:tcPr>
          <w:p w14:paraId="595C9E6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7</w:t>
            </w:r>
          </w:p>
        </w:tc>
        <w:tc>
          <w:tcPr>
            <w:tcW w:w="166" w:type="pct"/>
            <w:shd w:val="clear" w:color="auto" w:fill="auto"/>
            <w:vAlign w:val="center"/>
          </w:tcPr>
          <w:p w14:paraId="540867E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3</w:t>
            </w:r>
          </w:p>
        </w:tc>
        <w:tc>
          <w:tcPr>
            <w:tcW w:w="132" w:type="pct"/>
            <w:shd w:val="clear" w:color="auto" w:fill="auto"/>
            <w:vAlign w:val="center"/>
          </w:tcPr>
          <w:p w14:paraId="5F4EDBB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166" w:type="pct"/>
            <w:shd w:val="clear" w:color="auto" w:fill="auto"/>
            <w:vAlign w:val="center"/>
          </w:tcPr>
          <w:p w14:paraId="1E2AE7A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16户80人</w:t>
            </w:r>
          </w:p>
        </w:tc>
        <w:tc>
          <w:tcPr>
            <w:tcW w:w="397" w:type="pct"/>
            <w:vMerge w:val="continue"/>
            <w:shd w:val="clear" w:color="auto" w:fill="auto"/>
          </w:tcPr>
          <w:p w14:paraId="0D25B207">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69864CF2">
            <w:pPr>
              <w:pStyle w:val="105"/>
              <w:jc w:val="center"/>
              <w:rPr>
                <w:color w:val="000000" w:themeColor="text1"/>
                <w:sz w:val="18"/>
                <w:szCs w:val="18"/>
                <w14:textFill>
                  <w14:solidFill>
                    <w14:schemeClr w14:val="tx1"/>
                  </w14:solidFill>
                </w14:textFill>
              </w:rPr>
            </w:pPr>
          </w:p>
        </w:tc>
        <w:tc>
          <w:tcPr>
            <w:tcW w:w="1340" w:type="pct"/>
            <w:vMerge w:val="continue"/>
            <w:shd w:val="clear" w:color="auto" w:fill="auto"/>
            <w:vAlign w:val="center"/>
          </w:tcPr>
          <w:p w14:paraId="4F0222D4">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638C4512">
            <w:pPr>
              <w:pStyle w:val="105"/>
              <w:ind w:left="-120" w:leftChars="-50" w:right="-120" w:rightChars="-50"/>
              <w:jc w:val="center"/>
              <w:rPr>
                <w:color w:val="000000" w:themeColor="text1"/>
                <w:sz w:val="18"/>
                <w:szCs w:val="18"/>
                <w14:textFill>
                  <w14:solidFill>
                    <w14:schemeClr w14:val="tx1"/>
                  </w14:solidFill>
                </w14:textFill>
              </w:rPr>
            </w:pPr>
          </w:p>
        </w:tc>
      </w:tr>
      <w:tr w14:paraId="02274D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409" w:hRule="atLeast"/>
          <w:jc w:val="center"/>
        </w:trPr>
        <w:tc>
          <w:tcPr>
            <w:tcW w:w="66" w:type="pct"/>
            <w:vMerge w:val="restart"/>
            <w:shd w:val="clear" w:color="auto" w:fill="auto"/>
            <w:vAlign w:val="center"/>
          </w:tcPr>
          <w:p w14:paraId="46D314D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133" w:type="pct"/>
            <w:vMerge w:val="restart"/>
            <w:shd w:val="clear" w:color="auto" w:fill="auto"/>
            <w:vAlign w:val="center"/>
          </w:tcPr>
          <w:p w14:paraId="53B5CB3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上张村王</w:t>
            </w:r>
            <w:bookmarkStart w:id="182" w:name="_Hlk190789969"/>
            <w:r>
              <w:rPr>
                <w:rFonts w:hint="eastAsia"/>
                <w:color w:val="000000" w:themeColor="text1"/>
                <w:sz w:val="18"/>
                <w:szCs w:val="18"/>
                <w14:textFill>
                  <w14:solidFill>
                    <w14:schemeClr w14:val="tx1"/>
                  </w14:solidFill>
                </w14:textFill>
              </w:rPr>
              <w:t>房</w:t>
            </w:r>
            <w:bookmarkEnd w:id="182"/>
          </w:p>
        </w:tc>
        <w:tc>
          <w:tcPr>
            <w:tcW w:w="132" w:type="pct"/>
            <w:vMerge w:val="restart"/>
            <w:shd w:val="clear" w:color="auto" w:fill="auto"/>
            <w:vAlign w:val="center"/>
          </w:tcPr>
          <w:p w14:paraId="4104C4B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0CD27EB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K1+200~ K1+550</w:t>
            </w:r>
          </w:p>
        </w:tc>
        <w:tc>
          <w:tcPr>
            <w:tcW w:w="100" w:type="pct"/>
            <w:vMerge w:val="restart"/>
            <w:shd w:val="clear" w:color="auto" w:fill="auto"/>
            <w:vAlign w:val="center"/>
          </w:tcPr>
          <w:p w14:paraId="3F9EC55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地面线路（路基）</w:t>
            </w:r>
          </w:p>
        </w:tc>
        <w:tc>
          <w:tcPr>
            <w:tcW w:w="99" w:type="pct"/>
            <w:vMerge w:val="restart"/>
            <w:shd w:val="clear" w:color="auto" w:fill="auto"/>
            <w:vAlign w:val="center"/>
          </w:tcPr>
          <w:p w14:paraId="053D833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.3~1.2</w:t>
            </w:r>
          </w:p>
        </w:tc>
        <w:tc>
          <w:tcPr>
            <w:tcW w:w="99" w:type="pct"/>
            <w:shd w:val="clear" w:color="auto" w:fill="auto"/>
            <w:vAlign w:val="center"/>
          </w:tcPr>
          <w:p w14:paraId="5DFBA5D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6F4454D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w:t>
            </w:r>
          </w:p>
        </w:tc>
        <w:tc>
          <w:tcPr>
            <w:tcW w:w="166" w:type="pct"/>
            <w:shd w:val="clear" w:color="auto" w:fill="auto"/>
            <w:vAlign w:val="center"/>
          </w:tcPr>
          <w:p w14:paraId="0449A6F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8</w:t>
            </w:r>
          </w:p>
        </w:tc>
        <w:tc>
          <w:tcPr>
            <w:tcW w:w="166" w:type="pct"/>
            <w:shd w:val="clear" w:color="auto" w:fill="auto"/>
            <w:vAlign w:val="center"/>
          </w:tcPr>
          <w:p w14:paraId="47CB1B6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4</w:t>
            </w:r>
          </w:p>
        </w:tc>
        <w:tc>
          <w:tcPr>
            <w:tcW w:w="132" w:type="pct"/>
            <w:shd w:val="clear" w:color="auto" w:fill="auto"/>
            <w:vAlign w:val="center"/>
          </w:tcPr>
          <w:p w14:paraId="0BC09AC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6F5F0BA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11</w:t>
            </w:r>
            <w:r>
              <w:rPr>
                <w:rFonts w:hint="eastAsia"/>
                <w:color w:val="000000" w:themeColor="text1"/>
                <w:sz w:val="18"/>
                <w:szCs w:val="18"/>
                <w14:textFill>
                  <w14:solidFill>
                    <w14:schemeClr w14:val="tx1"/>
                  </w14:solidFill>
                </w14:textFill>
              </w:rPr>
              <w:t>人</w:t>
            </w:r>
          </w:p>
        </w:tc>
        <w:tc>
          <w:tcPr>
            <w:tcW w:w="397" w:type="pct"/>
            <w:vMerge w:val="restart"/>
            <w:shd w:val="clear" w:color="auto" w:fill="auto"/>
          </w:tcPr>
          <w:p w14:paraId="4917572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3~4</w:t>
            </w:r>
            <w:r>
              <w:rPr>
                <w:rFonts w:hint="eastAsia"/>
                <w:color w:val="000000" w:themeColor="text1"/>
                <w:sz w:val="18"/>
                <w:szCs w:val="18"/>
                <w14:textFill>
                  <w14:solidFill>
                    <w14:schemeClr w14:val="tx1"/>
                  </w14:solidFill>
                </w14:textFill>
              </w:rPr>
              <w:t>层，主要建筑正对拟建道路（南），铝合金推拉窗，周边园地，与道路之间无密集林带。</w:t>
            </w:r>
          </w:p>
          <w:p w14:paraId="30C99E7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bookmarkStart w:id="183" w:name="hmcheck_9f5ce4a7e90840c29bd29e95f64fefdb"/>
            <w:r>
              <w:rPr>
                <w:rFonts w:hint="eastAsia"/>
                <w:color w:val="000000" w:themeColor="text1"/>
                <w:sz w:val="18"/>
                <w:szCs w:val="18"/>
                <w:shd w:val="clear" w:fill="FFAFAA"/>
                <w14:textFill>
                  <w14:solidFill>
                    <w14:schemeClr w14:val="tx1"/>
                  </w14:solidFill>
                </w14:textFill>
              </w:rPr>
              <w:t>区</w:t>
            </w:r>
            <w:bookmarkEnd w:id="183"/>
            <w:r>
              <w:rPr>
                <w:rFonts w:hint="eastAsia"/>
                <w:color w:val="000000" w:themeColor="text1"/>
                <w:sz w:val="18"/>
                <w:szCs w:val="18"/>
                <w14:textFill>
                  <w14:solidFill>
                    <w14:schemeClr w14:val="tx1"/>
                  </w14:solidFill>
                </w14:textFill>
              </w:rPr>
              <w:t>建筑与道路之前受密集建筑阻隔。</w:t>
            </w:r>
          </w:p>
        </w:tc>
        <w:tc>
          <w:tcPr>
            <w:tcW w:w="994" w:type="pct"/>
            <w:vMerge w:val="restart"/>
            <w:shd w:val="clear" w:color="auto" w:fill="auto"/>
            <w:vAlign w:val="center"/>
          </w:tcPr>
          <w:p w14:paraId="787DBB5F">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344170</wp:posOffset>
                      </wp:positionH>
                      <wp:positionV relativeFrom="paragraph">
                        <wp:posOffset>857250</wp:posOffset>
                      </wp:positionV>
                      <wp:extent cx="989330" cy="299720"/>
                      <wp:effectExtent l="0" t="0" r="1270" b="5080"/>
                      <wp:wrapNone/>
                      <wp:docPr id="474" name="文本框 474"/>
                      <wp:cNvGraphicFramePr/>
                      <a:graphic xmlns:a="http://schemas.openxmlformats.org/drawingml/2006/main">
                        <a:graphicData uri="http://schemas.microsoft.com/office/word/2010/wordprocessingShape">
                          <wps:wsp>
                            <wps:cNvSpPr txBox="1"/>
                            <wps:spPr>
                              <a:xfrm>
                                <a:off x="0" y="0"/>
                                <a:ext cx="989330" cy="299720"/>
                              </a:xfrm>
                              <a:prstGeom prst="rect">
                                <a:avLst/>
                              </a:prstGeom>
                              <a:noFill/>
                              <a:ln w="6350">
                                <a:noFill/>
                              </a:ln>
                            </wps:spPr>
                            <wps:txbx>
                              <w:txbxContent>
                                <w:p w14:paraId="21386B67">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上张村王房</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27.1pt;margin-top:67.5pt;height:23.6pt;width:77.9pt;z-index:251667456;mso-width-relative:page;mso-height-relative:page;" filled="f" stroked="f" coordsize="21600,21600" o:gfxdata="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HKOe1tgAAAAKAQAADwAAAAAAAAABACAAAAAiAAAAZHJzL2Rvd25yZXYu&#10;eG1sUEsBAhQAFAAAAAgAh07iQNqmMrA0AgAAWQQAAA4AAAAAAAAAAQAgAAAAJwEAAGRycy9lMm9E&#10;b2MueG1sUEsFBgAAAAAGAAYAWQEAAM0FAAAAAA==&#10;">
                      <v:fill on="f" focussize="0,0"/>
                      <v:stroke on="f" weight="0.5pt"/>
                      <v:imagedata o:title=""/>
                      <o:lock v:ext="edit" aspectratio="f"/>
                      <v:textbox inset="0mm,0mm,0mm,0mm">
                        <w:txbxContent>
                          <w:p w14:paraId="21386B67">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上张村王房</w:t>
                            </w:r>
                          </w:p>
                        </w:txbxContent>
                      </v:textbox>
                    </v:shape>
                  </w:pict>
                </mc:Fallback>
              </mc:AlternateContent>
            </w: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2713355" cy="2793365"/>
                  <wp:effectExtent l="0" t="0" r="0" b="6985"/>
                  <wp:docPr id="939" name="图片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 name="图片 939"/>
                          <pic:cNvPicPr>
                            <a:picLocks noChangeAspect="1" noChangeArrowheads="1"/>
                          </pic:cNvPicPr>
                        </pic:nvPicPr>
                        <pic:blipFill>
                          <a:blip r:embed="rId48" cstate="email"/>
                          <a:srcRect/>
                          <a:stretch>
                            <a:fillRect/>
                          </a:stretch>
                        </pic:blipFill>
                        <pic:spPr>
                          <a:xfrm>
                            <a:off x="0" y="0"/>
                            <a:ext cx="2721130" cy="2800766"/>
                          </a:xfrm>
                          <a:prstGeom prst="rect">
                            <a:avLst/>
                          </a:prstGeom>
                          <a:noFill/>
                          <a:ln>
                            <a:noFill/>
                          </a:ln>
                        </pic:spPr>
                      </pic:pic>
                    </a:graphicData>
                  </a:graphic>
                </wp:inline>
              </w:drawing>
            </w:r>
          </w:p>
        </w:tc>
        <w:tc>
          <w:tcPr>
            <w:tcW w:w="1340" w:type="pct"/>
            <w:vMerge w:val="restart"/>
            <w:shd w:val="clear" w:color="auto" w:fill="auto"/>
            <w:vAlign w:val="center"/>
          </w:tcPr>
          <w:p w14:paraId="449BEE4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3185160</wp:posOffset>
                      </wp:positionH>
                      <wp:positionV relativeFrom="paragraph">
                        <wp:posOffset>1443355</wp:posOffset>
                      </wp:positionV>
                      <wp:extent cx="543560" cy="258445"/>
                      <wp:effectExtent l="0" t="704850" r="27940" b="27305"/>
                      <wp:wrapNone/>
                      <wp:docPr id="477" name="对话气泡: 圆角矩形 477"/>
                      <wp:cNvGraphicFramePr/>
                      <a:graphic xmlns:a="http://schemas.openxmlformats.org/drawingml/2006/main">
                        <a:graphicData uri="http://schemas.microsoft.com/office/word/2010/wordprocessingShape">
                          <wps:wsp>
                            <wps:cNvSpPr/>
                            <wps:spPr>
                              <a:xfrm>
                                <a:off x="0" y="0"/>
                                <a:ext cx="543560" cy="258445"/>
                              </a:xfrm>
                              <a:prstGeom prst="wedgeRoundRectCallout">
                                <a:avLst>
                                  <a:gd name="adj1" fmla="val -34005"/>
                                  <a:gd name="adj2" fmla="val -299341"/>
                                  <a:gd name="adj3" fmla="val 16667"/>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AA1BA">
                                  <w:pPr>
                                    <w:ind w:firstLine="0" w:firstLineChars="0"/>
                                    <w:rPr>
                                      <w:color w:val="FF0000"/>
                                    </w:rPr>
                                  </w:pPr>
                                  <w:r>
                                    <w:rPr>
                                      <w:rFonts w:hint="eastAsia"/>
                                      <w:color w:val="FF0000"/>
                                    </w:rPr>
                                    <w:t>已建段</w:t>
                                  </w:r>
                                </w:p>
                              </w:txbxContent>
                            </wps:txbx>
                            <wps:bodyPr rot="0" spcFirstLastPara="0" vertOverflow="overflow" horzOverflow="overflow" vert="horz" wrap="square" lIns="18000" tIns="18000" rIns="18000" bIns="18000" numCol="1" spcCol="0" rtlCol="0" fromWordArt="0" anchor="ctr" anchorCtr="0" forceAA="0" compatLnSpc="1">
                              <a:noAutofit/>
                            </wps:bodyPr>
                          </wps:wsp>
                        </a:graphicData>
                      </a:graphic>
                    </wp:anchor>
                  </w:drawing>
                </mc:Choice>
                <mc:Fallback>
                  <w:pict>
                    <v:shape id="对话气泡: 圆角矩形 477" o:spid="_x0000_s1026" o:spt="62" type="#_x0000_t62" style="position:absolute;left:0pt;margin-left:250.8pt;margin-top:113.65pt;height:20.35pt;width:42.8pt;z-index:251669504;v-text-anchor:middle;mso-width-relative:page;mso-height-relative:page;" fillcolor="#FFFFFF [3212]" filled="t" stroked="t" coordsize="21600,21600" o:gfxdata="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D4dNmLaAAAACwEAAA8AAAAAAAAAAQAg&#10;AAAAIgAAAGRycy9kb3ducmV2LnhtbFBLAQIUABQAAAAIAIdO4kAIEJZ08AIAANcFAAAOAAAAAAAA&#10;AAEAIAAAACkBAABkcnMvZTJvRG9jLnhtbFBLBQYAAAAABgAGAFkBAACLBgAAAAA=&#10;" adj="3455,-53858,14400">
                      <v:fill on="t" focussize="0,0"/>
                      <v:stroke weight="1pt" color="#0D0D0D [3069]" miterlimit="8" joinstyle="miter"/>
                      <v:imagedata o:title=""/>
                      <o:lock v:ext="edit" aspectratio="f"/>
                      <v:textbox inset="0.5mm,0.5mm,0.5mm,0.5mm">
                        <w:txbxContent>
                          <w:p w14:paraId="137AA1BA">
                            <w:pPr>
                              <w:ind w:firstLine="0" w:firstLineChars="0"/>
                              <w:rPr>
                                <w:color w:val="FF0000"/>
                              </w:rPr>
                            </w:pPr>
                            <w:r>
                              <w:rPr>
                                <w:rFonts w:hint="eastAsia"/>
                                <w:color w:val="FF0000"/>
                              </w:rPr>
                              <w:t>已建段</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2765425</wp:posOffset>
                      </wp:positionH>
                      <wp:positionV relativeFrom="paragraph">
                        <wp:posOffset>1062355</wp:posOffset>
                      </wp:positionV>
                      <wp:extent cx="520700" cy="1456690"/>
                      <wp:effectExtent l="19050" t="38100" r="12700" b="29210"/>
                      <wp:wrapNone/>
                      <wp:docPr id="465" name="箭头: 下 465"/>
                      <wp:cNvGraphicFramePr/>
                      <a:graphic xmlns:a="http://schemas.openxmlformats.org/drawingml/2006/main">
                        <a:graphicData uri="http://schemas.microsoft.com/office/word/2010/wordprocessingShape">
                          <wps:wsp>
                            <wps:cNvSpPr/>
                            <wps:spPr>
                              <a:xfrm rot="393840">
                                <a:off x="0" y="0"/>
                                <a:ext cx="520700" cy="1456690"/>
                              </a:xfrm>
                              <a:prstGeom prst="downArrow">
                                <a:avLst>
                                  <a:gd name="adj1" fmla="val 50000"/>
                                  <a:gd name="adj2" fmla="val 131606"/>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465" o:spid="_x0000_s1026" o:spt="67" type="#_x0000_t67" style="position:absolute;left:0pt;margin-left:217.75pt;margin-top:83.65pt;height:114.7pt;width:41pt;rotation:430178f;z-index:251663360;v-text-anchor:middle;mso-width-relative:page;mso-height-relative:page;" fillcolor="#FF0000" filled="t" stroked="t" coordsize="21600,21600" o:gfxdata="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JmePO2wAAAAsBAAAPAAAAAAAAAAEA&#10;IAAAACIAAABkcnMvZG93bnJldi54bWxQSwECFAAUAAAACACHTuJAyqKNxLcCAACCBQAADgAAAAAA&#10;AAABACAAAAAqAQAAZHJzL2Uyb0RvYy54bWxQSwUGAAAAAAYABgBZAQAAUwYAAAAA&#10;" adj="11439,5400">
                      <v:fill on="t" opacity="13107f" focussize="0,0"/>
                      <v:stroke weight="1pt" color="#FF0000 [3204]" miterlimit="8" joinstyle="miter"/>
                      <v:imagedata o:title=""/>
                      <o:lock v:ext="edit" aspectratio="f"/>
                    </v:shape>
                  </w:pict>
                </mc:Fallback>
              </mc:AlternateContent>
            </w:r>
            <w:r>
              <w:rPr>
                <w:color w:val="000000" w:themeColor="text1"/>
                <w:sz w:val="18"/>
                <w:szCs w:val="18"/>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402590</wp:posOffset>
                      </wp:positionH>
                      <wp:positionV relativeFrom="paragraph">
                        <wp:posOffset>240030</wp:posOffset>
                      </wp:positionV>
                      <wp:extent cx="405130" cy="258445"/>
                      <wp:effectExtent l="0" t="95250" r="471170" b="27305"/>
                      <wp:wrapNone/>
                      <wp:docPr id="476" name="对话气泡: 圆角矩形 476"/>
                      <wp:cNvGraphicFramePr/>
                      <a:graphic xmlns:a="http://schemas.openxmlformats.org/drawingml/2006/main">
                        <a:graphicData uri="http://schemas.microsoft.com/office/word/2010/wordprocessingShape">
                          <wps:wsp>
                            <wps:cNvSpPr/>
                            <wps:spPr>
                              <a:xfrm>
                                <a:off x="9486181" y="7358332"/>
                                <a:ext cx="405130" cy="258445"/>
                              </a:xfrm>
                              <a:prstGeom prst="wedgeRoundRectCallout">
                                <a:avLst>
                                  <a:gd name="adj1" fmla="val 155278"/>
                                  <a:gd name="adj2" fmla="val -72369"/>
                                  <a:gd name="adj3" fmla="val 16667"/>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6D4BFB">
                                  <w:pPr>
                                    <w:ind w:firstLine="0" w:firstLineChars="0"/>
                                    <w:rPr>
                                      <w:color w:val="FF0000"/>
                                    </w:rPr>
                                  </w:pPr>
                                  <w:r>
                                    <w:rPr>
                                      <w:rFonts w:hint="eastAsia"/>
                                      <w:color w:val="FF0000"/>
                                    </w:rPr>
                                    <w:t>高铁</w:t>
                                  </w:r>
                                </w:p>
                              </w:txbxContent>
                            </wps:txbx>
                            <wps:bodyPr rot="0" spcFirstLastPara="0" vertOverflow="overflow" horzOverflow="overflow" vert="horz" wrap="square" lIns="18000" tIns="18000" rIns="18000" bIns="18000" numCol="1" spcCol="0" rtlCol="0" fromWordArt="0" anchor="ctr" anchorCtr="0" forceAA="0" compatLnSpc="1">
                              <a:noAutofit/>
                            </wps:bodyPr>
                          </wps:wsp>
                        </a:graphicData>
                      </a:graphic>
                    </wp:anchor>
                  </w:drawing>
                </mc:Choice>
                <mc:Fallback>
                  <w:pict>
                    <v:shape id="对话气泡: 圆角矩形 476" o:spid="_x0000_s1026" o:spt="62" type="#_x0000_t62" style="position:absolute;left:0pt;margin-left:31.7pt;margin-top:18.9pt;height:20.35pt;width:31.9pt;z-index:251668480;v-text-anchor:middle;mso-width-relative:page;mso-height-relative:page;" fillcolor="#FFFFFF [3212]" filled="t" stroked="t" coordsize="21600,21600" o:gfxdata="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" adj="44340,-4832,14400">
                      <v:fill on="t" focussize="0,0"/>
                      <v:stroke weight="1pt" color="#0D0D0D [3069]" miterlimit="8" joinstyle="miter"/>
                      <v:imagedata o:title=""/>
                      <o:lock v:ext="edit" aspectratio="f"/>
                      <v:textbox inset="0.5mm,0.5mm,0.5mm,0.5mm">
                        <w:txbxContent>
                          <w:p w14:paraId="4C6D4BFB">
                            <w:pPr>
                              <w:ind w:firstLine="0" w:firstLineChars="0"/>
                              <w:rPr>
                                <w:color w:val="FF0000"/>
                              </w:rPr>
                            </w:pPr>
                            <w:r>
                              <w:rPr>
                                <w:rFonts w:hint="eastAsia"/>
                                <w:color w:val="FF0000"/>
                              </w:rPr>
                              <w:t>高铁</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937260</wp:posOffset>
                      </wp:positionH>
                      <wp:positionV relativeFrom="paragraph">
                        <wp:posOffset>1414780</wp:posOffset>
                      </wp:positionV>
                      <wp:extent cx="989330" cy="299720"/>
                      <wp:effectExtent l="0" t="0" r="1270" b="5080"/>
                      <wp:wrapNone/>
                      <wp:docPr id="473" name="文本框 473"/>
                      <wp:cNvGraphicFramePr/>
                      <a:graphic xmlns:a="http://schemas.openxmlformats.org/drawingml/2006/main">
                        <a:graphicData uri="http://schemas.microsoft.com/office/word/2010/wordprocessingShape">
                          <wps:wsp>
                            <wps:cNvSpPr txBox="1"/>
                            <wps:spPr>
                              <a:xfrm>
                                <a:off x="0" y="0"/>
                                <a:ext cx="989330" cy="299720"/>
                              </a:xfrm>
                              <a:prstGeom prst="rect">
                                <a:avLst/>
                              </a:prstGeom>
                              <a:noFill/>
                              <a:ln w="6350">
                                <a:noFill/>
                              </a:ln>
                            </wps:spPr>
                            <wps:txbx>
                              <w:txbxContent>
                                <w:p w14:paraId="363213F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上张村王房</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3.8pt;margin-top:111.4pt;height:23.6pt;width:77.9pt;z-index:251666432;mso-width-relative:page;mso-height-relative:page;" filled="f" stroked="f" coordsize="21600,21600" o:gfxdata="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KbteCPZAAAACwEAAA8AAAAAAAAAAQAgAAAAIgAAAGRycy9kb3ducmV2&#10;LnhtbFBLAQIUABQAAAAIAIdO4kARP4b4NAIAAFkEAAAOAAAAAAAAAAEAIAAAACgBAABkcnMvZTJv&#10;RG9jLnhtbFBLBQYAAAAABgAGAFkBAADOBQAAAAA=&#10;">
                      <v:fill on="f" focussize="0,0"/>
                      <v:stroke on="f" weight="0.5pt"/>
                      <v:imagedata o:title=""/>
                      <o:lock v:ext="edit" aspectratio="f"/>
                      <v:textbox inset="0mm,0mm,0mm,0mm">
                        <w:txbxContent>
                          <w:p w14:paraId="363213F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上张村王房</w:t>
                            </w:r>
                          </w:p>
                        </w:txbxContent>
                      </v:textbox>
                    </v:shape>
                  </w:pict>
                </mc:Fallback>
              </mc:AlternateContent>
            </w:r>
            <w:r>
              <w:rPr>
                <w:color w:val="000000" w:themeColor="text1"/>
                <w14:textFill>
                  <w14:solidFill>
                    <w14:schemeClr w14:val="tx1"/>
                  </w14:solidFill>
                </w14:textFill>
              </w:rPr>
              <w:drawing>
                <wp:inline distT="0" distB="0" distL="0" distR="0">
                  <wp:extent cx="3657600" cy="2717800"/>
                  <wp:effectExtent l="0" t="0" r="0" b="635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pic:cNvPicPr>
                        </pic:nvPicPr>
                        <pic:blipFill>
                          <a:blip r:embed="rId49" cstate="email"/>
                          <a:srcRect/>
                          <a:stretch>
                            <a:fillRect/>
                          </a:stretch>
                        </pic:blipFill>
                        <pic:spPr>
                          <a:xfrm>
                            <a:off x="0" y="0"/>
                            <a:ext cx="3662769" cy="2721980"/>
                          </a:xfrm>
                          <a:prstGeom prst="rect">
                            <a:avLst/>
                          </a:prstGeom>
                          <a:ln>
                            <a:noFill/>
                          </a:ln>
                        </pic:spPr>
                      </pic:pic>
                    </a:graphicData>
                  </a:graphic>
                </wp:inline>
              </w:drawing>
            </w:r>
          </w:p>
        </w:tc>
        <w:tc>
          <w:tcPr>
            <w:tcW w:w="645" w:type="pct"/>
            <w:vMerge w:val="restart"/>
            <w:shd w:val="clear" w:color="auto" w:fill="auto"/>
            <w:vAlign w:val="center"/>
          </w:tcPr>
          <w:p w14:paraId="2C9937B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27" o:spt="75" type="#_x0000_t75" style="height:67pt;width:136.15pt;" o:ole="t" filled="f" o:preferrelative="t" stroked="f" coordsize="21600,21600">
                  <v:path/>
                  <v:fill on="f" focussize="0,0"/>
                  <v:stroke on="f" joinstyle="miter"/>
                  <v:imagedata r:id="rId51" o:title=""/>
                  <o:lock v:ext="edit" aspectratio="t"/>
                  <w10:wrap type="none"/>
                  <w10:anchorlock/>
                </v:shape>
                <o:OLEObject Type="Embed" ProgID="AutoCAD.Drawing.24" ShapeID="_x0000_i1027" DrawAspect="Content" ObjectID="_1468075727" r:id="rId50">
                  <o:LockedField>false</o:LockedField>
                </o:OLEObject>
              </w:object>
            </w:r>
          </w:p>
        </w:tc>
      </w:tr>
      <w:tr w14:paraId="6094FC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255" w:hRule="atLeast"/>
          <w:jc w:val="center"/>
        </w:trPr>
        <w:tc>
          <w:tcPr>
            <w:tcW w:w="66" w:type="pct"/>
            <w:vMerge w:val="continue"/>
            <w:shd w:val="clear" w:color="auto" w:fill="auto"/>
            <w:vAlign w:val="center"/>
          </w:tcPr>
          <w:p w14:paraId="19A2AD60">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0DE49FEE">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4681C6C8">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5D4EF06C">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5C8DA4EB">
            <w:pPr>
              <w:pStyle w:val="105"/>
              <w:jc w:val="center"/>
              <w:rPr>
                <w:color w:val="000000" w:themeColor="text1"/>
                <w:sz w:val="18"/>
                <w:szCs w:val="18"/>
                <w14:textFill>
                  <w14:solidFill>
                    <w14:schemeClr w14:val="tx1"/>
                  </w14:solidFill>
                </w14:textFill>
              </w:rPr>
            </w:pPr>
          </w:p>
        </w:tc>
        <w:tc>
          <w:tcPr>
            <w:tcW w:w="99" w:type="pct"/>
            <w:vMerge w:val="continue"/>
            <w:shd w:val="clear" w:color="auto" w:fill="auto"/>
            <w:vAlign w:val="center"/>
          </w:tcPr>
          <w:p w14:paraId="693B7C4B">
            <w:pPr>
              <w:pStyle w:val="105"/>
              <w:jc w:val="center"/>
              <w:rPr>
                <w:color w:val="000000" w:themeColor="text1"/>
                <w:sz w:val="18"/>
                <w:szCs w:val="18"/>
                <w14:textFill>
                  <w14:solidFill>
                    <w14:schemeClr w14:val="tx1"/>
                  </w14:solidFill>
                </w14:textFill>
              </w:rPr>
            </w:pPr>
          </w:p>
        </w:tc>
        <w:tc>
          <w:tcPr>
            <w:tcW w:w="99" w:type="pct"/>
            <w:shd w:val="clear" w:color="auto" w:fill="auto"/>
            <w:vAlign w:val="center"/>
          </w:tcPr>
          <w:p w14:paraId="3EFFE94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6EFD622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1~+3</w:t>
            </w:r>
          </w:p>
        </w:tc>
        <w:tc>
          <w:tcPr>
            <w:tcW w:w="166" w:type="pct"/>
            <w:shd w:val="clear" w:color="auto" w:fill="auto"/>
            <w:vAlign w:val="center"/>
          </w:tcPr>
          <w:p w14:paraId="12595AA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57</w:t>
            </w:r>
          </w:p>
        </w:tc>
        <w:tc>
          <w:tcPr>
            <w:tcW w:w="166" w:type="pct"/>
            <w:shd w:val="clear" w:color="auto" w:fill="auto"/>
            <w:vAlign w:val="center"/>
          </w:tcPr>
          <w:p w14:paraId="28C21BC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63</w:t>
            </w:r>
          </w:p>
        </w:tc>
        <w:tc>
          <w:tcPr>
            <w:tcW w:w="132" w:type="pct"/>
            <w:shd w:val="clear" w:color="auto" w:fill="auto"/>
            <w:vAlign w:val="center"/>
          </w:tcPr>
          <w:p w14:paraId="048FCE2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166" w:type="pct"/>
            <w:shd w:val="clear" w:color="auto" w:fill="auto"/>
            <w:vAlign w:val="center"/>
          </w:tcPr>
          <w:p w14:paraId="70E219B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7</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92</w:t>
            </w:r>
            <w:r>
              <w:rPr>
                <w:rFonts w:hint="eastAsia"/>
                <w:color w:val="000000" w:themeColor="text1"/>
                <w:sz w:val="18"/>
                <w:szCs w:val="18"/>
                <w14:textFill>
                  <w14:solidFill>
                    <w14:schemeClr w14:val="tx1"/>
                  </w14:solidFill>
                </w14:textFill>
              </w:rPr>
              <w:t>人</w:t>
            </w:r>
          </w:p>
        </w:tc>
        <w:tc>
          <w:tcPr>
            <w:tcW w:w="397" w:type="pct"/>
            <w:vMerge w:val="continue"/>
            <w:shd w:val="clear" w:color="auto" w:fill="auto"/>
          </w:tcPr>
          <w:p w14:paraId="4240763A">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1C240F2A">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6F4F3AE0">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0E50644D">
            <w:pPr>
              <w:pStyle w:val="105"/>
              <w:ind w:left="-120" w:leftChars="-50" w:right="-120" w:rightChars="-50"/>
              <w:jc w:val="center"/>
              <w:rPr>
                <w:color w:val="000000" w:themeColor="text1"/>
                <w:sz w:val="18"/>
                <w:szCs w:val="18"/>
                <w14:textFill>
                  <w14:solidFill>
                    <w14:schemeClr w14:val="tx1"/>
                  </w14:solidFill>
                </w14:textFill>
              </w:rPr>
            </w:pPr>
          </w:p>
        </w:tc>
      </w:tr>
      <w:tr w14:paraId="0B8314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jc w:val="center"/>
        </w:trPr>
        <w:tc>
          <w:tcPr>
            <w:tcW w:w="66" w:type="pct"/>
            <w:vMerge w:val="continue"/>
            <w:shd w:val="clear" w:color="auto" w:fill="auto"/>
            <w:vAlign w:val="center"/>
          </w:tcPr>
          <w:p w14:paraId="6EEF02E3">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1164A66A">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319AAD5D">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3398A36C">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1DD04EEE">
            <w:pPr>
              <w:pStyle w:val="105"/>
              <w:jc w:val="center"/>
              <w:rPr>
                <w:color w:val="000000" w:themeColor="text1"/>
                <w:sz w:val="18"/>
                <w:szCs w:val="18"/>
                <w14:textFill>
                  <w14:solidFill>
                    <w14:schemeClr w14:val="tx1"/>
                  </w14:solidFill>
                </w14:textFill>
              </w:rPr>
            </w:pPr>
          </w:p>
        </w:tc>
        <w:tc>
          <w:tcPr>
            <w:tcW w:w="99" w:type="pct"/>
            <w:vMerge w:val="continue"/>
            <w:shd w:val="clear" w:color="auto" w:fill="auto"/>
            <w:vAlign w:val="center"/>
          </w:tcPr>
          <w:p w14:paraId="293D9F47">
            <w:pPr>
              <w:pStyle w:val="105"/>
              <w:jc w:val="center"/>
              <w:rPr>
                <w:color w:val="000000" w:themeColor="text1"/>
                <w:sz w:val="18"/>
                <w:szCs w:val="18"/>
                <w14:textFill>
                  <w14:solidFill>
                    <w14:schemeClr w14:val="tx1"/>
                  </w14:solidFill>
                </w14:textFill>
              </w:rPr>
            </w:pPr>
          </w:p>
        </w:tc>
        <w:tc>
          <w:tcPr>
            <w:tcW w:w="99" w:type="pct"/>
            <w:shd w:val="clear" w:color="auto" w:fill="auto"/>
            <w:vAlign w:val="center"/>
          </w:tcPr>
          <w:p w14:paraId="721C237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1634D92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w:t>
            </w:r>
          </w:p>
        </w:tc>
        <w:tc>
          <w:tcPr>
            <w:tcW w:w="166" w:type="pct"/>
            <w:shd w:val="clear" w:color="auto" w:fill="auto"/>
            <w:vAlign w:val="center"/>
          </w:tcPr>
          <w:p w14:paraId="484DD15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166" w:type="pct"/>
            <w:shd w:val="clear" w:color="auto" w:fill="auto"/>
            <w:vAlign w:val="center"/>
          </w:tcPr>
          <w:p w14:paraId="045A402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9</w:t>
            </w:r>
          </w:p>
        </w:tc>
        <w:tc>
          <w:tcPr>
            <w:tcW w:w="132" w:type="pct"/>
            <w:shd w:val="clear" w:color="auto" w:fill="auto"/>
            <w:vAlign w:val="center"/>
          </w:tcPr>
          <w:p w14:paraId="4B8ED028">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166" w:type="pct"/>
            <w:shd w:val="clear" w:color="auto" w:fill="auto"/>
            <w:vAlign w:val="center"/>
          </w:tcPr>
          <w:p w14:paraId="24761E0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7</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92</w:t>
            </w:r>
            <w:r>
              <w:rPr>
                <w:rFonts w:hint="eastAsia"/>
                <w:color w:val="000000" w:themeColor="text1"/>
                <w:sz w:val="18"/>
                <w:szCs w:val="18"/>
                <w14:textFill>
                  <w14:solidFill>
                    <w14:schemeClr w14:val="tx1"/>
                  </w14:solidFill>
                </w14:textFill>
              </w:rPr>
              <w:t>人</w:t>
            </w:r>
          </w:p>
        </w:tc>
        <w:tc>
          <w:tcPr>
            <w:tcW w:w="397" w:type="pct"/>
            <w:vMerge w:val="continue"/>
            <w:shd w:val="clear" w:color="auto" w:fill="auto"/>
          </w:tcPr>
          <w:p w14:paraId="017B3DFA">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47F1EC99">
            <w:pPr>
              <w:pStyle w:val="105"/>
              <w:jc w:val="center"/>
              <w:rPr>
                <w:color w:val="000000" w:themeColor="text1"/>
                <w:sz w:val="18"/>
                <w:szCs w:val="18"/>
                <w14:textFill>
                  <w14:solidFill>
                    <w14:schemeClr w14:val="tx1"/>
                  </w14:solidFill>
                </w14:textFill>
              </w:rPr>
            </w:pPr>
          </w:p>
        </w:tc>
        <w:tc>
          <w:tcPr>
            <w:tcW w:w="1340" w:type="pct"/>
            <w:vMerge w:val="continue"/>
            <w:shd w:val="clear" w:color="auto" w:fill="auto"/>
            <w:vAlign w:val="center"/>
          </w:tcPr>
          <w:p w14:paraId="693267F8">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4D2C3BE8">
            <w:pPr>
              <w:pStyle w:val="105"/>
              <w:ind w:left="-120" w:leftChars="-50" w:right="-120" w:rightChars="-50"/>
              <w:jc w:val="center"/>
              <w:rPr>
                <w:color w:val="000000" w:themeColor="text1"/>
                <w:sz w:val="18"/>
                <w:szCs w:val="18"/>
                <w14:textFill>
                  <w14:solidFill>
                    <w14:schemeClr w14:val="tx1"/>
                  </w14:solidFill>
                </w14:textFill>
              </w:rPr>
            </w:pPr>
          </w:p>
        </w:tc>
      </w:tr>
      <w:tr w14:paraId="486389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111" w:hRule="atLeast"/>
          <w:jc w:val="center"/>
        </w:trPr>
        <w:tc>
          <w:tcPr>
            <w:tcW w:w="66" w:type="pct"/>
            <w:vMerge w:val="restart"/>
            <w:shd w:val="clear" w:color="auto" w:fill="auto"/>
            <w:vAlign w:val="center"/>
          </w:tcPr>
          <w:p w14:paraId="6896534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p>
        </w:tc>
        <w:tc>
          <w:tcPr>
            <w:tcW w:w="133" w:type="pct"/>
            <w:vMerge w:val="restart"/>
            <w:shd w:val="clear" w:color="auto" w:fill="auto"/>
            <w:vAlign w:val="center"/>
          </w:tcPr>
          <w:p w14:paraId="2BB27CB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联华村后郑</w:t>
            </w:r>
          </w:p>
        </w:tc>
        <w:tc>
          <w:tcPr>
            <w:tcW w:w="132" w:type="pct"/>
            <w:vMerge w:val="restart"/>
            <w:shd w:val="clear" w:color="auto" w:fill="auto"/>
            <w:vAlign w:val="center"/>
          </w:tcPr>
          <w:p w14:paraId="14BC45A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3B00451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1+560~K1+820</w:t>
            </w:r>
          </w:p>
        </w:tc>
        <w:tc>
          <w:tcPr>
            <w:tcW w:w="100" w:type="pct"/>
            <w:vMerge w:val="restart"/>
            <w:shd w:val="clear" w:color="auto" w:fill="auto"/>
            <w:vAlign w:val="center"/>
          </w:tcPr>
          <w:p w14:paraId="5E49BFB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地面线路（路基）</w:t>
            </w:r>
          </w:p>
        </w:tc>
        <w:tc>
          <w:tcPr>
            <w:tcW w:w="99" w:type="pct"/>
            <w:shd w:val="clear" w:color="auto" w:fill="auto"/>
            <w:vAlign w:val="center"/>
          </w:tcPr>
          <w:p w14:paraId="1EFB44C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w:t>
            </w:r>
          </w:p>
        </w:tc>
        <w:tc>
          <w:tcPr>
            <w:tcW w:w="99" w:type="pct"/>
            <w:shd w:val="clear" w:color="auto" w:fill="auto"/>
            <w:vAlign w:val="center"/>
          </w:tcPr>
          <w:p w14:paraId="0419C37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7E0783E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64B87F8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p>
        </w:tc>
        <w:tc>
          <w:tcPr>
            <w:tcW w:w="166" w:type="pct"/>
            <w:shd w:val="clear" w:color="auto" w:fill="auto"/>
            <w:vAlign w:val="center"/>
          </w:tcPr>
          <w:p w14:paraId="37ADAE5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1</w:t>
            </w:r>
          </w:p>
        </w:tc>
        <w:tc>
          <w:tcPr>
            <w:tcW w:w="132" w:type="pct"/>
            <w:shd w:val="clear" w:color="auto" w:fill="auto"/>
            <w:vAlign w:val="center"/>
          </w:tcPr>
          <w:p w14:paraId="58117DA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24B4914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12</w:t>
            </w:r>
            <w:r>
              <w:rPr>
                <w:rFonts w:hint="eastAsia"/>
                <w:color w:val="000000" w:themeColor="text1"/>
                <w:sz w:val="18"/>
                <w:szCs w:val="18"/>
                <w14:textFill>
                  <w14:solidFill>
                    <w14:schemeClr w14:val="tx1"/>
                  </w14:solidFill>
                </w14:textFill>
              </w:rPr>
              <w:t>人</w:t>
            </w:r>
          </w:p>
        </w:tc>
        <w:tc>
          <w:tcPr>
            <w:tcW w:w="397" w:type="pct"/>
            <w:vMerge w:val="restart"/>
            <w:shd w:val="clear" w:color="auto" w:fill="auto"/>
          </w:tcPr>
          <w:p w14:paraId="5F5BE5A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3~6</w:t>
            </w:r>
            <w:r>
              <w:rPr>
                <w:rFonts w:hint="eastAsia"/>
                <w:color w:val="000000" w:themeColor="text1"/>
                <w:sz w:val="18"/>
                <w:szCs w:val="18"/>
                <w14:textFill>
                  <w14:solidFill>
                    <w14:schemeClr w14:val="tx1"/>
                  </w14:solidFill>
                </w14:textFill>
              </w:rPr>
              <w:t>层，主要建筑侧向、背对拟建道路（南），铝合金推拉窗，周边园地，与道路之间无密集林带。</w:t>
            </w:r>
          </w:p>
        </w:tc>
        <w:tc>
          <w:tcPr>
            <w:tcW w:w="994" w:type="pct"/>
            <w:vMerge w:val="restart"/>
            <w:shd w:val="clear" w:color="auto" w:fill="auto"/>
            <w:vAlign w:val="center"/>
          </w:tcPr>
          <w:p w14:paraId="1B0F28DD">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1818005</wp:posOffset>
                      </wp:positionH>
                      <wp:positionV relativeFrom="paragraph">
                        <wp:posOffset>791845</wp:posOffset>
                      </wp:positionV>
                      <wp:extent cx="989330" cy="299720"/>
                      <wp:effectExtent l="0" t="0" r="1270" b="5080"/>
                      <wp:wrapNone/>
                      <wp:docPr id="480" name="文本框 480"/>
                      <wp:cNvGraphicFramePr/>
                      <a:graphic xmlns:a="http://schemas.openxmlformats.org/drawingml/2006/main">
                        <a:graphicData uri="http://schemas.microsoft.com/office/word/2010/wordprocessingShape">
                          <wps:wsp>
                            <wps:cNvSpPr txBox="1"/>
                            <wps:spPr>
                              <a:xfrm>
                                <a:off x="0" y="0"/>
                                <a:ext cx="989330" cy="299720"/>
                              </a:xfrm>
                              <a:prstGeom prst="rect">
                                <a:avLst/>
                              </a:prstGeom>
                              <a:noFill/>
                              <a:ln w="6350">
                                <a:noFill/>
                              </a:ln>
                            </wps:spPr>
                            <wps:txbx>
                              <w:txbxContent>
                                <w:p w14:paraId="447F0E8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上张村王房</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43.15pt;margin-top:62.35pt;height:23.6pt;width:77.9pt;z-index:251676672;mso-width-relative:page;mso-height-relative:page;" filled="f" stroked="f" coordsize="21600,21600" o:gfxdata="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4Iyv3ZAAAACwEAAA8AAAAAAAAAAQAgAAAAIgAAAGRycy9kb3ducmV2&#10;LnhtbFBLAQIUABQAAAAIAIdO4kBBY+BBNAIAAFkEAAAOAAAAAAAAAAEAIAAAACgBAABkcnMvZTJv&#10;RG9jLnhtbFBLBQYAAAAABgAGAFkBAADOBQAAAAA=&#10;">
                      <v:fill on="f" focussize="0,0"/>
                      <v:stroke on="f" weight="0.5pt"/>
                      <v:imagedata o:title=""/>
                      <o:lock v:ext="edit" aspectratio="f"/>
                      <v:textbox inset="0mm,0mm,0mm,0mm">
                        <w:txbxContent>
                          <w:p w14:paraId="447F0E8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上张村王房</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801370</wp:posOffset>
                      </wp:positionH>
                      <wp:positionV relativeFrom="paragraph">
                        <wp:posOffset>1913255</wp:posOffset>
                      </wp:positionV>
                      <wp:extent cx="989330" cy="299720"/>
                      <wp:effectExtent l="0" t="0" r="1270" b="5080"/>
                      <wp:wrapNone/>
                      <wp:docPr id="481" name="文本框 481"/>
                      <wp:cNvGraphicFramePr/>
                      <a:graphic xmlns:a="http://schemas.openxmlformats.org/drawingml/2006/main">
                        <a:graphicData uri="http://schemas.microsoft.com/office/word/2010/wordprocessingShape">
                          <wps:wsp>
                            <wps:cNvSpPr txBox="1"/>
                            <wps:spPr>
                              <a:xfrm>
                                <a:off x="0" y="0"/>
                                <a:ext cx="989330" cy="299720"/>
                              </a:xfrm>
                              <a:prstGeom prst="rect">
                                <a:avLst/>
                              </a:prstGeom>
                              <a:noFill/>
                              <a:ln w="6350">
                                <a:noFill/>
                              </a:ln>
                            </wps:spPr>
                            <wps:txbx>
                              <w:txbxContent>
                                <w:p w14:paraId="03E2CF5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联华村后郑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63.1pt;margin-top:150.65pt;height:23.6pt;width:77.9pt;z-index:251677696;mso-width-relative:page;mso-height-relative:page;" filled="f" stroked="f" coordsize="21600,21600" o:gfxdata="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ZWthtgAAAALAQAADwAAAAAAAAABACAAAAAiAAAAZHJzL2Rvd25yZXYu&#10;eG1sUEsBAhQAFAAAAAgAh07iQK88zBw0AgAAWQQAAA4AAAAAAAAAAQAgAAAAJwEAAGRycy9lMm9E&#10;b2MueG1sUEsFBgAAAAAGAAYAWQEAAM0FAAAAAA==&#10;">
                      <v:fill on="f" focussize="0,0"/>
                      <v:stroke on="f" weight="0.5pt"/>
                      <v:imagedata o:title=""/>
                      <o:lock v:ext="edit" aspectratio="f"/>
                      <v:textbox inset="0mm,0mm,0mm,0mm">
                        <w:txbxContent>
                          <w:p w14:paraId="03E2CF5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联华村后郑</w:t>
                            </w:r>
                          </w:p>
                        </w:txbxContent>
                      </v:textbox>
                    </v:shape>
                  </w:pict>
                </mc:Fallback>
              </mc:AlternateContent>
            </w:r>
            <w:r>
              <w:rPr>
                <w:color w:val="000000" w:themeColor="text1"/>
                <w14:textFill>
                  <w14:solidFill>
                    <w14:schemeClr w14:val="tx1"/>
                  </w14:solidFill>
                </w14:textFill>
              </w:rPr>
              <w:drawing>
                <wp:inline distT="0" distB="0" distL="0" distR="0">
                  <wp:extent cx="2724150" cy="2816225"/>
                  <wp:effectExtent l="0" t="0" r="0" b="3175"/>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noChangeArrowheads="1"/>
                          </pic:cNvPicPr>
                        </pic:nvPicPr>
                        <pic:blipFill>
                          <a:blip r:embed="rId52" cstate="email"/>
                          <a:srcRect/>
                          <a:stretch>
                            <a:fillRect/>
                          </a:stretch>
                        </pic:blipFill>
                        <pic:spPr>
                          <a:xfrm>
                            <a:off x="0" y="0"/>
                            <a:ext cx="2731028" cy="2823156"/>
                          </a:xfrm>
                          <a:prstGeom prst="rect">
                            <a:avLst/>
                          </a:prstGeom>
                          <a:noFill/>
                          <a:ln>
                            <a:noFill/>
                          </a:ln>
                        </pic:spPr>
                      </pic:pic>
                    </a:graphicData>
                  </a:graphic>
                </wp:inline>
              </w:drawing>
            </w:r>
          </w:p>
        </w:tc>
        <w:tc>
          <w:tcPr>
            <w:tcW w:w="1340" w:type="pct"/>
            <w:vMerge w:val="restart"/>
            <w:shd w:val="clear" w:color="auto" w:fill="auto"/>
            <w:vAlign w:val="center"/>
          </w:tcPr>
          <w:p w14:paraId="4E3111DF">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2790190</wp:posOffset>
                      </wp:positionH>
                      <wp:positionV relativeFrom="paragraph">
                        <wp:posOffset>60325</wp:posOffset>
                      </wp:positionV>
                      <wp:extent cx="908685" cy="2134870"/>
                      <wp:effectExtent l="0" t="19050" r="43815" b="36830"/>
                      <wp:wrapNone/>
                      <wp:docPr id="479" name="箭头: 下 479"/>
                      <wp:cNvGraphicFramePr/>
                      <a:graphic xmlns:a="http://schemas.openxmlformats.org/drawingml/2006/main">
                        <a:graphicData uri="http://schemas.microsoft.com/office/word/2010/wordprocessingShape">
                          <wps:wsp>
                            <wps:cNvSpPr/>
                            <wps:spPr>
                              <a:xfrm rot="11200367">
                                <a:off x="0" y="0"/>
                                <a:ext cx="908685" cy="2134870"/>
                              </a:xfrm>
                              <a:prstGeom prst="downArrow">
                                <a:avLst>
                                  <a:gd name="adj1" fmla="val 50000"/>
                                  <a:gd name="adj2" fmla="val 94415"/>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479" o:spid="_x0000_s1026" o:spt="67" type="#_x0000_t67" style="position:absolute;left:0pt;margin-left:219.7pt;margin-top:4.75pt;height:168.1pt;width:71.55pt;rotation:-11359172f;z-index:251675648;v-text-anchor:middle;mso-width-relative:page;mso-height-relative:page;" fillcolor="#FF0000" filled="t" stroked="t" coordsize="21600,21600" o:gfxdata="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BP15Vl2gAAAAkBAAAPAAAAAAAAAAEA&#10;IAAAACIAAABkcnMvZG93bnJldi54bWxQSwECFAAUAAAACACHTuJAMNGetbgCAACDBQAADgAAAAAA&#10;AAABACAAAAApAQAAZHJzL2Uyb0RvYy54bWxQSwUGAAAAAAYABgBZAQAAUwYAAAAA&#10;" adj="12920,5400">
                      <v:fill on="t" opacity="13107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439420</wp:posOffset>
                      </wp:positionH>
                      <wp:positionV relativeFrom="paragraph">
                        <wp:posOffset>1100455</wp:posOffset>
                      </wp:positionV>
                      <wp:extent cx="989330" cy="299720"/>
                      <wp:effectExtent l="0" t="0" r="1270" b="5080"/>
                      <wp:wrapNone/>
                      <wp:docPr id="483" name="文本框 483"/>
                      <wp:cNvGraphicFramePr/>
                      <a:graphic xmlns:a="http://schemas.openxmlformats.org/drawingml/2006/main">
                        <a:graphicData uri="http://schemas.microsoft.com/office/word/2010/wordprocessingShape">
                          <wps:wsp>
                            <wps:cNvSpPr txBox="1"/>
                            <wps:spPr>
                              <a:xfrm>
                                <a:off x="0" y="0"/>
                                <a:ext cx="989330" cy="299720"/>
                              </a:xfrm>
                              <a:prstGeom prst="rect">
                                <a:avLst/>
                              </a:prstGeom>
                              <a:noFill/>
                              <a:ln w="6350">
                                <a:noFill/>
                              </a:ln>
                            </wps:spPr>
                            <wps:txbx>
                              <w:txbxContent>
                                <w:p w14:paraId="43D7C620">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联华村后郑</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4.6pt;margin-top:86.65pt;height:23.6pt;width:77.9pt;z-index:251678720;mso-width-relative:page;mso-height-relative:page;" filled="f" stroked="f" coordsize="21600,21600" o:gfxdata="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IMBhS2AAAAAoBAAAPAAAAAAAAAAEAIAAAACIAAABkcnMvZG93bnJldi54&#10;bWxQSwECFAAUAAAACACHTuJAc4OUpjMCAABZBAAADgAAAAAAAAABACAAAAAnAQAAZHJzL2Uyb0Rv&#10;Yy54bWxQSwUGAAAAAAYABgBZAQAAzAUAAAAA&#10;">
                      <v:fill on="f" focussize="0,0"/>
                      <v:stroke on="f" weight="0.5pt"/>
                      <v:imagedata o:title=""/>
                      <o:lock v:ext="edit" aspectratio="f"/>
                      <v:textbox inset="0mm,0mm,0mm,0mm">
                        <w:txbxContent>
                          <w:p w14:paraId="43D7C620">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联华村后郑</w:t>
                            </w:r>
                          </w:p>
                        </w:txbxContent>
                      </v:textbox>
                    </v:shape>
                  </w:pict>
                </mc:Fallback>
              </mc:AlternateContent>
            </w:r>
            <w:r>
              <w:rPr>
                <w:color w:val="000000" w:themeColor="text1"/>
                <w14:textFill>
                  <w14:solidFill>
                    <w14:schemeClr w14:val="tx1"/>
                  </w14:solidFill>
                </w14:textFill>
              </w:rPr>
              <w:drawing>
                <wp:inline distT="0" distB="0" distL="0" distR="0">
                  <wp:extent cx="3660775" cy="2395855"/>
                  <wp:effectExtent l="0" t="0" r="0" b="4445"/>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53" cstate="email"/>
                          <a:srcRect/>
                          <a:stretch>
                            <a:fillRect/>
                          </a:stretch>
                        </pic:blipFill>
                        <pic:spPr>
                          <a:xfrm>
                            <a:off x="0" y="0"/>
                            <a:ext cx="3663624" cy="2397705"/>
                          </a:xfrm>
                          <a:prstGeom prst="rect">
                            <a:avLst/>
                          </a:prstGeom>
                          <a:ln>
                            <a:noFill/>
                          </a:ln>
                        </pic:spPr>
                      </pic:pic>
                    </a:graphicData>
                  </a:graphic>
                </wp:inline>
              </w:drawing>
            </w:r>
          </w:p>
        </w:tc>
        <w:tc>
          <w:tcPr>
            <w:tcW w:w="645" w:type="pct"/>
            <w:vMerge w:val="restart"/>
            <w:shd w:val="clear" w:color="auto" w:fill="auto"/>
            <w:vAlign w:val="center"/>
          </w:tcPr>
          <w:p w14:paraId="20A79F00">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28" o:spt="75" type="#_x0000_t75" style="height:98.9pt;width:138pt;" o:ole="t" filled="f" o:preferrelative="t" stroked="f" coordsize="21600,21600">
                  <v:path/>
                  <v:fill on="f" focussize="0,0"/>
                  <v:stroke on="f" joinstyle="miter"/>
                  <v:imagedata r:id="rId55" cropleft="14418f" cropright="10508f" cropbottom="5555f" o:title=""/>
                  <o:lock v:ext="edit" aspectratio="t"/>
                  <w10:wrap type="none"/>
                  <w10:anchorlock/>
                </v:shape>
                <o:OLEObject Type="Embed" ProgID="AutoCAD.Drawing.24" ShapeID="_x0000_i1028" DrawAspect="Content" ObjectID="_1468075728" r:id="rId54">
                  <o:LockedField>false</o:LockedField>
                </o:OLEObject>
              </w:object>
            </w:r>
          </w:p>
        </w:tc>
      </w:tr>
      <w:tr w14:paraId="7A5EF7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120" w:hRule="atLeast"/>
          <w:jc w:val="center"/>
        </w:trPr>
        <w:tc>
          <w:tcPr>
            <w:tcW w:w="66" w:type="pct"/>
            <w:vMerge w:val="continue"/>
            <w:shd w:val="clear" w:color="auto" w:fill="auto"/>
            <w:vAlign w:val="center"/>
          </w:tcPr>
          <w:p w14:paraId="58F99D56">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662F093C">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24BF1160">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370D48E8">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14731618">
            <w:pPr>
              <w:pStyle w:val="105"/>
              <w:jc w:val="center"/>
              <w:rPr>
                <w:color w:val="000000" w:themeColor="text1"/>
                <w:sz w:val="18"/>
                <w:szCs w:val="18"/>
                <w14:textFill>
                  <w14:solidFill>
                    <w14:schemeClr w14:val="tx1"/>
                  </w14:solidFill>
                </w14:textFill>
              </w:rPr>
            </w:pPr>
          </w:p>
        </w:tc>
        <w:tc>
          <w:tcPr>
            <w:tcW w:w="99" w:type="pct"/>
            <w:shd w:val="clear" w:color="auto" w:fill="auto"/>
            <w:vAlign w:val="center"/>
          </w:tcPr>
          <w:p w14:paraId="2EF901A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.2~1.885</w:t>
            </w:r>
          </w:p>
        </w:tc>
        <w:tc>
          <w:tcPr>
            <w:tcW w:w="99" w:type="pct"/>
            <w:shd w:val="clear" w:color="auto" w:fill="auto"/>
            <w:vAlign w:val="center"/>
          </w:tcPr>
          <w:p w14:paraId="16CF0CF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1C077F0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67D3213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7</w:t>
            </w:r>
          </w:p>
        </w:tc>
        <w:tc>
          <w:tcPr>
            <w:tcW w:w="166" w:type="pct"/>
            <w:shd w:val="clear" w:color="auto" w:fill="auto"/>
            <w:vAlign w:val="center"/>
          </w:tcPr>
          <w:p w14:paraId="1E22139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3</w:t>
            </w:r>
          </w:p>
        </w:tc>
        <w:tc>
          <w:tcPr>
            <w:tcW w:w="132" w:type="pct"/>
            <w:shd w:val="clear" w:color="auto" w:fill="auto"/>
            <w:vAlign w:val="center"/>
          </w:tcPr>
          <w:p w14:paraId="7615FBD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166" w:type="pct"/>
            <w:shd w:val="clear" w:color="auto" w:fill="auto"/>
            <w:vAlign w:val="center"/>
          </w:tcPr>
          <w:p w14:paraId="095BB37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21</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103</w:t>
            </w:r>
            <w:r>
              <w:rPr>
                <w:rFonts w:hint="eastAsia"/>
                <w:color w:val="000000" w:themeColor="text1"/>
                <w:sz w:val="18"/>
                <w:szCs w:val="18"/>
                <w14:textFill>
                  <w14:solidFill>
                    <w14:schemeClr w14:val="tx1"/>
                  </w14:solidFill>
                </w14:textFill>
              </w:rPr>
              <w:t>人</w:t>
            </w:r>
          </w:p>
        </w:tc>
        <w:tc>
          <w:tcPr>
            <w:tcW w:w="397" w:type="pct"/>
            <w:vMerge w:val="continue"/>
            <w:shd w:val="clear" w:color="auto" w:fill="auto"/>
          </w:tcPr>
          <w:p w14:paraId="10C66D7E">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14CD9222">
            <w:pPr>
              <w:pStyle w:val="105"/>
              <w:jc w:val="center"/>
              <w:rPr>
                <w:color w:val="000000" w:themeColor="text1"/>
                <w:sz w:val="18"/>
                <w:szCs w:val="18"/>
                <w14:textFill>
                  <w14:solidFill>
                    <w14:schemeClr w14:val="tx1"/>
                  </w14:solidFill>
                </w14:textFill>
              </w:rPr>
            </w:pPr>
          </w:p>
        </w:tc>
        <w:tc>
          <w:tcPr>
            <w:tcW w:w="1340" w:type="pct"/>
            <w:vMerge w:val="continue"/>
            <w:shd w:val="clear" w:color="auto" w:fill="auto"/>
            <w:vAlign w:val="center"/>
          </w:tcPr>
          <w:p w14:paraId="0EA6D178">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00981941">
            <w:pPr>
              <w:pStyle w:val="105"/>
              <w:ind w:left="-120" w:leftChars="-50" w:right="-120" w:rightChars="-50"/>
              <w:jc w:val="center"/>
              <w:rPr>
                <w:color w:val="000000" w:themeColor="text1"/>
                <w:sz w:val="18"/>
                <w:szCs w:val="18"/>
                <w14:textFill>
                  <w14:solidFill>
                    <w14:schemeClr w14:val="tx1"/>
                  </w14:solidFill>
                </w14:textFill>
              </w:rPr>
            </w:pPr>
          </w:p>
        </w:tc>
      </w:tr>
      <w:tr w14:paraId="40C9FB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565" w:hRule="atLeast"/>
          <w:jc w:val="center"/>
        </w:trPr>
        <w:tc>
          <w:tcPr>
            <w:tcW w:w="66" w:type="pct"/>
            <w:shd w:val="clear" w:color="auto" w:fill="auto"/>
            <w:vAlign w:val="center"/>
          </w:tcPr>
          <w:p w14:paraId="5554319A">
            <w:pPr>
              <w:pStyle w:val="105"/>
              <w:jc w:val="center"/>
              <w:rPr>
                <w:color w:val="000000" w:themeColor="text1"/>
                <w:sz w:val="18"/>
                <w:szCs w:val="18"/>
                <w14:textFill>
                  <w14:solidFill>
                    <w14:schemeClr w14:val="tx1"/>
                  </w14:solidFill>
                </w14:textFill>
              </w:rPr>
            </w:pPr>
          </w:p>
        </w:tc>
        <w:tc>
          <w:tcPr>
            <w:tcW w:w="133" w:type="pct"/>
            <w:shd w:val="clear" w:color="auto" w:fill="auto"/>
            <w:vAlign w:val="center"/>
          </w:tcPr>
          <w:p w14:paraId="59A9A03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基督教洋下堂</w:t>
            </w:r>
            <w:r>
              <w:rPr>
                <w:rFonts w:hint="eastAsia"/>
                <w:color w:val="000000" w:themeColor="text1"/>
                <w:sz w:val="18"/>
                <w:szCs w:val="18"/>
                <w:shd w:val="pct10" w:color="auto" w:fill="FFFFFF"/>
                <w14:textFill>
                  <w14:solidFill>
                    <w14:schemeClr w14:val="tx1"/>
                  </w14:solidFill>
                </w14:textFill>
              </w:rPr>
              <w:t>（不作为声环境敏感目标）</w:t>
            </w:r>
          </w:p>
        </w:tc>
        <w:tc>
          <w:tcPr>
            <w:tcW w:w="132" w:type="pct"/>
            <w:shd w:val="clear" w:color="auto" w:fill="auto"/>
            <w:vAlign w:val="center"/>
          </w:tcPr>
          <w:p w14:paraId="11C8163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shd w:val="clear" w:color="auto" w:fill="auto"/>
            <w:vAlign w:val="center"/>
          </w:tcPr>
          <w:p w14:paraId="44CD8CF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1+890</w:t>
            </w:r>
          </w:p>
        </w:tc>
        <w:tc>
          <w:tcPr>
            <w:tcW w:w="100" w:type="pct"/>
            <w:shd w:val="clear" w:color="auto" w:fill="auto"/>
            <w:vAlign w:val="center"/>
          </w:tcPr>
          <w:p w14:paraId="01123F4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地面线路（路基）</w:t>
            </w:r>
          </w:p>
        </w:tc>
        <w:tc>
          <w:tcPr>
            <w:tcW w:w="99" w:type="pct"/>
            <w:shd w:val="clear" w:color="auto" w:fill="auto"/>
            <w:vAlign w:val="center"/>
          </w:tcPr>
          <w:p w14:paraId="43C487D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.885</w:t>
            </w:r>
          </w:p>
        </w:tc>
        <w:tc>
          <w:tcPr>
            <w:tcW w:w="99" w:type="pct"/>
            <w:shd w:val="clear" w:color="auto" w:fill="auto"/>
            <w:vAlign w:val="center"/>
          </w:tcPr>
          <w:p w14:paraId="3DE80BD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1B24B36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4944008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60</w:t>
            </w:r>
          </w:p>
        </w:tc>
        <w:tc>
          <w:tcPr>
            <w:tcW w:w="166" w:type="pct"/>
            <w:shd w:val="clear" w:color="auto" w:fill="auto"/>
            <w:vAlign w:val="center"/>
          </w:tcPr>
          <w:p w14:paraId="59127DB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166</w:t>
            </w:r>
          </w:p>
        </w:tc>
        <w:tc>
          <w:tcPr>
            <w:tcW w:w="132" w:type="pct"/>
            <w:shd w:val="clear" w:color="auto" w:fill="auto"/>
            <w:vAlign w:val="center"/>
          </w:tcPr>
          <w:p w14:paraId="319B5E2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166" w:type="pct"/>
            <w:shd w:val="clear" w:color="auto" w:fill="auto"/>
            <w:vAlign w:val="center"/>
          </w:tcPr>
          <w:p w14:paraId="5DD5D3B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2栋</w:t>
            </w:r>
          </w:p>
        </w:tc>
        <w:tc>
          <w:tcPr>
            <w:tcW w:w="397" w:type="pct"/>
            <w:shd w:val="clear" w:color="auto" w:fill="auto"/>
          </w:tcPr>
          <w:p w14:paraId="5C94338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层。</w:t>
            </w:r>
          </w:p>
        </w:tc>
        <w:tc>
          <w:tcPr>
            <w:tcW w:w="994" w:type="pct"/>
            <w:vMerge w:val="restart"/>
            <w:shd w:val="clear" w:color="auto" w:fill="auto"/>
            <w:vAlign w:val="center"/>
          </w:tcPr>
          <w:p w14:paraId="6B21695D">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135255</wp:posOffset>
                      </wp:positionH>
                      <wp:positionV relativeFrom="paragraph">
                        <wp:posOffset>883920</wp:posOffset>
                      </wp:positionV>
                      <wp:extent cx="410210" cy="202565"/>
                      <wp:effectExtent l="0" t="0" r="27940" b="445135"/>
                      <wp:wrapNone/>
                      <wp:docPr id="11" name="对话气泡: 圆角矩形 11"/>
                      <wp:cNvGraphicFramePr/>
                      <a:graphic xmlns:a="http://schemas.openxmlformats.org/drawingml/2006/main">
                        <a:graphicData uri="http://schemas.microsoft.com/office/word/2010/wordprocessingShape">
                          <wps:wsp>
                            <wps:cNvSpPr/>
                            <wps:spPr>
                              <a:xfrm>
                                <a:off x="6483248" y="5288890"/>
                                <a:ext cx="410210" cy="202565"/>
                              </a:xfrm>
                              <a:prstGeom prst="wedgeRoundRectCallout">
                                <a:avLst>
                                  <a:gd name="adj1" fmla="val -24926"/>
                                  <a:gd name="adj2" fmla="val 227800"/>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2A217F">
                                  <w:pPr>
                                    <w:ind w:firstLine="0" w:firstLineChars="0"/>
                                    <w:rPr>
                                      <w:b/>
                                      <w:bCs/>
                                      <w:color w:val="FF0000"/>
                                      <w:sz w:val="18"/>
                                      <w:szCs w:val="16"/>
                                    </w:rPr>
                                  </w:pPr>
                                  <w:r>
                                    <w:rPr>
                                      <w:rFonts w:hint="eastAsia"/>
                                      <w:b/>
                                      <w:bCs/>
                                      <w:color w:val="FF0000"/>
                                      <w:sz w:val="18"/>
                                      <w:szCs w:val="16"/>
                                    </w:rPr>
                                    <w:t>侨丰村</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对话气泡: 圆角矩形 11" o:spid="_x0000_s1026" o:spt="62" type="#_x0000_t62" style="position:absolute;left:0pt;margin-left:10.65pt;margin-top:69.6pt;height:15.95pt;width:32.3pt;z-index:251681792;v-text-anchor:middle;mso-width-relative:page;mso-height-relative:page;" fillcolor="#FFFFFF [3212]" filled="t" stroked="t" coordsize="21600,21600" o:gfxdata="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" adj="5416,60005,14400">
                      <v:fill on="t" focussize="0,0"/>
                      <v:stroke weight="1pt" color="#FF0000 [3204]" miterlimit="8" joinstyle="miter"/>
                      <v:imagedata o:title=""/>
                      <o:lock v:ext="edit" aspectratio="f"/>
                      <v:textbox inset="0mm,0mm,0mm,0mm">
                        <w:txbxContent>
                          <w:p w14:paraId="562A217F">
                            <w:pPr>
                              <w:ind w:firstLine="0" w:firstLineChars="0"/>
                              <w:rPr>
                                <w:b/>
                                <w:bCs/>
                                <w:color w:val="FF0000"/>
                                <w:sz w:val="18"/>
                                <w:szCs w:val="16"/>
                              </w:rPr>
                            </w:pPr>
                            <w:r>
                              <w:rPr>
                                <w:rFonts w:hint="eastAsia"/>
                                <w:b/>
                                <w:bCs/>
                                <w:color w:val="FF0000"/>
                                <w:sz w:val="18"/>
                                <w:szCs w:val="16"/>
                              </w:rPr>
                              <w:t>侨丰村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789940</wp:posOffset>
                      </wp:positionH>
                      <wp:positionV relativeFrom="paragraph">
                        <wp:posOffset>509905</wp:posOffset>
                      </wp:positionV>
                      <wp:extent cx="839470" cy="264160"/>
                      <wp:effectExtent l="0" t="0" r="0" b="2540"/>
                      <wp:wrapNone/>
                      <wp:docPr id="958" name="文本框 958"/>
                      <wp:cNvGraphicFramePr/>
                      <a:graphic xmlns:a="http://schemas.openxmlformats.org/drawingml/2006/main">
                        <a:graphicData uri="http://schemas.microsoft.com/office/word/2010/wordprocessingShape">
                          <wps:wsp>
                            <wps:cNvSpPr txBox="1"/>
                            <wps:spPr>
                              <a:xfrm>
                                <a:off x="0" y="0"/>
                                <a:ext cx="839470" cy="264160"/>
                              </a:xfrm>
                              <a:prstGeom prst="rect">
                                <a:avLst/>
                              </a:prstGeom>
                              <a:noFill/>
                              <a:ln w="6350">
                                <a:noFill/>
                              </a:ln>
                            </wps:spPr>
                            <wps:txbx>
                              <w:txbxContent>
                                <w:p w14:paraId="4FE5954D">
                                  <w:pPr>
                                    <w:ind w:firstLine="0" w:firstLineChars="0"/>
                                    <w:rPr>
                                      <w:rFonts w:ascii="微软雅黑" w:hAnsi="微软雅黑" w:eastAsia="微软雅黑"/>
                                      <w:b/>
                                      <w:bCs/>
                                      <w:color w:val="FF0000"/>
                                      <w:sz w:val="15"/>
                                      <w:szCs w:val="13"/>
                                    </w:rPr>
                                  </w:pPr>
                                  <w:r>
                                    <w:rPr>
                                      <w:rFonts w:hint="eastAsia"/>
                                      <w:b/>
                                      <w:bCs/>
                                      <w:color w:val="FF0000"/>
                                      <w:sz w:val="18"/>
                                      <w:szCs w:val="18"/>
                                    </w:rPr>
                                    <w:t>鳗鱼苗基地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2.2pt;margin-top:40.15pt;height:20.8pt;width:66.1pt;z-index:251680768;mso-width-relative:page;mso-height-relative:page;" filled="f" stroked="f" coordsize="21600,21600" o:gfxdata="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bqdApNoAAAAKAQAADwAAAAAAAAABACAAAAAiAAAA&#10;ZHJzL2Rvd25yZXYueG1sUEsBAhQAFAAAAAgAh07iQBzg2z0+AgAAaQQAAA4AAAAAAAAAAQAgAAAA&#10;KQEAAGRycy9lMm9Eb2MueG1sUEsFBgAAAAAGAAYAWQEAANkFAAAAAA==&#10;">
                      <v:fill on="f" focussize="0,0"/>
                      <v:stroke on="f" weight="0.5pt"/>
                      <v:imagedata o:title=""/>
                      <o:lock v:ext="edit" aspectratio="f"/>
                      <v:textbox>
                        <w:txbxContent>
                          <w:p w14:paraId="4FE5954D">
                            <w:pPr>
                              <w:ind w:firstLine="0" w:firstLineChars="0"/>
                              <w:rPr>
                                <w:rFonts w:ascii="微软雅黑" w:hAnsi="微软雅黑" w:eastAsia="微软雅黑"/>
                                <w:b/>
                                <w:bCs/>
                                <w:color w:val="FF0000"/>
                                <w:sz w:val="15"/>
                                <w:szCs w:val="13"/>
                              </w:rPr>
                            </w:pPr>
                            <w:r>
                              <w:rPr>
                                <w:rFonts w:hint="eastAsia"/>
                                <w:b/>
                                <w:bCs/>
                                <w:color w:val="FF0000"/>
                                <w:sz w:val="18"/>
                                <w:szCs w:val="18"/>
                              </w:rPr>
                              <w:t>鳗鱼苗基地</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1852295</wp:posOffset>
                      </wp:positionH>
                      <wp:positionV relativeFrom="paragraph">
                        <wp:posOffset>43180</wp:posOffset>
                      </wp:positionV>
                      <wp:extent cx="746125" cy="202565"/>
                      <wp:effectExtent l="0" t="0" r="15875" b="349885"/>
                      <wp:wrapNone/>
                      <wp:docPr id="957" name="对话气泡: 圆角矩形 957"/>
                      <wp:cNvGraphicFramePr/>
                      <a:graphic xmlns:a="http://schemas.openxmlformats.org/drawingml/2006/main">
                        <a:graphicData uri="http://schemas.microsoft.com/office/word/2010/wordprocessingShape">
                          <wps:wsp>
                            <wps:cNvSpPr/>
                            <wps:spPr>
                              <a:xfrm>
                                <a:off x="8200339" y="4447642"/>
                                <a:ext cx="746125" cy="202565"/>
                              </a:xfrm>
                              <a:prstGeom prst="wedgeRoundRectCallout">
                                <a:avLst>
                                  <a:gd name="adj1" fmla="val 11056"/>
                                  <a:gd name="adj2" fmla="val 191687"/>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BC535B">
                                  <w:pPr>
                                    <w:ind w:firstLine="0" w:firstLineChars="0"/>
                                    <w:rPr>
                                      <w:b/>
                                      <w:bCs/>
                                      <w:color w:val="FF0000"/>
                                      <w:sz w:val="18"/>
                                      <w:szCs w:val="16"/>
                                    </w:rPr>
                                  </w:pPr>
                                  <w:r>
                                    <w:rPr>
                                      <w:rFonts w:hint="eastAsia"/>
                                      <w:b/>
                                      <w:bCs/>
                                      <w:color w:val="FF0000"/>
                                      <w:sz w:val="18"/>
                                      <w:szCs w:val="16"/>
                                    </w:rPr>
                                    <w:t>基督教洋下堂</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对话气泡: 圆角矩形 957" o:spid="_x0000_s1026" o:spt="62" type="#_x0000_t62" style="position:absolute;left:0pt;margin-left:145.85pt;margin-top:3.4pt;height:15.95pt;width:58.75pt;z-index:251679744;v-text-anchor:middle;mso-width-relative:page;mso-height-relative:page;" fillcolor="#FFFFFF [3212]" filled="t" stroked="t" coordsize="21600,21600" o:gfxdata="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Ijab1dgAAAAIAQAADwAAAAAAAAABACAAAAAiAAAAZHJzL2Rvd25yZXYueG1s&#10;UEsBAhQAFAAAAAgAh07iQErUd7HcAgAAmQUAAA4AAAAAAAAAAQAgAAAAJwEAAGRycy9lMm9Eb2Mu&#10;eG1sUEsFBgAAAAAGAAYAWQEAAHUGAAAAAA==&#10;" adj="13188,52204,14400">
                      <v:fill on="t" focussize="0,0"/>
                      <v:stroke weight="1pt" color="#FF0000 [3204]" miterlimit="8" joinstyle="miter"/>
                      <v:imagedata o:title=""/>
                      <o:lock v:ext="edit" aspectratio="f"/>
                      <v:textbox inset="0mm,0mm,0mm,0mm">
                        <w:txbxContent>
                          <w:p w14:paraId="60BC535B">
                            <w:pPr>
                              <w:ind w:firstLine="0" w:firstLineChars="0"/>
                              <w:rPr>
                                <w:b/>
                                <w:bCs/>
                                <w:color w:val="FF0000"/>
                                <w:sz w:val="18"/>
                                <w:szCs w:val="16"/>
                              </w:rPr>
                            </w:pPr>
                            <w:r>
                              <w:rPr>
                                <w:rFonts w:hint="eastAsia"/>
                                <w:b/>
                                <w:bCs/>
                                <w:color w:val="FF0000"/>
                                <w:sz w:val="18"/>
                                <w:szCs w:val="16"/>
                              </w:rPr>
                              <w:t>基督教洋下堂</w:t>
                            </w:r>
                          </w:p>
                        </w:txbxContent>
                      </v:textbox>
                    </v:shape>
                  </w:pict>
                </mc:Fallback>
              </mc:AlternateContent>
            </w:r>
            <w:r>
              <w:rPr>
                <w:color w:val="000000" w:themeColor="text1"/>
                <w14:textFill>
                  <w14:solidFill>
                    <w14:schemeClr w14:val="tx1"/>
                  </w14:solidFill>
                </w14:textFill>
              </w:rPr>
              <w:drawing>
                <wp:inline distT="0" distB="0" distL="0" distR="0">
                  <wp:extent cx="2694940" cy="2207895"/>
                  <wp:effectExtent l="0" t="0" r="0" b="1905"/>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pic:cNvPicPr>
                        </pic:nvPicPr>
                        <pic:blipFill>
                          <a:blip r:embed="rId56" cstate="email"/>
                          <a:stretch>
                            <a:fillRect/>
                          </a:stretch>
                        </pic:blipFill>
                        <pic:spPr>
                          <a:xfrm>
                            <a:off x="0" y="0"/>
                            <a:ext cx="2694940" cy="2207895"/>
                          </a:xfrm>
                          <a:prstGeom prst="rect">
                            <a:avLst/>
                          </a:prstGeom>
                        </pic:spPr>
                      </pic:pic>
                    </a:graphicData>
                  </a:graphic>
                </wp:inline>
              </w:drawing>
            </w:r>
          </w:p>
        </w:tc>
        <w:tc>
          <w:tcPr>
            <w:tcW w:w="1340" w:type="pct"/>
            <w:vMerge w:val="restart"/>
            <w:shd w:val="clear" w:color="auto" w:fill="auto"/>
            <w:vAlign w:val="center"/>
          </w:tcPr>
          <w:p w14:paraId="6100BE50">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2734945</wp:posOffset>
                      </wp:positionH>
                      <wp:positionV relativeFrom="paragraph">
                        <wp:posOffset>114935</wp:posOffset>
                      </wp:positionV>
                      <wp:extent cx="410210" cy="202565"/>
                      <wp:effectExtent l="514350" t="0" r="27940" b="654685"/>
                      <wp:wrapNone/>
                      <wp:docPr id="485" name="对话气泡: 圆角矩形 485"/>
                      <wp:cNvGraphicFramePr/>
                      <a:graphic xmlns:a="http://schemas.openxmlformats.org/drawingml/2006/main">
                        <a:graphicData uri="http://schemas.microsoft.com/office/word/2010/wordprocessingShape">
                          <wps:wsp>
                            <wps:cNvSpPr/>
                            <wps:spPr>
                              <a:xfrm>
                                <a:off x="11818189" y="4399472"/>
                                <a:ext cx="410210" cy="202565"/>
                              </a:xfrm>
                              <a:prstGeom prst="wedgeRoundRectCallout">
                                <a:avLst>
                                  <a:gd name="adj1" fmla="val -163719"/>
                                  <a:gd name="adj2" fmla="val 330006"/>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90E884">
                                  <w:pPr>
                                    <w:ind w:firstLine="0" w:firstLineChars="0"/>
                                    <w:rPr>
                                      <w:b/>
                                      <w:bCs/>
                                      <w:color w:val="FF0000"/>
                                      <w:sz w:val="18"/>
                                      <w:szCs w:val="16"/>
                                    </w:rPr>
                                  </w:pPr>
                                  <w:r>
                                    <w:rPr>
                                      <w:rFonts w:hint="eastAsia"/>
                                      <w:b/>
                                      <w:bCs/>
                                      <w:color w:val="FF0000"/>
                                      <w:sz w:val="18"/>
                                      <w:szCs w:val="16"/>
                                    </w:rPr>
                                    <w:t>侨丰村</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对话气泡: 圆角矩形 485" o:spid="_x0000_s1026" o:spt="62" type="#_x0000_t62" style="position:absolute;left:0pt;margin-left:215.35pt;margin-top:9.05pt;height:15.95pt;width:32.3pt;z-index:251682816;v-text-anchor:middle;mso-width-relative:page;mso-height-relative:page;" fillcolor="#FFFFFF [3212]" filled="t" stroked="t" coordsize="21600,21600" o:gfxdata="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CQasU72AAAAAkBAAAPAAAAAAAAAAEAIAAAACIAAABkcnMvZG93bnJldi54bWxQ&#10;SwECFAAUAAAACACHTuJAQIMl3dsCAACcBQAADgAAAAAAAAABACAAAAAnAQAAZHJzL2Uyb0RvYy54&#10;bWxQSwUGAAAAAAYABgBZAQAAdAYAAAAA&#10;" adj="-24563,82081,14400">
                      <v:fill on="t" focussize="0,0"/>
                      <v:stroke weight="1pt" color="#FF0000 [3204]" miterlimit="8" joinstyle="miter"/>
                      <v:imagedata o:title=""/>
                      <o:lock v:ext="edit" aspectratio="f"/>
                      <v:textbox inset="0mm,0mm,0mm,0mm">
                        <w:txbxContent>
                          <w:p w14:paraId="1590E884">
                            <w:pPr>
                              <w:ind w:firstLine="0" w:firstLineChars="0"/>
                              <w:rPr>
                                <w:b/>
                                <w:bCs/>
                                <w:color w:val="FF0000"/>
                                <w:sz w:val="18"/>
                                <w:szCs w:val="16"/>
                              </w:rPr>
                            </w:pPr>
                            <w:r>
                              <w:rPr>
                                <w:rFonts w:hint="eastAsia"/>
                                <w:b/>
                                <w:bCs/>
                                <w:color w:val="FF0000"/>
                                <w:sz w:val="18"/>
                                <w:szCs w:val="16"/>
                              </w:rPr>
                              <w:t>侨丰村</w:t>
                            </w:r>
                          </w:p>
                        </w:txbxContent>
                      </v:textbox>
                    </v:shape>
                  </w:pict>
                </mc:Fallback>
              </mc:AlternateContent>
            </w:r>
            <w:r>
              <w:rPr>
                <w:color w:val="000000" w:themeColor="text1"/>
                <w14:textFill>
                  <w14:solidFill>
                    <w14:schemeClr w14:val="tx1"/>
                  </w14:solidFill>
                </w14:textFill>
              </w:rPr>
              <w:drawing>
                <wp:inline distT="0" distB="0" distL="0" distR="0">
                  <wp:extent cx="3773805" cy="2243455"/>
                  <wp:effectExtent l="0" t="0" r="0" b="444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noChangeArrowheads="1"/>
                          </pic:cNvPicPr>
                        </pic:nvPicPr>
                        <pic:blipFill>
                          <a:blip r:embed="rId57" cstate="email"/>
                          <a:srcRect/>
                          <a:stretch>
                            <a:fillRect/>
                          </a:stretch>
                        </pic:blipFill>
                        <pic:spPr>
                          <a:xfrm>
                            <a:off x="0" y="0"/>
                            <a:ext cx="3775088" cy="2244023"/>
                          </a:xfrm>
                          <a:prstGeom prst="rect">
                            <a:avLst/>
                          </a:prstGeom>
                          <a:noFill/>
                          <a:ln>
                            <a:noFill/>
                          </a:ln>
                        </pic:spPr>
                      </pic:pic>
                    </a:graphicData>
                  </a:graphic>
                </wp:inline>
              </w:drawing>
            </w:r>
          </w:p>
        </w:tc>
        <w:tc>
          <w:tcPr>
            <w:tcW w:w="645" w:type="pct"/>
            <w:vMerge w:val="restart"/>
            <w:shd w:val="clear" w:color="auto" w:fill="auto"/>
            <w:vAlign w:val="center"/>
          </w:tcPr>
          <w:p w14:paraId="021FD586">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29" o:spt="75" type="#_x0000_t75" style="height:94.4pt;width:133.35pt;" o:ole="t" filled="f" o:preferrelative="t" stroked="f" coordsize="21600,21600">
                  <v:path/>
                  <v:fill on="f" focussize="0,0"/>
                  <v:stroke on="f" joinstyle="miter"/>
                  <v:imagedata r:id="rId59" cropleft="7147f" cropright="13217f" o:title=""/>
                  <o:lock v:ext="edit" aspectratio="t"/>
                  <w10:wrap type="none"/>
                  <w10:anchorlock/>
                </v:shape>
                <o:OLEObject Type="Embed" ProgID="AutoCAD.Drawing.24" ShapeID="_x0000_i1029" DrawAspect="Content" ObjectID="_1468075729" r:id="rId58">
                  <o:LockedField>false</o:LockedField>
                </o:OLEObject>
              </w:object>
            </w:r>
          </w:p>
        </w:tc>
      </w:tr>
      <w:tr w14:paraId="2FB4AD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991" w:hRule="atLeast"/>
          <w:jc w:val="center"/>
        </w:trPr>
        <w:tc>
          <w:tcPr>
            <w:tcW w:w="66" w:type="pct"/>
            <w:shd w:val="clear" w:color="auto" w:fill="auto"/>
            <w:vAlign w:val="center"/>
          </w:tcPr>
          <w:p w14:paraId="62A3567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p>
        </w:tc>
        <w:tc>
          <w:tcPr>
            <w:tcW w:w="133" w:type="pct"/>
            <w:shd w:val="clear" w:color="auto" w:fill="auto"/>
            <w:vAlign w:val="center"/>
          </w:tcPr>
          <w:p w14:paraId="56BE2A3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侨丰村</w:t>
            </w:r>
          </w:p>
        </w:tc>
        <w:tc>
          <w:tcPr>
            <w:tcW w:w="132" w:type="pct"/>
            <w:shd w:val="clear" w:color="auto" w:fill="auto"/>
            <w:vAlign w:val="center"/>
          </w:tcPr>
          <w:p w14:paraId="0AB5690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shd w:val="clear" w:color="auto" w:fill="auto"/>
            <w:vAlign w:val="center"/>
          </w:tcPr>
          <w:p w14:paraId="0649FD0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2+160</w:t>
            </w:r>
          </w:p>
        </w:tc>
        <w:tc>
          <w:tcPr>
            <w:tcW w:w="100" w:type="pct"/>
            <w:shd w:val="clear" w:color="auto" w:fill="auto"/>
            <w:vAlign w:val="center"/>
          </w:tcPr>
          <w:p w14:paraId="0BB0CBC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路基+桥梁</w:t>
            </w:r>
          </w:p>
        </w:tc>
        <w:tc>
          <w:tcPr>
            <w:tcW w:w="99" w:type="pct"/>
            <w:shd w:val="clear" w:color="auto" w:fill="auto"/>
            <w:vAlign w:val="center"/>
          </w:tcPr>
          <w:p w14:paraId="2CCD188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99" w:type="pct"/>
            <w:shd w:val="clear" w:color="auto" w:fill="auto"/>
            <w:vAlign w:val="center"/>
          </w:tcPr>
          <w:p w14:paraId="0107DE6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50DDABB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10</w:t>
            </w:r>
          </w:p>
        </w:tc>
        <w:tc>
          <w:tcPr>
            <w:tcW w:w="166" w:type="pct"/>
            <w:shd w:val="clear" w:color="auto" w:fill="auto"/>
            <w:vAlign w:val="center"/>
          </w:tcPr>
          <w:p w14:paraId="0DC12DA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w:t>
            </w:r>
          </w:p>
        </w:tc>
        <w:tc>
          <w:tcPr>
            <w:tcW w:w="166" w:type="pct"/>
            <w:shd w:val="clear" w:color="auto" w:fill="auto"/>
            <w:vAlign w:val="center"/>
          </w:tcPr>
          <w:p w14:paraId="0950959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9</w:t>
            </w:r>
          </w:p>
        </w:tc>
        <w:tc>
          <w:tcPr>
            <w:tcW w:w="132" w:type="pct"/>
            <w:shd w:val="clear" w:color="auto" w:fill="auto"/>
            <w:vAlign w:val="center"/>
          </w:tcPr>
          <w:p w14:paraId="308709C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1F0ABDA2">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3</w:t>
            </w:r>
            <w:r>
              <w:rPr>
                <w:rFonts w:hint="eastAsia"/>
                <w:color w:val="000000" w:themeColor="text1"/>
                <w:sz w:val="18"/>
                <w:szCs w:val="18"/>
                <w14:textFill>
                  <w14:solidFill>
                    <w14:schemeClr w14:val="tx1"/>
                  </w14:solidFill>
                </w14:textFill>
              </w:rPr>
              <w:t>人</w:t>
            </w:r>
          </w:p>
        </w:tc>
        <w:tc>
          <w:tcPr>
            <w:tcW w:w="397" w:type="pct"/>
            <w:shd w:val="clear" w:color="auto" w:fill="auto"/>
          </w:tcPr>
          <w:p w14:paraId="3AE1946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1</w:t>
            </w:r>
            <w:r>
              <w:rPr>
                <w:rFonts w:hint="eastAsia"/>
                <w:color w:val="000000" w:themeColor="text1"/>
                <w:sz w:val="18"/>
                <w:szCs w:val="18"/>
                <w14:textFill>
                  <w14:solidFill>
                    <w14:schemeClr w14:val="tx1"/>
                  </w14:solidFill>
                </w14:textFill>
              </w:rPr>
              <w:t>层。</w:t>
            </w:r>
          </w:p>
        </w:tc>
        <w:tc>
          <w:tcPr>
            <w:tcW w:w="994" w:type="pct"/>
            <w:vMerge w:val="continue"/>
            <w:shd w:val="clear" w:color="auto" w:fill="auto"/>
            <w:vAlign w:val="center"/>
          </w:tcPr>
          <w:p w14:paraId="654039D2">
            <w:pPr>
              <w:pStyle w:val="105"/>
              <w:jc w:val="center"/>
              <w:rPr>
                <w:color w:val="000000" w:themeColor="text1"/>
                <w:sz w:val="18"/>
                <w:szCs w:val="18"/>
                <w14:textFill>
                  <w14:solidFill>
                    <w14:schemeClr w14:val="tx1"/>
                  </w14:solidFill>
                </w14:textFill>
              </w:rPr>
            </w:pPr>
          </w:p>
        </w:tc>
        <w:tc>
          <w:tcPr>
            <w:tcW w:w="1340" w:type="pct"/>
            <w:vMerge w:val="continue"/>
            <w:shd w:val="clear" w:color="auto" w:fill="auto"/>
            <w:vAlign w:val="center"/>
          </w:tcPr>
          <w:p w14:paraId="0DD7B734">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0B1AF2AC">
            <w:pPr>
              <w:pStyle w:val="105"/>
              <w:ind w:left="-120" w:leftChars="-50" w:right="-120" w:rightChars="-50"/>
              <w:jc w:val="center"/>
              <w:rPr>
                <w:color w:val="000000" w:themeColor="text1"/>
                <w:sz w:val="18"/>
                <w:szCs w:val="18"/>
                <w14:textFill>
                  <w14:solidFill>
                    <w14:schemeClr w14:val="tx1"/>
                  </w14:solidFill>
                </w14:textFill>
              </w:rPr>
            </w:pPr>
          </w:p>
        </w:tc>
      </w:tr>
      <w:tr w14:paraId="6D330C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569" w:hRule="atLeast"/>
          <w:jc w:val="center"/>
        </w:trPr>
        <w:tc>
          <w:tcPr>
            <w:tcW w:w="66" w:type="pct"/>
            <w:shd w:val="clear" w:color="auto" w:fill="auto"/>
            <w:vAlign w:val="center"/>
          </w:tcPr>
          <w:p w14:paraId="7B60317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w:t>
            </w:r>
          </w:p>
        </w:tc>
        <w:tc>
          <w:tcPr>
            <w:tcW w:w="133" w:type="pct"/>
            <w:shd w:val="clear" w:color="auto" w:fill="auto"/>
            <w:vAlign w:val="center"/>
          </w:tcPr>
          <w:p w14:paraId="7ABFDE8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联华村火烧埔</w:t>
            </w:r>
          </w:p>
        </w:tc>
        <w:tc>
          <w:tcPr>
            <w:tcW w:w="132" w:type="pct"/>
            <w:shd w:val="clear" w:color="auto" w:fill="auto"/>
            <w:vAlign w:val="center"/>
          </w:tcPr>
          <w:p w14:paraId="3A38081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shd w:val="clear" w:color="auto" w:fill="auto"/>
            <w:vAlign w:val="center"/>
          </w:tcPr>
          <w:p w14:paraId="4F72D0C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1+960~K2+420</w:t>
            </w:r>
          </w:p>
        </w:tc>
        <w:tc>
          <w:tcPr>
            <w:tcW w:w="100" w:type="pct"/>
            <w:shd w:val="clear" w:color="auto" w:fill="auto"/>
            <w:vAlign w:val="center"/>
          </w:tcPr>
          <w:p w14:paraId="71AA0F5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桥梁</w:t>
            </w:r>
          </w:p>
        </w:tc>
        <w:tc>
          <w:tcPr>
            <w:tcW w:w="99" w:type="pct"/>
            <w:shd w:val="clear" w:color="auto" w:fill="auto"/>
            <w:vAlign w:val="center"/>
          </w:tcPr>
          <w:p w14:paraId="75DA5E7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99" w:type="pct"/>
            <w:shd w:val="clear" w:color="auto" w:fill="auto"/>
            <w:vAlign w:val="center"/>
          </w:tcPr>
          <w:p w14:paraId="17DFF52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5BEBE1E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4~-10</w:t>
            </w:r>
          </w:p>
        </w:tc>
        <w:tc>
          <w:tcPr>
            <w:tcW w:w="166" w:type="pct"/>
            <w:shd w:val="clear" w:color="auto" w:fill="auto"/>
            <w:vAlign w:val="center"/>
          </w:tcPr>
          <w:p w14:paraId="03F0555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9</w:t>
            </w:r>
            <w:r>
              <w:rPr>
                <w:color w:val="000000" w:themeColor="text1"/>
                <w:sz w:val="18"/>
                <w:szCs w:val="18"/>
                <w14:textFill>
                  <w14:solidFill>
                    <w14:schemeClr w14:val="tx1"/>
                  </w14:solidFill>
                </w14:textFill>
              </w:rPr>
              <w:t>8</w:t>
            </w:r>
          </w:p>
        </w:tc>
        <w:tc>
          <w:tcPr>
            <w:tcW w:w="166" w:type="pct"/>
            <w:shd w:val="clear" w:color="auto" w:fill="auto"/>
            <w:vAlign w:val="center"/>
          </w:tcPr>
          <w:p w14:paraId="76FB542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04</w:t>
            </w:r>
          </w:p>
        </w:tc>
        <w:tc>
          <w:tcPr>
            <w:tcW w:w="132" w:type="pct"/>
            <w:shd w:val="clear" w:color="auto" w:fill="auto"/>
            <w:vAlign w:val="center"/>
          </w:tcPr>
          <w:p w14:paraId="3AEB584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166" w:type="pct"/>
            <w:shd w:val="clear" w:color="auto" w:fill="auto"/>
            <w:vAlign w:val="center"/>
          </w:tcPr>
          <w:p w14:paraId="0082FC9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1</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105</w:t>
            </w:r>
            <w:r>
              <w:rPr>
                <w:rFonts w:hint="eastAsia"/>
                <w:color w:val="000000" w:themeColor="text1"/>
                <w:sz w:val="18"/>
                <w:szCs w:val="18"/>
                <w14:textFill>
                  <w14:solidFill>
                    <w14:schemeClr w14:val="tx1"/>
                  </w14:solidFill>
                </w14:textFill>
              </w:rPr>
              <w:t>人</w:t>
            </w:r>
          </w:p>
        </w:tc>
        <w:tc>
          <w:tcPr>
            <w:tcW w:w="397" w:type="pct"/>
            <w:shd w:val="clear" w:color="auto" w:fill="auto"/>
          </w:tcPr>
          <w:p w14:paraId="3179232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bookmarkStart w:id="184" w:name="hmcheck_bf5ef3f4c9e642c0bad96dcbbd6816f2"/>
            <w:r>
              <w:rPr>
                <w:color w:val="000000" w:themeColor="text1"/>
                <w:sz w:val="18"/>
                <w:szCs w:val="18"/>
                <w:shd w:val="clear" w:fill="FFAFAA"/>
                <w14:textFill>
                  <w14:solidFill>
                    <w14:schemeClr w14:val="tx1"/>
                  </w14:solidFill>
                </w14:textFill>
              </w:rPr>
              <w:t>3~5</w:t>
            </w:r>
            <w:bookmarkEnd w:id="184"/>
            <w:r>
              <w:rPr>
                <w:rFonts w:hint="eastAsia"/>
                <w:color w:val="000000" w:themeColor="text1"/>
                <w:sz w:val="18"/>
                <w:szCs w:val="18"/>
                <w14:textFill>
                  <w14:solidFill>
                    <w14:schemeClr w14:val="tx1"/>
                  </w14:solidFill>
                </w14:textFill>
              </w:rPr>
              <w:t>层，主要建筑背对拟建道路（南），铝合金推拉窗，周边园地和鳗鱼养殖，与道路之间分布有稀疏林带。</w:t>
            </w:r>
          </w:p>
        </w:tc>
        <w:tc>
          <w:tcPr>
            <w:tcW w:w="994" w:type="pct"/>
            <w:vMerge w:val="restart"/>
            <w:shd w:val="clear" w:color="auto" w:fill="auto"/>
            <w:vAlign w:val="center"/>
          </w:tcPr>
          <w:p w14:paraId="1A8A1A9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1200150</wp:posOffset>
                      </wp:positionH>
                      <wp:positionV relativeFrom="paragraph">
                        <wp:posOffset>1984375</wp:posOffset>
                      </wp:positionV>
                      <wp:extent cx="1190625" cy="299720"/>
                      <wp:effectExtent l="0" t="0" r="9525" b="5080"/>
                      <wp:wrapNone/>
                      <wp:docPr id="496" name="文本框 496"/>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4C83684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联华村火烧埔</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94.5pt;margin-top:156.25pt;height:23.6pt;width:93.75pt;z-index:251692032;mso-width-relative:page;mso-height-relative:page;" filled="f" stroked="f" coordsize="21600,21600" o:gfxdata="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YWC5tgAAAALAQAADwAAAAAAAAABACAAAAAiAAAAZHJzL2Rvd25yZXYu&#10;eG1sUEsBAhQAFAAAAAgAh07iQO1kbF80AgAAWgQAAA4AAAAAAAAAAQAgAAAAJwEAAGRycy9lMm9E&#10;b2MueG1sUEsFBgAAAAAGAAYAWQEAAM0FAAAAAA==&#10;">
                      <v:fill on="f" focussize="0,0"/>
                      <v:stroke on="f" weight="0.5pt"/>
                      <v:imagedata o:title=""/>
                      <o:lock v:ext="edit" aspectratio="f"/>
                      <v:textbox inset="0mm,0mm,0mm,0mm">
                        <w:txbxContent>
                          <w:p w14:paraId="4C83684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联华村火烧埔</w:t>
                            </w:r>
                          </w:p>
                        </w:txbxContent>
                      </v:textbox>
                    </v:shape>
                  </w:pict>
                </mc:Fallback>
              </mc:AlternateContent>
            </w:r>
            <w:r>
              <w:rPr>
                <w:color w:val="000000" w:themeColor="text1"/>
                <w14:textFill>
                  <w14:solidFill>
                    <w14:schemeClr w14:val="tx1"/>
                  </w14:solidFill>
                </w14:textFill>
              </w:rPr>
              <w:drawing>
                <wp:inline distT="0" distB="0" distL="0" distR="0">
                  <wp:extent cx="2911475" cy="3009900"/>
                  <wp:effectExtent l="0" t="0" r="3175" b="0"/>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noChangeArrowheads="1"/>
                          </pic:cNvPicPr>
                        </pic:nvPicPr>
                        <pic:blipFill>
                          <a:blip r:embed="rId60" cstate="email"/>
                          <a:srcRect/>
                          <a:stretch>
                            <a:fillRect/>
                          </a:stretch>
                        </pic:blipFill>
                        <pic:spPr>
                          <a:xfrm>
                            <a:off x="0" y="0"/>
                            <a:ext cx="2921458" cy="3019638"/>
                          </a:xfrm>
                          <a:prstGeom prst="rect">
                            <a:avLst/>
                          </a:prstGeom>
                          <a:noFill/>
                          <a:ln>
                            <a:noFill/>
                          </a:ln>
                        </pic:spPr>
                      </pic:pic>
                    </a:graphicData>
                  </a:graphic>
                </wp:inline>
              </w:drawing>
            </w:r>
          </w:p>
        </w:tc>
        <w:tc>
          <w:tcPr>
            <w:tcW w:w="1340" w:type="pct"/>
            <w:vMerge w:val="restart"/>
            <w:shd w:val="clear" w:color="auto" w:fill="auto"/>
            <w:vAlign w:val="center"/>
          </w:tcPr>
          <w:p w14:paraId="62668785">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251460</wp:posOffset>
                      </wp:positionH>
                      <wp:positionV relativeFrom="paragraph">
                        <wp:posOffset>814070</wp:posOffset>
                      </wp:positionV>
                      <wp:extent cx="1190625" cy="299720"/>
                      <wp:effectExtent l="0" t="0" r="9525" b="5080"/>
                      <wp:wrapNone/>
                      <wp:docPr id="492" name="文本框 492"/>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7DBCC28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联华村火烧埔</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9.8pt;margin-top:64.1pt;height:23.6pt;width:93.75pt;z-index:251691008;mso-width-relative:page;mso-height-relative:page;" filled="f" stroked="f" coordsize="21600,21600" o:gfxdata="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PPwV59gAAAAKAQAADwAAAAAAAAABACAAAAAiAAAAZHJzL2Rvd25yZXYu&#10;eG1sUEsBAhQAFAAAAAgAh07iQCzuops0AgAAWgQAAA4AAAAAAAAAAQAgAAAAJwEAAGRycy9lMm9E&#10;b2MueG1sUEsFBgAAAAAGAAYAWQEAAM0FAAAAAA==&#10;">
                      <v:fill on="f" focussize="0,0"/>
                      <v:stroke on="f" weight="0.5pt"/>
                      <v:imagedata o:title=""/>
                      <o:lock v:ext="edit" aspectratio="f"/>
                      <v:textbox inset="0mm,0mm,0mm,0mm">
                        <w:txbxContent>
                          <w:p w14:paraId="7DBCC28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联华村火烧埔</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2386965</wp:posOffset>
                      </wp:positionH>
                      <wp:positionV relativeFrom="paragraph">
                        <wp:posOffset>415925</wp:posOffset>
                      </wp:positionV>
                      <wp:extent cx="908685" cy="2134870"/>
                      <wp:effectExtent l="19050" t="19050" r="24765" b="36830"/>
                      <wp:wrapNone/>
                      <wp:docPr id="487" name="箭头: 下 487"/>
                      <wp:cNvGraphicFramePr/>
                      <a:graphic xmlns:a="http://schemas.openxmlformats.org/drawingml/2006/main">
                        <a:graphicData uri="http://schemas.microsoft.com/office/word/2010/wordprocessingShape">
                          <wps:wsp>
                            <wps:cNvSpPr/>
                            <wps:spPr>
                              <a:xfrm rot="10984817">
                                <a:off x="0" y="0"/>
                                <a:ext cx="908685" cy="2134870"/>
                              </a:xfrm>
                              <a:prstGeom prst="downArrow">
                                <a:avLst>
                                  <a:gd name="adj1" fmla="val 50000"/>
                                  <a:gd name="adj2" fmla="val 94415"/>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487" o:spid="_x0000_s1026" o:spt="67" type="#_x0000_t67" style="position:absolute;left:0pt;margin-left:187.95pt;margin-top:32.75pt;height:168.1pt;width:71.55pt;rotation:-11594611f;z-index:251689984;v-text-anchor:middle;mso-width-relative:page;mso-height-relative:page;" fillcolor="#FF0000" filled="t" stroked="t" coordsize="21600,21600" o:gfxdata="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ih8c92wAAAAoBAAAPAAAAAAAAAAEA&#10;IAAAACIAAABkcnMvZG93bnJldi54bWxQSwECFAAUAAAACACHTuJA3n/N3LcCAACDBQAADgAAAAAA&#10;AAABACAAAAAqAQAAZHJzL2Uyb0RvYy54bWxQSwUGAAAAAAYABgBZAQAAUwYAAAAA&#10;" adj="12920,5400">
                      <v:fill on="t" opacity="13107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0" distR="0">
                  <wp:extent cx="3561080" cy="2967355"/>
                  <wp:effectExtent l="0" t="0" r="1270" b="444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61" cstate="email"/>
                          <a:stretch>
                            <a:fillRect/>
                          </a:stretch>
                        </pic:blipFill>
                        <pic:spPr>
                          <a:xfrm>
                            <a:off x="0" y="0"/>
                            <a:ext cx="3567604" cy="2973408"/>
                          </a:xfrm>
                          <a:prstGeom prst="rect">
                            <a:avLst/>
                          </a:prstGeom>
                        </pic:spPr>
                      </pic:pic>
                    </a:graphicData>
                  </a:graphic>
                </wp:inline>
              </w:drawing>
            </w:r>
          </w:p>
        </w:tc>
        <w:tc>
          <w:tcPr>
            <w:tcW w:w="645" w:type="pct"/>
            <w:vMerge w:val="restart"/>
            <w:shd w:val="clear" w:color="auto" w:fill="auto"/>
            <w:vAlign w:val="center"/>
          </w:tcPr>
          <w:p w14:paraId="463D412D">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30" o:spt="75" type="#_x0000_t75" style="height:117.8pt;width:138pt;" o:ole="t" filled="f" o:preferrelative="t" stroked="f" coordsize="21600,21600">
                  <v:path/>
                  <v:fill on="f" focussize="0,0"/>
                  <v:stroke on="f" joinstyle="miter"/>
                  <v:imagedata r:id="rId63" cropleft="8417f" cropright="19789f" o:title=""/>
                  <o:lock v:ext="edit" aspectratio="t"/>
                  <w10:wrap type="none"/>
                  <w10:anchorlock/>
                </v:shape>
                <o:OLEObject Type="Embed" ProgID="AutoCAD.Drawing.24" ShapeID="_x0000_i1030" DrawAspect="Content" ObjectID="_1468075730" r:id="rId62">
                  <o:LockedField>false</o:LockedField>
                </o:OLEObject>
              </w:object>
            </w:r>
          </w:p>
        </w:tc>
      </w:tr>
      <w:tr w14:paraId="78BA4B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569" w:hRule="atLeast"/>
          <w:jc w:val="center"/>
        </w:trPr>
        <w:tc>
          <w:tcPr>
            <w:tcW w:w="66" w:type="pct"/>
            <w:shd w:val="clear" w:color="auto" w:fill="auto"/>
            <w:vAlign w:val="center"/>
          </w:tcPr>
          <w:p w14:paraId="33E4721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w:t>
            </w:r>
          </w:p>
        </w:tc>
        <w:tc>
          <w:tcPr>
            <w:tcW w:w="133" w:type="pct"/>
            <w:shd w:val="clear" w:color="auto" w:fill="auto"/>
            <w:vAlign w:val="center"/>
          </w:tcPr>
          <w:p w14:paraId="092F033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联华村火烧埔（临高速第一排）</w:t>
            </w:r>
          </w:p>
        </w:tc>
        <w:tc>
          <w:tcPr>
            <w:tcW w:w="132" w:type="pct"/>
            <w:shd w:val="clear" w:color="auto" w:fill="auto"/>
            <w:vAlign w:val="center"/>
          </w:tcPr>
          <w:p w14:paraId="21F7E29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shd w:val="clear" w:color="auto" w:fill="auto"/>
            <w:vAlign w:val="center"/>
          </w:tcPr>
          <w:p w14:paraId="2B0EBD5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1+960~K2+420</w:t>
            </w:r>
          </w:p>
        </w:tc>
        <w:tc>
          <w:tcPr>
            <w:tcW w:w="100" w:type="pct"/>
            <w:shd w:val="clear" w:color="auto" w:fill="auto"/>
            <w:vAlign w:val="center"/>
          </w:tcPr>
          <w:p w14:paraId="07D08E0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桥梁</w:t>
            </w:r>
          </w:p>
        </w:tc>
        <w:tc>
          <w:tcPr>
            <w:tcW w:w="99" w:type="pct"/>
            <w:shd w:val="clear" w:color="auto" w:fill="auto"/>
            <w:vAlign w:val="center"/>
          </w:tcPr>
          <w:p w14:paraId="17D1656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99" w:type="pct"/>
            <w:shd w:val="clear" w:color="auto" w:fill="auto"/>
            <w:vAlign w:val="center"/>
          </w:tcPr>
          <w:p w14:paraId="6C0FA7A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117DE62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w:t>
            </w:r>
          </w:p>
        </w:tc>
        <w:tc>
          <w:tcPr>
            <w:tcW w:w="166" w:type="pct"/>
            <w:shd w:val="clear" w:color="auto" w:fill="auto"/>
            <w:vAlign w:val="center"/>
          </w:tcPr>
          <w:p w14:paraId="43C6542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166" w:type="pct"/>
            <w:shd w:val="clear" w:color="auto" w:fill="auto"/>
            <w:vAlign w:val="center"/>
          </w:tcPr>
          <w:p w14:paraId="712B8C3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61</w:t>
            </w:r>
          </w:p>
        </w:tc>
        <w:tc>
          <w:tcPr>
            <w:tcW w:w="132" w:type="pct"/>
            <w:shd w:val="clear" w:color="auto" w:fill="auto"/>
            <w:vAlign w:val="center"/>
          </w:tcPr>
          <w:p w14:paraId="76D53F6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75FF116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1户</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人</w:t>
            </w:r>
          </w:p>
        </w:tc>
        <w:tc>
          <w:tcPr>
            <w:tcW w:w="397" w:type="pct"/>
            <w:shd w:val="clear" w:color="auto" w:fill="auto"/>
          </w:tcPr>
          <w:p w14:paraId="16D4BCC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层，主要建筑背对拟建道路，侧向高速，与拟建道路之间分布有稀疏林带。</w:t>
            </w:r>
          </w:p>
        </w:tc>
        <w:tc>
          <w:tcPr>
            <w:tcW w:w="994" w:type="pct"/>
            <w:vMerge w:val="continue"/>
            <w:shd w:val="clear" w:color="auto" w:fill="auto"/>
            <w:vAlign w:val="center"/>
          </w:tcPr>
          <w:p w14:paraId="74B5DA90">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60B5491F">
            <w:pPr>
              <w:pStyle w:val="105"/>
              <w:jc w:val="center"/>
              <w:rPr>
                <w:color w:val="000000" w:themeColor="text1"/>
                <w14:textFill>
                  <w14:solidFill>
                    <w14:schemeClr w14:val="tx1"/>
                  </w14:solidFill>
                </w14:textFill>
              </w:rPr>
            </w:pPr>
          </w:p>
        </w:tc>
        <w:tc>
          <w:tcPr>
            <w:tcW w:w="645" w:type="pct"/>
            <w:vMerge w:val="continue"/>
            <w:shd w:val="clear" w:color="auto" w:fill="auto"/>
            <w:vAlign w:val="center"/>
          </w:tcPr>
          <w:p w14:paraId="10028782">
            <w:pPr>
              <w:pStyle w:val="105"/>
              <w:ind w:left="-120" w:leftChars="-50" w:right="-120" w:rightChars="-50"/>
              <w:jc w:val="center"/>
              <w:rPr>
                <w:color w:val="000000" w:themeColor="text1"/>
                <w:sz w:val="18"/>
                <w:szCs w:val="18"/>
                <w14:textFill>
                  <w14:solidFill>
                    <w14:schemeClr w14:val="tx1"/>
                  </w14:solidFill>
                </w14:textFill>
              </w:rPr>
            </w:pPr>
          </w:p>
        </w:tc>
      </w:tr>
      <w:tr w14:paraId="17A7B7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969" w:hRule="atLeast"/>
          <w:jc w:val="center"/>
        </w:trPr>
        <w:tc>
          <w:tcPr>
            <w:tcW w:w="66" w:type="pct"/>
            <w:vMerge w:val="restart"/>
            <w:shd w:val="clear" w:color="auto" w:fill="auto"/>
            <w:vAlign w:val="center"/>
          </w:tcPr>
          <w:p w14:paraId="1FDA714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8</w:t>
            </w:r>
          </w:p>
        </w:tc>
        <w:tc>
          <w:tcPr>
            <w:tcW w:w="133" w:type="pct"/>
            <w:vMerge w:val="restart"/>
            <w:shd w:val="clear" w:color="auto" w:fill="auto"/>
            <w:vAlign w:val="center"/>
          </w:tcPr>
          <w:p w14:paraId="7B33DC2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联华村田楼</w:t>
            </w:r>
          </w:p>
        </w:tc>
        <w:tc>
          <w:tcPr>
            <w:tcW w:w="132" w:type="pct"/>
            <w:vMerge w:val="restart"/>
            <w:shd w:val="clear" w:color="auto" w:fill="auto"/>
            <w:vAlign w:val="center"/>
          </w:tcPr>
          <w:p w14:paraId="3D7903C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2D2BDE5D">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K2+420~</w:t>
            </w:r>
            <w:r>
              <w:rPr>
                <w:rFonts w:hint="eastAsia"/>
                <w:color w:val="000000" w:themeColor="text1"/>
                <w:sz w:val="18"/>
                <w:szCs w:val="18"/>
                <w14:textFill>
                  <w14:solidFill>
                    <w14:schemeClr w14:val="tx1"/>
                  </w14:solidFill>
                </w14:textFill>
              </w:rPr>
              <w:t xml:space="preserve"> K</w:t>
            </w:r>
            <w:r>
              <w:rPr>
                <w:color w:val="000000" w:themeColor="text1"/>
                <w:sz w:val="18"/>
                <w:szCs w:val="18"/>
                <w14:textFill>
                  <w14:solidFill>
                    <w14:schemeClr w14:val="tx1"/>
                  </w14:solidFill>
                </w14:textFill>
              </w:rPr>
              <w:t>2+940</w:t>
            </w:r>
          </w:p>
        </w:tc>
        <w:tc>
          <w:tcPr>
            <w:tcW w:w="100" w:type="pct"/>
            <w:vMerge w:val="restart"/>
            <w:shd w:val="clear" w:color="auto" w:fill="auto"/>
            <w:vAlign w:val="center"/>
          </w:tcPr>
          <w:p w14:paraId="5FB60A4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路基+桥梁</w:t>
            </w:r>
          </w:p>
        </w:tc>
        <w:tc>
          <w:tcPr>
            <w:tcW w:w="99" w:type="pct"/>
            <w:shd w:val="clear" w:color="auto" w:fill="auto"/>
            <w:vAlign w:val="center"/>
          </w:tcPr>
          <w:p w14:paraId="00F6178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.7</w:t>
            </w:r>
          </w:p>
        </w:tc>
        <w:tc>
          <w:tcPr>
            <w:tcW w:w="99" w:type="pct"/>
            <w:shd w:val="clear" w:color="auto" w:fill="auto"/>
            <w:vAlign w:val="center"/>
          </w:tcPr>
          <w:p w14:paraId="4B37DF9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48CCBF09">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w:t>
            </w:r>
          </w:p>
        </w:tc>
        <w:tc>
          <w:tcPr>
            <w:tcW w:w="166" w:type="pct"/>
            <w:shd w:val="clear" w:color="auto" w:fill="auto"/>
            <w:vAlign w:val="center"/>
          </w:tcPr>
          <w:p w14:paraId="798F06D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4</w:t>
            </w:r>
          </w:p>
        </w:tc>
        <w:tc>
          <w:tcPr>
            <w:tcW w:w="166" w:type="pct"/>
            <w:shd w:val="clear" w:color="auto" w:fill="auto"/>
            <w:vAlign w:val="center"/>
          </w:tcPr>
          <w:p w14:paraId="14195F4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0</w:t>
            </w:r>
          </w:p>
        </w:tc>
        <w:tc>
          <w:tcPr>
            <w:tcW w:w="132" w:type="pct"/>
            <w:shd w:val="clear" w:color="auto" w:fill="auto"/>
            <w:vAlign w:val="center"/>
          </w:tcPr>
          <w:p w14:paraId="2B09A61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7F1DB39D">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21</w:t>
            </w:r>
            <w:r>
              <w:rPr>
                <w:rFonts w:hint="eastAsia"/>
                <w:color w:val="000000" w:themeColor="text1"/>
                <w:sz w:val="18"/>
                <w:szCs w:val="18"/>
                <w14:textFill>
                  <w14:solidFill>
                    <w14:schemeClr w14:val="tx1"/>
                  </w14:solidFill>
                </w14:textFill>
              </w:rPr>
              <w:t>人</w:t>
            </w:r>
          </w:p>
        </w:tc>
        <w:tc>
          <w:tcPr>
            <w:tcW w:w="397" w:type="pct"/>
            <w:vMerge w:val="restart"/>
            <w:shd w:val="clear" w:color="auto" w:fill="auto"/>
          </w:tcPr>
          <w:p w14:paraId="59FCDED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w:t>
            </w:r>
            <w:r>
              <w:rPr>
                <w:color w:val="000000" w:themeColor="text1"/>
                <w:sz w:val="18"/>
                <w:szCs w:val="18"/>
                <w14:textFill>
                  <w14:solidFill>
                    <w14:schemeClr w14:val="tx1"/>
                  </w14:solidFill>
                </w14:textFill>
              </w:rPr>
              <w:t>3~4</w:t>
            </w:r>
            <w:r>
              <w:rPr>
                <w:rFonts w:hint="eastAsia"/>
                <w:color w:val="000000" w:themeColor="text1"/>
                <w:sz w:val="18"/>
                <w:szCs w:val="18"/>
                <w14:textFill>
                  <w14:solidFill>
                    <w14:schemeClr w14:val="tx1"/>
                  </w14:solidFill>
                </w14:textFill>
              </w:rPr>
              <w:t>层，主要建筑侧向、背对拟建道路（南），铝合金推拉窗，周边园地，与道路之间无密集林带。</w:t>
            </w:r>
          </w:p>
        </w:tc>
        <w:tc>
          <w:tcPr>
            <w:tcW w:w="994" w:type="pct"/>
            <w:vMerge w:val="restart"/>
            <w:shd w:val="clear" w:color="auto" w:fill="auto"/>
            <w:vAlign w:val="center"/>
          </w:tcPr>
          <w:p w14:paraId="00A9501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800100</wp:posOffset>
                      </wp:positionH>
                      <wp:positionV relativeFrom="paragraph">
                        <wp:posOffset>1859915</wp:posOffset>
                      </wp:positionV>
                      <wp:extent cx="1190625" cy="299720"/>
                      <wp:effectExtent l="0" t="0" r="9525" b="5080"/>
                      <wp:wrapNone/>
                      <wp:docPr id="497" name="文本框 497"/>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1F1AAA5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联华村田楼</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63pt;margin-top:146.45pt;height:23.6pt;width:93.75pt;z-index:251684864;mso-width-relative:page;mso-height-relative:page;" filled="f" stroked="f" coordsize="21600,21600" o:gfxdata="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CH30NDZAAAACwEAAA8AAAAAAAAAAQAgAAAAIgAAAGRycy9kb3ducmV2&#10;LnhtbFBLAQIUABQAAAAIAIdO4kDNh4MYNAIAAFoEAAAOAAAAAAAAAAEAIAAAACgBAABkcnMvZTJv&#10;RG9jLnhtbFBLBQYAAAAABgAGAFkBAADOBQAAAAA=&#10;">
                      <v:fill on="f" focussize="0,0"/>
                      <v:stroke on="f" weight="0.5pt"/>
                      <v:imagedata o:title=""/>
                      <o:lock v:ext="edit" aspectratio="f"/>
                      <v:textbox inset="0mm,0mm,0mm,0mm">
                        <w:txbxContent>
                          <w:p w14:paraId="1F1AAA5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联华村田楼</w:t>
                            </w:r>
                          </w:p>
                        </w:txbxContent>
                      </v:textbox>
                    </v:shape>
                  </w:pict>
                </mc:Fallback>
              </mc:AlternateContent>
            </w:r>
            <w:r>
              <w:rPr>
                <w:color w:val="000000" w:themeColor="text1"/>
                <w14:textFill>
                  <w14:solidFill>
                    <w14:schemeClr w14:val="tx1"/>
                  </w14:solidFill>
                </w14:textFill>
              </w:rPr>
              <w:drawing>
                <wp:inline distT="0" distB="0" distL="0" distR="0">
                  <wp:extent cx="2635250" cy="2735580"/>
                  <wp:effectExtent l="0" t="0" r="0" b="762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pic:cNvPicPr>
                            <a:picLocks noChangeAspect="1" noChangeArrowheads="1"/>
                          </pic:cNvPicPr>
                        </pic:nvPicPr>
                        <pic:blipFill>
                          <a:blip r:embed="rId64" cstate="email"/>
                          <a:srcRect/>
                          <a:stretch>
                            <a:fillRect/>
                          </a:stretch>
                        </pic:blipFill>
                        <pic:spPr>
                          <a:xfrm>
                            <a:off x="0" y="0"/>
                            <a:ext cx="2639042" cy="2739544"/>
                          </a:xfrm>
                          <a:prstGeom prst="rect">
                            <a:avLst/>
                          </a:prstGeom>
                          <a:noFill/>
                          <a:ln>
                            <a:noFill/>
                          </a:ln>
                        </pic:spPr>
                      </pic:pic>
                    </a:graphicData>
                  </a:graphic>
                </wp:inline>
              </w:drawing>
            </w:r>
          </w:p>
        </w:tc>
        <w:tc>
          <w:tcPr>
            <w:tcW w:w="1340" w:type="pct"/>
            <w:vMerge w:val="restart"/>
            <w:shd w:val="clear" w:color="auto" w:fill="auto"/>
            <w:vAlign w:val="center"/>
          </w:tcPr>
          <w:p w14:paraId="7C222378">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1452245</wp:posOffset>
                      </wp:positionH>
                      <wp:positionV relativeFrom="paragraph">
                        <wp:posOffset>765175</wp:posOffset>
                      </wp:positionV>
                      <wp:extent cx="908685" cy="2134870"/>
                      <wp:effectExtent l="38100" t="38100" r="62865" b="0"/>
                      <wp:wrapNone/>
                      <wp:docPr id="489" name="箭头: 下 489"/>
                      <wp:cNvGraphicFramePr/>
                      <a:graphic xmlns:a="http://schemas.openxmlformats.org/drawingml/2006/main">
                        <a:graphicData uri="http://schemas.microsoft.com/office/word/2010/wordprocessingShape">
                          <wps:wsp>
                            <wps:cNvSpPr/>
                            <wps:spPr>
                              <a:xfrm rot="20797165">
                                <a:off x="0" y="0"/>
                                <a:ext cx="908685" cy="2134870"/>
                              </a:xfrm>
                              <a:prstGeom prst="downArrow">
                                <a:avLst>
                                  <a:gd name="adj1" fmla="val 50000"/>
                                  <a:gd name="adj2" fmla="val 94415"/>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489" o:spid="_x0000_s1026" o:spt="67" type="#_x0000_t67" style="position:absolute;left:0pt;margin-left:114.35pt;margin-top:60.25pt;height:168.1pt;width:71.55pt;rotation:-876910f;z-index:251683840;v-text-anchor:middle;mso-width-relative:page;mso-height-relative:page;" fillcolor="#FF0000" filled="t" stroked="t" coordsize="21600,21600" o:gfxdata="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q35NnNsAAAALAQAADwAAAAAAAAAB&#10;ACAAAAAiAAAAZHJzL2Rvd25yZXYueG1sUEsBAhQAFAAAAAgAh07iQGB9Vri4AgAAgwUAAA4AAAAA&#10;AAAAAQAgAAAAKgEAAGRycy9lMm9Eb2MueG1sUEsFBgAAAAAGAAYAWQEAAFQGAAAAAA==&#10;" adj="12920,5400">
                      <v:fill on="t" opacity="13107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2371725</wp:posOffset>
                      </wp:positionH>
                      <wp:positionV relativeFrom="paragraph">
                        <wp:posOffset>1127760</wp:posOffset>
                      </wp:positionV>
                      <wp:extent cx="1190625" cy="299720"/>
                      <wp:effectExtent l="0" t="0" r="9525" b="5080"/>
                      <wp:wrapNone/>
                      <wp:docPr id="498" name="文本框 498"/>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3A7B5F6D">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联华村田楼</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86.75pt;margin-top:88.8pt;height:23.6pt;width:93.75pt;z-index:251685888;mso-width-relative:page;mso-height-relative:page;" filled="f" stroked="f" coordsize="21600,21600" o:gfxdata="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AVIPcDaAAAACwEAAA8AAAAAAAAAAQAgAAAAIgAAAGRycy9kb3ducmV2&#10;LnhtbFBLAQIUABQAAAAIAIdO4kCvO5FGMwIAAFoEAAAOAAAAAAAAAAEAIAAAACkBAABkcnMvZTJv&#10;RG9jLnhtbFBLBQYAAAAABgAGAFkBAADOBQAAAAA=&#10;">
                      <v:fill on="f" focussize="0,0"/>
                      <v:stroke on="f" weight="0.5pt"/>
                      <v:imagedata o:title=""/>
                      <o:lock v:ext="edit" aspectratio="f"/>
                      <v:textbox inset="0mm,0mm,0mm,0mm">
                        <w:txbxContent>
                          <w:p w14:paraId="3A7B5F6D">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联华村田楼</w:t>
                            </w:r>
                          </w:p>
                        </w:txbxContent>
                      </v:textbox>
                    </v:shape>
                  </w:pict>
                </mc:Fallback>
              </mc:AlternateContent>
            </w:r>
            <w:r>
              <w:rPr>
                <w:color w:val="000000" w:themeColor="text1"/>
                <w14:textFill>
                  <w14:solidFill>
                    <w14:schemeClr w14:val="tx1"/>
                  </w14:solidFill>
                </w14:textFill>
              </w:rPr>
              <w:drawing>
                <wp:inline distT="0" distB="0" distL="0" distR="0">
                  <wp:extent cx="3559810" cy="2860040"/>
                  <wp:effectExtent l="0" t="0" r="254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65" cstate="email"/>
                          <a:srcRect/>
                          <a:stretch>
                            <a:fillRect/>
                          </a:stretch>
                        </pic:blipFill>
                        <pic:spPr>
                          <a:xfrm>
                            <a:off x="0" y="0"/>
                            <a:ext cx="3560113" cy="2860040"/>
                          </a:xfrm>
                          <a:prstGeom prst="rect">
                            <a:avLst/>
                          </a:prstGeom>
                          <a:ln>
                            <a:noFill/>
                          </a:ln>
                        </pic:spPr>
                      </pic:pic>
                    </a:graphicData>
                  </a:graphic>
                </wp:inline>
              </w:drawing>
            </w:r>
          </w:p>
        </w:tc>
        <w:tc>
          <w:tcPr>
            <w:tcW w:w="645" w:type="pct"/>
            <w:vMerge w:val="restart"/>
            <w:shd w:val="clear" w:color="auto" w:fill="auto"/>
            <w:vAlign w:val="center"/>
          </w:tcPr>
          <w:p w14:paraId="57186DBB">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31" o:spt="75" type="#_x0000_t75" style="height:69pt;width:146.25pt;" o:ole="t" filled="f" o:preferrelative="t" stroked="f" coordsize="21600,21600">
                  <v:path/>
                  <v:fill on="f" focussize="0,0"/>
                  <v:stroke on="f" joinstyle="miter"/>
                  <v:imagedata r:id="rId67" cropleft="2057f" cropright="1259f" cropbottom="5555f" o:title=""/>
                  <o:lock v:ext="edit" aspectratio="t"/>
                  <w10:wrap type="none"/>
                  <w10:anchorlock/>
                </v:shape>
                <o:OLEObject Type="Embed" ProgID="AutoCAD.Drawing.24" ShapeID="_x0000_i1031" DrawAspect="Content" ObjectID="_1468075731" r:id="rId66">
                  <o:LockedField>false</o:LockedField>
                </o:OLEObject>
              </w:object>
            </w:r>
          </w:p>
        </w:tc>
      </w:tr>
      <w:tr w14:paraId="25FD64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569" w:hRule="atLeast"/>
          <w:jc w:val="center"/>
        </w:trPr>
        <w:tc>
          <w:tcPr>
            <w:tcW w:w="66" w:type="pct"/>
            <w:vMerge w:val="continue"/>
            <w:shd w:val="clear" w:color="auto" w:fill="auto"/>
            <w:vAlign w:val="center"/>
          </w:tcPr>
          <w:p w14:paraId="09D0DFD9">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27151D2C">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017F072B">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7D79C2A5">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559C1E15">
            <w:pPr>
              <w:pStyle w:val="105"/>
              <w:jc w:val="center"/>
              <w:rPr>
                <w:color w:val="000000" w:themeColor="text1"/>
                <w:sz w:val="18"/>
                <w:szCs w:val="18"/>
                <w14:textFill>
                  <w14:solidFill>
                    <w14:schemeClr w14:val="tx1"/>
                  </w14:solidFill>
                </w14:textFill>
              </w:rPr>
            </w:pPr>
          </w:p>
        </w:tc>
        <w:tc>
          <w:tcPr>
            <w:tcW w:w="99" w:type="pct"/>
            <w:shd w:val="clear" w:color="auto" w:fill="auto"/>
            <w:vAlign w:val="center"/>
          </w:tcPr>
          <w:p w14:paraId="29D0820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.7</w:t>
            </w:r>
          </w:p>
        </w:tc>
        <w:tc>
          <w:tcPr>
            <w:tcW w:w="99" w:type="pct"/>
            <w:shd w:val="clear" w:color="auto" w:fill="auto"/>
            <w:vAlign w:val="center"/>
          </w:tcPr>
          <w:p w14:paraId="66CB26B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两侧</w:t>
            </w:r>
          </w:p>
        </w:tc>
        <w:tc>
          <w:tcPr>
            <w:tcW w:w="199" w:type="pct"/>
            <w:shd w:val="clear" w:color="auto" w:fill="auto"/>
            <w:vAlign w:val="center"/>
          </w:tcPr>
          <w:p w14:paraId="7B6EBF9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w:t>
            </w:r>
          </w:p>
        </w:tc>
        <w:tc>
          <w:tcPr>
            <w:tcW w:w="166" w:type="pct"/>
            <w:shd w:val="clear" w:color="auto" w:fill="auto"/>
            <w:vAlign w:val="center"/>
          </w:tcPr>
          <w:p w14:paraId="1B9D608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0</w:t>
            </w:r>
          </w:p>
        </w:tc>
        <w:tc>
          <w:tcPr>
            <w:tcW w:w="166" w:type="pct"/>
            <w:shd w:val="clear" w:color="auto" w:fill="auto"/>
            <w:vAlign w:val="center"/>
          </w:tcPr>
          <w:p w14:paraId="451F9BD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6</w:t>
            </w:r>
          </w:p>
        </w:tc>
        <w:tc>
          <w:tcPr>
            <w:tcW w:w="132" w:type="pct"/>
            <w:shd w:val="clear" w:color="auto" w:fill="auto"/>
            <w:vAlign w:val="center"/>
          </w:tcPr>
          <w:p w14:paraId="5EB47C8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166" w:type="pct"/>
            <w:shd w:val="clear" w:color="auto" w:fill="auto"/>
            <w:vAlign w:val="center"/>
          </w:tcPr>
          <w:p w14:paraId="38A3C7B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8</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191</w:t>
            </w:r>
            <w:r>
              <w:rPr>
                <w:rFonts w:hint="eastAsia"/>
                <w:color w:val="000000" w:themeColor="text1"/>
                <w:sz w:val="18"/>
                <w:szCs w:val="18"/>
                <w14:textFill>
                  <w14:solidFill>
                    <w14:schemeClr w14:val="tx1"/>
                  </w14:solidFill>
                </w14:textFill>
              </w:rPr>
              <w:t>人</w:t>
            </w:r>
          </w:p>
        </w:tc>
        <w:tc>
          <w:tcPr>
            <w:tcW w:w="397" w:type="pct"/>
            <w:vMerge w:val="continue"/>
            <w:shd w:val="clear" w:color="auto" w:fill="auto"/>
          </w:tcPr>
          <w:p w14:paraId="07A53F7A">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7597795C">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66E0B657">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74265727">
            <w:pPr>
              <w:pStyle w:val="105"/>
              <w:ind w:left="-120" w:leftChars="-50" w:right="-120" w:rightChars="-50"/>
              <w:jc w:val="center"/>
              <w:rPr>
                <w:color w:val="000000" w:themeColor="text1"/>
                <w:sz w:val="18"/>
                <w:szCs w:val="18"/>
                <w14:textFill>
                  <w14:solidFill>
                    <w14:schemeClr w14:val="tx1"/>
                  </w14:solidFill>
                </w14:textFill>
              </w:rPr>
            </w:pPr>
          </w:p>
        </w:tc>
      </w:tr>
      <w:tr w14:paraId="39D3CB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106" w:hRule="atLeast"/>
          <w:jc w:val="center"/>
        </w:trPr>
        <w:tc>
          <w:tcPr>
            <w:tcW w:w="66" w:type="pct"/>
            <w:vMerge w:val="restart"/>
            <w:shd w:val="clear" w:color="auto" w:fill="auto"/>
            <w:vAlign w:val="center"/>
          </w:tcPr>
          <w:p w14:paraId="1A978D5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9</w:t>
            </w:r>
          </w:p>
        </w:tc>
        <w:tc>
          <w:tcPr>
            <w:tcW w:w="133" w:type="pct"/>
            <w:vMerge w:val="restart"/>
            <w:shd w:val="clear" w:color="auto" w:fill="auto"/>
            <w:vAlign w:val="center"/>
          </w:tcPr>
          <w:p w14:paraId="4610974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联华村（西山）</w:t>
            </w:r>
          </w:p>
        </w:tc>
        <w:tc>
          <w:tcPr>
            <w:tcW w:w="132" w:type="pct"/>
            <w:vMerge w:val="restart"/>
            <w:shd w:val="clear" w:color="auto" w:fill="auto"/>
            <w:vAlign w:val="center"/>
          </w:tcPr>
          <w:p w14:paraId="3CFFFBD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29D4784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2+940~</w:t>
            </w:r>
            <w:r>
              <w:rPr>
                <w:rFonts w:hint="eastAsia"/>
                <w:color w:val="000000" w:themeColor="text1"/>
                <w:sz w:val="18"/>
                <w:szCs w:val="18"/>
                <w14:textFill>
                  <w14:solidFill>
                    <w14:schemeClr w14:val="tx1"/>
                  </w14:solidFill>
                </w14:textFill>
              </w:rPr>
              <w:t xml:space="preserve"> K</w:t>
            </w:r>
            <w:r>
              <w:rPr>
                <w:color w:val="000000" w:themeColor="text1"/>
                <w:sz w:val="18"/>
                <w:szCs w:val="18"/>
                <w14:textFill>
                  <w14:solidFill>
                    <w14:schemeClr w14:val="tx1"/>
                  </w14:solidFill>
                </w14:textFill>
              </w:rPr>
              <w:t>3+540</w:t>
            </w:r>
          </w:p>
        </w:tc>
        <w:tc>
          <w:tcPr>
            <w:tcW w:w="100" w:type="pct"/>
            <w:vMerge w:val="restart"/>
            <w:shd w:val="clear" w:color="auto" w:fill="auto"/>
            <w:vAlign w:val="center"/>
          </w:tcPr>
          <w:p w14:paraId="0AA2035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w:t>
            </w:r>
          </w:p>
        </w:tc>
        <w:tc>
          <w:tcPr>
            <w:tcW w:w="99" w:type="pct"/>
            <w:shd w:val="clear" w:color="auto" w:fill="auto"/>
            <w:vAlign w:val="center"/>
          </w:tcPr>
          <w:p w14:paraId="4B1B221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99" w:type="pct"/>
            <w:shd w:val="clear" w:color="auto" w:fill="auto"/>
            <w:vAlign w:val="center"/>
          </w:tcPr>
          <w:p w14:paraId="114C160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2C85932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693F657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p>
        </w:tc>
        <w:tc>
          <w:tcPr>
            <w:tcW w:w="166" w:type="pct"/>
            <w:shd w:val="clear" w:color="auto" w:fill="auto"/>
            <w:vAlign w:val="center"/>
          </w:tcPr>
          <w:p w14:paraId="71A7D69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w:t>
            </w:r>
          </w:p>
        </w:tc>
        <w:tc>
          <w:tcPr>
            <w:tcW w:w="132" w:type="pct"/>
            <w:shd w:val="clear" w:color="auto" w:fill="auto"/>
            <w:vAlign w:val="center"/>
          </w:tcPr>
          <w:p w14:paraId="62AD87D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752EE6D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20</w:t>
            </w:r>
            <w:r>
              <w:rPr>
                <w:rFonts w:hint="eastAsia"/>
                <w:color w:val="000000" w:themeColor="text1"/>
                <w:sz w:val="18"/>
                <w:szCs w:val="18"/>
                <w14:textFill>
                  <w14:solidFill>
                    <w14:schemeClr w14:val="tx1"/>
                  </w14:solidFill>
                </w14:textFill>
              </w:rPr>
              <w:t>人</w:t>
            </w:r>
          </w:p>
        </w:tc>
        <w:tc>
          <w:tcPr>
            <w:tcW w:w="397" w:type="pct"/>
            <w:vMerge w:val="restart"/>
            <w:shd w:val="clear" w:color="auto" w:fill="auto"/>
          </w:tcPr>
          <w:p w14:paraId="65116A7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砖混结构，建筑主要为2</w:t>
            </w: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层，主要建筑侧向、背对拟建道路（南），铝合金推拉窗，周边园地，与道路之间无密集林带。</w:t>
            </w:r>
          </w:p>
        </w:tc>
        <w:tc>
          <w:tcPr>
            <w:tcW w:w="994" w:type="pct"/>
            <w:vMerge w:val="restart"/>
            <w:shd w:val="clear" w:color="auto" w:fill="auto"/>
            <w:vAlign w:val="center"/>
          </w:tcPr>
          <w:p w14:paraId="30D0D9A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1266825</wp:posOffset>
                      </wp:positionH>
                      <wp:positionV relativeFrom="paragraph">
                        <wp:posOffset>212090</wp:posOffset>
                      </wp:positionV>
                      <wp:extent cx="1190625" cy="299720"/>
                      <wp:effectExtent l="0" t="0" r="9525" b="5080"/>
                      <wp:wrapNone/>
                      <wp:docPr id="500" name="文本框 500"/>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3C5F231A">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联华村朱里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99.75pt;margin-top:16.7pt;height:23.6pt;width:93.75pt;z-index:251699200;mso-width-relative:page;mso-height-relative:page;" filled="f" stroked="f" coordsize="21600,21600" o:gfxdata="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BAN5nNgAAAAJAQAADwAAAAAAAAABACAAAAAiAAAAZHJzL2Rvd25yZXYu&#10;eG1sUEsBAhQAFAAAAAgAh07iQNFI7IE0AgAAWgQAAA4AAAAAAAAAAQAgAAAAJwEAAGRycy9lMm9E&#10;b2MueG1sUEsFBgAAAAAGAAYAWQEAAM0FAAAAAA==&#10;">
                      <v:fill on="f" focussize="0,0"/>
                      <v:stroke on="f" weight="0.5pt"/>
                      <v:imagedata o:title=""/>
                      <o:lock v:ext="edit" aspectratio="f"/>
                      <v:textbox inset="0mm,0mm,0mm,0mm">
                        <w:txbxContent>
                          <w:p w14:paraId="3C5F231A">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联华村朱里</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975360</wp:posOffset>
                      </wp:positionH>
                      <wp:positionV relativeFrom="paragraph">
                        <wp:posOffset>1581785</wp:posOffset>
                      </wp:positionV>
                      <wp:extent cx="1190625" cy="299720"/>
                      <wp:effectExtent l="0" t="0" r="9525" b="5080"/>
                      <wp:wrapNone/>
                      <wp:docPr id="499" name="文本框 499"/>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225D25E3">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联华村西山</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6.8pt;margin-top:124.55pt;height:23.6pt;width:93.75pt;z-index:251698176;mso-width-relative:page;mso-height-relative:page;" filled="f" stroked="f" coordsize="21600,21600" o:gfxdata="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EV1kH7ZAAAACwEAAA8AAAAAAAAAAQAgAAAAIgAAAGRycy9kb3ducmV2&#10;LnhtbFBLAQIUABQAAAAIAIdO4kCP2H4BNAIAAFoEAAAOAAAAAAAAAAEAIAAAACgBAABkcnMvZTJv&#10;RG9jLnhtbFBLBQYAAAAABgAGAFkBAADOBQAAAAA=&#10;">
                      <v:fill on="f" focussize="0,0"/>
                      <v:stroke on="f" weight="0.5pt"/>
                      <v:imagedata o:title=""/>
                      <o:lock v:ext="edit" aspectratio="f"/>
                      <v:textbox inset="0mm,0mm,0mm,0mm">
                        <w:txbxContent>
                          <w:p w14:paraId="225D25E3">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联华村西山</w:t>
                            </w:r>
                          </w:p>
                        </w:txbxContent>
                      </v:textbox>
                    </v:shape>
                  </w:pict>
                </mc:Fallback>
              </mc:AlternateContent>
            </w:r>
            <w:r>
              <w:rPr>
                <w:color w:val="000000" w:themeColor="text1"/>
                <w14:textFill>
                  <w14:solidFill>
                    <w14:schemeClr w14:val="tx1"/>
                  </w14:solidFill>
                </w14:textFill>
              </w:rPr>
              <w:drawing>
                <wp:inline distT="0" distB="0" distL="0" distR="0">
                  <wp:extent cx="2625725" cy="2714625"/>
                  <wp:effectExtent l="0" t="0" r="3175"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noChangeArrowheads="1"/>
                          </pic:cNvPicPr>
                        </pic:nvPicPr>
                        <pic:blipFill>
                          <a:blip r:embed="rId68" cstate="email"/>
                          <a:srcRect/>
                          <a:stretch>
                            <a:fillRect/>
                          </a:stretch>
                        </pic:blipFill>
                        <pic:spPr>
                          <a:xfrm>
                            <a:off x="0" y="0"/>
                            <a:ext cx="2630898" cy="2719650"/>
                          </a:xfrm>
                          <a:prstGeom prst="rect">
                            <a:avLst/>
                          </a:prstGeom>
                          <a:noFill/>
                          <a:ln>
                            <a:noFill/>
                          </a:ln>
                        </pic:spPr>
                      </pic:pic>
                    </a:graphicData>
                  </a:graphic>
                </wp:inline>
              </w:drawing>
            </w:r>
          </w:p>
        </w:tc>
        <w:tc>
          <w:tcPr>
            <w:tcW w:w="1340" w:type="pct"/>
            <w:vMerge w:val="restart"/>
            <w:shd w:val="clear" w:color="auto" w:fill="auto"/>
            <w:vAlign w:val="center"/>
          </w:tcPr>
          <w:p w14:paraId="46189293">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4445</wp:posOffset>
                      </wp:positionH>
                      <wp:positionV relativeFrom="paragraph">
                        <wp:posOffset>960755</wp:posOffset>
                      </wp:positionV>
                      <wp:extent cx="805180" cy="2134870"/>
                      <wp:effectExtent l="285750" t="0" r="109220" b="0"/>
                      <wp:wrapNone/>
                      <wp:docPr id="4" name="箭头: 下 4"/>
                      <wp:cNvGraphicFramePr/>
                      <a:graphic xmlns:a="http://schemas.openxmlformats.org/drawingml/2006/main">
                        <a:graphicData uri="http://schemas.microsoft.com/office/word/2010/wordprocessingShape">
                          <wps:wsp>
                            <wps:cNvSpPr/>
                            <wps:spPr>
                              <a:xfrm rot="19935795">
                                <a:off x="0" y="0"/>
                                <a:ext cx="805180" cy="2134870"/>
                              </a:xfrm>
                              <a:prstGeom prst="downArrow">
                                <a:avLst>
                                  <a:gd name="adj1" fmla="val 50000"/>
                                  <a:gd name="adj2" fmla="val 94415"/>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4" o:spid="_x0000_s1026" o:spt="67" type="#_x0000_t67" style="position:absolute;left:0pt;margin-left:0.35pt;margin-top:75.65pt;height:168.1pt;width:63.4pt;rotation:-1817756f;z-index:251701248;v-text-anchor:middle;mso-width-relative:page;mso-height-relative:page;" fillcolor="#FF0000" filled="t" stroked="t" coordsize="21600,21600" o:gfxdata="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DSLnd92AAAAAgBAAAPAAAAAAAAAAEAIAAAACIA&#10;AABkcnMvZG93bnJldi54bWxQSwECFAAUAAAACACHTuJAuXGazLQCAAB/BQAADgAAAAAAAAABACAA&#10;AAAnAQAAZHJzL2Uyb0RvYy54bWxQSwUGAAAAAAYABgBZAQAATQYAAAAA&#10;" adj="13909,5400">
                      <v:fill on="t" opacity="13107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1571625</wp:posOffset>
                      </wp:positionH>
                      <wp:positionV relativeFrom="paragraph">
                        <wp:posOffset>1116330</wp:posOffset>
                      </wp:positionV>
                      <wp:extent cx="1190625" cy="299720"/>
                      <wp:effectExtent l="0" t="0" r="9525" b="5080"/>
                      <wp:wrapNone/>
                      <wp:docPr id="502" name="文本框 502"/>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4D40C60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联华村西山</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23.75pt;margin-top:87.9pt;height:23.6pt;width:93.75pt;z-index:251700224;mso-width-relative:page;mso-height-relative:page;" filled="f" stroked="f" coordsize="21600,21600" o:gfxdata="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iCamj2AAAAAsBAAAPAAAAAAAAAAEAIAAAACIAAABkcnMvZG93bnJldi54&#10;bWxQSwECFAAUAAAACACHTuJAkY4zDjMCAABaBAAADgAAAAAAAAABACAAAAAnAQAAZHJzL2Uyb0Rv&#10;Yy54bWxQSwUGAAAAAAYABgBZAQAAzAUAAAAA&#10;">
                      <v:fill on="f" focussize="0,0"/>
                      <v:stroke on="f" weight="0.5pt"/>
                      <v:imagedata o:title=""/>
                      <o:lock v:ext="edit" aspectratio="f"/>
                      <v:textbox inset="0mm,0mm,0mm,0mm">
                        <w:txbxContent>
                          <w:p w14:paraId="4D40C601">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联华村西山</w:t>
                            </w:r>
                          </w:p>
                        </w:txbxContent>
                      </v:textbox>
                    </v:shape>
                  </w:pict>
                </mc:Fallback>
              </mc:AlternateContent>
            </w:r>
            <w:r>
              <w:rPr>
                <w:color w:val="000000" w:themeColor="text1"/>
                <w14:textFill>
                  <w14:solidFill>
                    <w14:schemeClr w14:val="tx1"/>
                  </w14:solidFill>
                </w14:textFill>
              </w:rPr>
              <w:drawing>
                <wp:inline distT="0" distB="0" distL="0" distR="0">
                  <wp:extent cx="3603625" cy="3188335"/>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69" cstate="email"/>
                          <a:stretch>
                            <a:fillRect/>
                          </a:stretch>
                        </pic:blipFill>
                        <pic:spPr>
                          <a:xfrm>
                            <a:off x="0" y="0"/>
                            <a:ext cx="3618783" cy="3201372"/>
                          </a:xfrm>
                          <a:prstGeom prst="rect">
                            <a:avLst/>
                          </a:prstGeom>
                        </pic:spPr>
                      </pic:pic>
                    </a:graphicData>
                  </a:graphic>
                </wp:inline>
              </w:drawing>
            </w:r>
          </w:p>
        </w:tc>
        <w:tc>
          <w:tcPr>
            <w:tcW w:w="645" w:type="pct"/>
            <w:vMerge w:val="restart"/>
            <w:shd w:val="clear" w:color="auto" w:fill="auto"/>
            <w:vAlign w:val="center"/>
          </w:tcPr>
          <w:p w14:paraId="29D2F3B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32" o:spt="75" type="#_x0000_t75" style="height:66.75pt;width:136.55pt;" o:ole="t" filled="f" o:preferrelative="t" stroked="f" coordsize="21600,21600">
                  <v:path/>
                  <v:fill on="f" focussize="0,0"/>
                  <v:stroke on="f" joinstyle="miter"/>
                  <v:imagedata r:id="rId71" o:title=""/>
                  <o:lock v:ext="edit" aspectratio="t"/>
                  <w10:wrap type="none"/>
                  <w10:anchorlock/>
                </v:shape>
                <o:OLEObject Type="Embed" ProgID="AutoCAD.Drawing.24" ShapeID="_x0000_i1032" DrawAspect="Content" ObjectID="_1468075732" r:id="rId70">
                  <o:LockedField>false</o:LockedField>
                </o:OLEObject>
              </w:object>
            </w:r>
          </w:p>
        </w:tc>
      </w:tr>
      <w:tr w14:paraId="38F535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407" w:hRule="atLeast"/>
          <w:jc w:val="center"/>
        </w:trPr>
        <w:tc>
          <w:tcPr>
            <w:tcW w:w="66" w:type="pct"/>
            <w:vMerge w:val="continue"/>
            <w:shd w:val="clear" w:color="auto" w:fill="auto"/>
            <w:vAlign w:val="center"/>
          </w:tcPr>
          <w:p w14:paraId="7855EAB3">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18059AB9">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13C347C2">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55C59677">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3B72350D">
            <w:pPr>
              <w:pStyle w:val="105"/>
              <w:jc w:val="center"/>
              <w:rPr>
                <w:color w:val="000000" w:themeColor="text1"/>
                <w:sz w:val="18"/>
                <w:szCs w:val="18"/>
                <w14:textFill>
                  <w14:solidFill>
                    <w14:schemeClr w14:val="tx1"/>
                  </w14:solidFill>
                </w14:textFill>
              </w:rPr>
            </w:pPr>
          </w:p>
        </w:tc>
        <w:tc>
          <w:tcPr>
            <w:tcW w:w="99" w:type="pct"/>
            <w:shd w:val="clear" w:color="auto" w:fill="auto"/>
            <w:vAlign w:val="center"/>
          </w:tcPr>
          <w:p w14:paraId="5C3609A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99" w:type="pct"/>
            <w:shd w:val="clear" w:color="auto" w:fill="auto"/>
            <w:vAlign w:val="center"/>
          </w:tcPr>
          <w:p w14:paraId="5E5ADE4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路左</w:t>
            </w:r>
          </w:p>
        </w:tc>
        <w:tc>
          <w:tcPr>
            <w:tcW w:w="199" w:type="pct"/>
            <w:shd w:val="clear" w:color="auto" w:fill="auto"/>
            <w:vAlign w:val="center"/>
          </w:tcPr>
          <w:p w14:paraId="5A53F40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3283ED4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8</w:t>
            </w:r>
          </w:p>
        </w:tc>
        <w:tc>
          <w:tcPr>
            <w:tcW w:w="166" w:type="pct"/>
            <w:shd w:val="clear" w:color="auto" w:fill="auto"/>
            <w:vAlign w:val="center"/>
          </w:tcPr>
          <w:p w14:paraId="058A419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132" w:type="pct"/>
            <w:shd w:val="clear" w:color="auto" w:fill="auto"/>
            <w:vAlign w:val="center"/>
          </w:tcPr>
          <w:p w14:paraId="0E70929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166" w:type="pct"/>
            <w:shd w:val="clear" w:color="auto" w:fill="auto"/>
            <w:vAlign w:val="center"/>
          </w:tcPr>
          <w:p w14:paraId="6859A0C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6</w:t>
            </w:r>
            <w:r>
              <w:rPr>
                <w:rFonts w:hint="eastAsia"/>
                <w:color w:val="000000" w:themeColor="text1"/>
                <w:sz w:val="18"/>
                <w:szCs w:val="18"/>
                <w14:textFill>
                  <w14:solidFill>
                    <w14:schemeClr w14:val="tx1"/>
                  </w14:solidFill>
                </w14:textFill>
              </w:rPr>
              <w:t>户2</w:t>
            </w:r>
            <w:r>
              <w:rPr>
                <w:color w:val="000000" w:themeColor="text1"/>
                <w:sz w:val="18"/>
                <w:szCs w:val="18"/>
                <w14:textFill>
                  <w14:solidFill>
                    <w14:schemeClr w14:val="tx1"/>
                  </w14:solidFill>
                </w14:textFill>
              </w:rPr>
              <w:t>30</w:t>
            </w:r>
            <w:r>
              <w:rPr>
                <w:rFonts w:hint="eastAsia"/>
                <w:color w:val="000000" w:themeColor="text1"/>
                <w:sz w:val="18"/>
                <w:szCs w:val="18"/>
                <w14:textFill>
                  <w14:solidFill>
                    <w14:schemeClr w14:val="tx1"/>
                  </w14:solidFill>
                </w14:textFill>
              </w:rPr>
              <w:t>人</w:t>
            </w:r>
          </w:p>
        </w:tc>
        <w:tc>
          <w:tcPr>
            <w:tcW w:w="397" w:type="pct"/>
            <w:vMerge w:val="continue"/>
            <w:shd w:val="clear" w:color="auto" w:fill="auto"/>
          </w:tcPr>
          <w:p w14:paraId="7A4AF33C">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2163E3BC">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6ED25131">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1B6FB93C">
            <w:pPr>
              <w:pStyle w:val="105"/>
              <w:ind w:left="-120" w:leftChars="-50" w:right="-120" w:rightChars="-50"/>
              <w:jc w:val="center"/>
              <w:rPr>
                <w:color w:val="000000" w:themeColor="text1"/>
                <w:sz w:val="18"/>
                <w:szCs w:val="18"/>
                <w14:textFill>
                  <w14:solidFill>
                    <w14:schemeClr w14:val="tx1"/>
                  </w14:solidFill>
                </w14:textFill>
              </w:rPr>
            </w:pPr>
          </w:p>
        </w:tc>
      </w:tr>
      <w:tr w14:paraId="2AC562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569" w:hRule="atLeast"/>
          <w:jc w:val="center"/>
        </w:trPr>
        <w:tc>
          <w:tcPr>
            <w:tcW w:w="66" w:type="pct"/>
            <w:shd w:val="clear" w:color="auto" w:fill="auto"/>
            <w:vAlign w:val="center"/>
          </w:tcPr>
          <w:p w14:paraId="7F7BBCF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w:t>
            </w:r>
          </w:p>
        </w:tc>
        <w:tc>
          <w:tcPr>
            <w:tcW w:w="133" w:type="pct"/>
            <w:shd w:val="clear" w:color="auto" w:fill="auto"/>
            <w:vAlign w:val="center"/>
          </w:tcPr>
          <w:p w14:paraId="1D4BF3C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联华村（朱里）</w:t>
            </w:r>
          </w:p>
        </w:tc>
        <w:tc>
          <w:tcPr>
            <w:tcW w:w="132" w:type="pct"/>
            <w:shd w:val="clear" w:color="auto" w:fill="auto"/>
            <w:vAlign w:val="center"/>
          </w:tcPr>
          <w:p w14:paraId="6436FFA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shd w:val="clear" w:color="auto" w:fill="auto"/>
            <w:vAlign w:val="center"/>
          </w:tcPr>
          <w:p w14:paraId="2A67BFE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3+020~</w:t>
            </w:r>
            <w:r>
              <w:rPr>
                <w:rFonts w:hint="eastAsia"/>
                <w:color w:val="000000" w:themeColor="text1"/>
                <w:sz w:val="18"/>
                <w:szCs w:val="18"/>
                <w14:textFill>
                  <w14:solidFill>
                    <w14:schemeClr w14:val="tx1"/>
                  </w14:solidFill>
                </w14:textFill>
              </w:rPr>
              <w:t xml:space="preserve"> K</w:t>
            </w:r>
            <w:r>
              <w:rPr>
                <w:color w:val="000000" w:themeColor="text1"/>
                <w:sz w:val="18"/>
                <w:szCs w:val="18"/>
                <w14:textFill>
                  <w14:solidFill>
                    <w14:schemeClr w14:val="tx1"/>
                  </w14:solidFill>
                </w14:textFill>
              </w:rPr>
              <w:t>3+300</w:t>
            </w:r>
          </w:p>
        </w:tc>
        <w:tc>
          <w:tcPr>
            <w:tcW w:w="100" w:type="pct"/>
            <w:shd w:val="clear" w:color="auto" w:fill="auto"/>
            <w:vAlign w:val="center"/>
          </w:tcPr>
          <w:p w14:paraId="0C5F217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w:t>
            </w:r>
          </w:p>
        </w:tc>
        <w:tc>
          <w:tcPr>
            <w:tcW w:w="99" w:type="pct"/>
            <w:shd w:val="clear" w:color="auto" w:fill="auto"/>
            <w:vAlign w:val="center"/>
          </w:tcPr>
          <w:p w14:paraId="29995B1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99" w:type="pct"/>
            <w:shd w:val="clear" w:color="auto" w:fill="auto"/>
            <w:vAlign w:val="center"/>
          </w:tcPr>
          <w:p w14:paraId="7D37028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6BD6D16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1947C31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9</w:t>
            </w:r>
            <w:r>
              <w:rPr>
                <w:color w:val="000000" w:themeColor="text1"/>
                <w:sz w:val="18"/>
                <w:szCs w:val="18"/>
                <w14:textFill>
                  <w14:solidFill>
                    <w14:schemeClr w14:val="tx1"/>
                  </w14:solidFill>
                </w14:textFill>
              </w:rPr>
              <w:t>8</w:t>
            </w:r>
          </w:p>
        </w:tc>
        <w:tc>
          <w:tcPr>
            <w:tcW w:w="166" w:type="pct"/>
            <w:shd w:val="clear" w:color="auto" w:fill="auto"/>
            <w:vAlign w:val="center"/>
          </w:tcPr>
          <w:p w14:paraId="01358ED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r>
              <w:rPr>
                <w:color w:val="000000" w:themeColor="text1"/>
                <w:sz w:val="18"/>
                <w:szCs w:val="18"/>
                <w14:textFill>
                  <w14:solidFill>
                    <w14:schemeClr w14:val="tx1"/>
                  </w14:solidFill>
                </w14:textFill>
              </w:rPr>
              <w:t>4</w:t>
            </w:r>
          </w:p>
        </w:tc>
        <w:tc>
          <w:tcPr>
            <w:tcW w:w="132" w:type="pct"/>
            <w:shd w:val="clear" w:color="auto" w:fill="auto"/>
            <w:vAlign w:val="center"/>
          </w:tcPr>
          <w:p w14:paraId="35CA8C8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166" w:type="pct"/>
            <w:shd w:val="clear" w:color="auto" w:fill="auto"/>
            <w:vAlign w:val="center"/>
          </w:tcPr>
          <w:p w14:paraId="645BAF1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14</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70</w:t>
            </w:r>
            <w:r>
              <w:rPr>
                <w:rFonts w:hint="eastAsia"/>
                <w:color w:val="000000" w:themeColor="text1"/>
                <w:sz w:val="18"/>
                <w:szCs w:val="18"/>
                <w14:textFill>
                  <w14:solidFill>
                    <w14:schemeClr w14:val="tx1"/>
                  </w14:solidFill>
                </w14:textFill>
              </w:rPr>
              <w:t>人</w:t>
            </w:r>
          </w:p>
        </w:tc>
        <w:tc>
          <w:tcPr>
            <w:tcW w:w="397" w:type="pct"/>
            <w:shd w:val="clear" w:color="auto" w:fill="auto"/>
          </w:tcPr>
          <w:p w14:paraId="548765D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砖混结构，建筑主要为2</w:t>
            </w: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层，主要建筑正向对拟建道路（南），铝合金推拉窗，周边园地，与道路之间无密集林带。</w:t>
            </w:r>
          </w:p>
        </w:tc>
        <w:tc>
          <w:tcPr>
            <w:tcW w:w="994" w:type="pct"/>
            <w:shd w:val="clear" w:color="auto" w:fill="auto"/>
            <w:vAlign w:val="center"/>
          </w:tcPr>
          <w:p w14:paraId="3A0575B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421005</wp:posOffset>
                      </wp:positionH>
                      <wp:positionV relativeFrom="paragraph">
                        <wp:posOffset>118745</wp:posOffset>
                      </wp:positionV>
                      <wp:extent cx="1190625" cy="299720"/>
                      <wp:effectExtent l="0" t="0" r="9525" b="5080"/>
                      <wp:wrapNone/>
                      <wp:docPr id="6" name="文本框 6"/>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38153357">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联华村朱里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3.15pt;margin-top:9.35pt;height:23.6pt;width:93.75pt;z-index:251702272;mso-width-relative:page;mso-height-relative:page;" filled="f" stroked="f" coordsize="21600,21600" o:gfxdata="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HavuivWAAAACAEAAA8AAAAAAAAAAQAgAAAAIgAAAGRycy9kb3ducmV2LnhtbFBL&#10;AQIUABQAAAAIAIdO4kDvTfZHMQIAAFYEAAAOAAAAAAAAAAEAIAAAACUBAABkcnMvZTJvRG9jLnht&#10;bFBLBQYAAAAABgAGAFkBAADIBQAAAAA=&#10;">
                      <v:fill on="f" focussize="0,0"/>
                      <v:stroke on="f" weight="0.5pt"/>
                      <v:imagedata o:title=""/>
                      <o:lock v:ext="edit" aspectratio="f"/>
                      <v:textbox inset="0mm,0mm,0mm,0mm">
                        <w:txbxContent>
                          <w:p w14:paraId="38153357">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联华村朱里</w:t>
                            </w:r>
                          </w:p>
                        </w:txbxContent>
                      </v:textbox>
                    </v:shape>
                  </w:pict>
                </mc:Fallback>
              </mc:AlternateContent>
            </w:r>
            <w:r>
              <w:rPr>
                <w:color w:val="000000" w:themeColor="text1"/>
                <w14:textFill>
                  <w14:solidFill>
                    <w14:schemeClr w14:val="tx1"/>
                  </w14:solidFill>
                </w14:textFill>
              </w:rPr>
              <w:drawing>
                <wp:inline distT="0" distB="0" distL="0" distR="0">
                  <wp:extent cx="2625725" cy="2714625"/>
                  <wp:effectExtent l="0" t="0" r="317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68" cstate="email"/>
                          <a:srcRect/>
                          <a:stretch>
                            <a:fillRect/>
                          </a:stretch>
                        </pic:blipFill>
                        <pic:spPr>
                          <a:xfrm>
                            <a:off x="0" y="0"/>
                            <a:ext cx="2630898" cy="2719650"/>
                          </a:xfrm>
                          <a:prstGeom prst="rect">
                            <a:avLst/>
                          </a:prstGeom>
                          <a:noFill/>
                          <a:ln>
                            <a:noFill/>
                          </a:ln>
                        </pic:spPr>
                      </pic:pic>
                    </a:graphicData>
                  </a:graphic>
                </wp:inline>
              </w:drawing>
            </w:r>
          </w:p>
        </w:tc>
        <w:tc>
          <w:tcPr>
            <w:tcW w:w="1340" w:type="pct"/>
            <w:shd w:val="clear" w:color="auto" w:fill="auto"/>
            <w:vAlign w:val="center"/>
          </w:tcPr>
          <w:p w14:paraId="22235289">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1183005</wp:posOffset>
                      </wp:positionH>
                      <wp:positionV relativeFrom="paragraph">
                        <wp:posOffset>1374775</wp:posOffset>
                      </wp:positionV>
                      <wp:extent cx="1190625" cy="299720"/>
                      <wp:effectExtent l="0" t="0" r="9525" b="5080"/>
                      <wp:wrapNone/>
                      <wp:docPr id="501" name="文本框 501"/>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37B33B2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联华村朱里</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93.15pt;margin-top:108.25pt;height:23.6pt;width:93.75pt;z-index:251686912;mso-width-relative:page;mso-height-relative:page;" filled="f" stroked="f" coordsize="21600,21600" o:gfxdata="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Tufr9kAAAALAQAADwAAAAAAAAABACAAAAAiAAAAZHJzL2Rvd25yZXYu&#10;eG1sUEsBAhQAFAAAAAgAh07iQPGrA8YzAgAAWgQAAA4AAAAAAAAAAQAgAAAAKAEAAGRycy9lMm9E&#10;b2MueG1sUEsFBgAAAAAGAAYAWQEAAM0FAAAAAA==&#10;">
                      <v:fill on="f" focussize="0,0"/>
                      <v:stroke on="f" weight="0.5pt"/>
                      <v:imagedata o:title=""/>
                      <o:lock v:ext="edit" aspectratio="f"/>
                      <v:textbox inset="0mm,0mm,0mm,0mm">
                        <w:txbxContent>
                          <w:p w14:paraId="37B33B22">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联华村朱里</w:t>
                            </w:r>
                          </w:p>
                        </w:txbxContent>
                      </v:textbox>
                    </v:shape>
                  </w:pict>
                </mc:Fallback>
              </mc:AlternateContent>
            </w:r>
            <w:r>
              <w:rPr>
                <w:color w:val="000000" w:themeColor="text1"/>
                <w14:textFill>
                  <w14:solidFill>
                    <w14:schemeClr w14:val="tx1"/>
                  </w14:solidFill>
                </w14:textFill>
              </w:rPr>
              <w:drawing>
                <wp:inline distT="0" distB="0" distL="0" distR="0">
                  <wp:extent cx="3488055" cy="2606675"/>
                  <wp:effectExtent l="0" t="0" r="0" b="3175"/>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pic:cNvPicPr>
                            <a:picLocks noChangeAspect="1"/>
                          </pic:cNvPicPr>
                        </pic:nvPicPr>
                        <pic:blipFill>
                          <a:blip r:embed="rId72" cstate="email"/>
                          <a:stretch>
                            <a:fillRect/>
                          </a:stretch>
                        </pic:blipFill>
                        <pic:spPr>
                          <a:xfrm>
                            <a:off x="0" y="0"/>
                            <a:ext cx="3490586" cy="2608141"/>
                          </a:xfrm>
                          <a:prstGeom prst="rect">
                            <a:avLst/>
                          </a:prstGeom>
                        </pic:spPr>
                      </pic:pic>
                    </a:graphicData>
                  </a:graphic>
                </wp:inline>
              </w:drawing>
            </w:r>
          </w:p>
        </w:tc>
        <w:tc>
          <w:tcPr>
            <w:tcW w:w="645" w:type="pct"/>
            <w:shd w:val="clear" w:color="auto" w:fill="auto"/>
            <w:vAlign w:val="center"/>
          </w:tcPr>
          <w:p w14:paraId="0E865450">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33" o:spt="75" type="#_x0000_t75" style="height:99pt;width:138pt;" o:ole="t" filled="f" o:preferrelative="t" stroked="f" coordsize="21600,21600">
                  <v:path/>
                  <v:fill on="f" focussize="0,0"/>
                  <v:stroke on="f" joinstyle="miter"/>
                  <v:imagedata r:id="rId74" cropleft="14418f" cropright="10508f" cropbottom="5555f" o:title=""/>
                  <o:lock v:ext="edit" aspectratio="t"/>
                  <w10:wrap type="none"/>
                  <w10:anchorlock/>
                </v:shape>
                <o:OLEObject Type="Embed" ProgID="AutoCAD.Drawing.24" ShapeID="_x0000_i1033" DrawAspect="Content" ObjectID="_1468075733" r:id="rId73">
                  <o:LockedField>false</o:LockedField>
                </o:OLEObject>
              </w:object>
            </w:r>
          </w:p>
        </w:tc>
      </w:tr>
      <w:tr w14:paraId="66ED2B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061" w:hRule="atLeast"/>
          <w:jc w:val="center"/>
        </w:trPr>
        <w:tc>
          <w:tcPr>
            <w:tcW w:w="66" w:type="pct"/>
            <w:vMerge w:val="restart"/>
            <w:shd w:val="clear" w:color="auto" w:fill="auto"/>
            <w:vAlign w:val="center"/>
          </w:tcPr>
          <w:p w14:paraId="175D327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1</w:t>
            </w:r>
          </w:p>
        </w:tc>
        <w:tc>
          <w:tcPr>
            <w:tcW w:w="133" w:type="pct"/>
            <w:vMerge w:val="restart"/>
            <w:shd w:val="clear" w:color="auto" w:fill="auto"/>
            <w:vAlign w:val="center"/>
          </w:tcPr>
          <w:p w14:paraId="0A3E7C2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联华村（木厝洋）</w:t>
            </w:r>
          </w:p>
        </w:tc>
        <w:tc>
          <w:tcPr>
            <w:tcW w:w="132" w:type="pct"/>
            <w:vMerge w:val="restart"/>
            <w:shd w:val="clear" w:color="auto" w:fill="auto"/>
            <w:vAlign w:val="center"/>
          </w:tcPr>
          <w:p w14:paraId="23B6542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49FD4C2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3+360~</w:t>
            </w:r>
            <w:r>
              <w:rPr>
                <w:rFonts w:hint="eastAsia"/>
                <w:color w:val="000000" w:themeColor="text1"/>
                <w:sz w:val="18"/>
                <w:szCs w:val="18"/>
                <w14:textFill>
                  <w14:solidFill>
                    <w14:schemeClr w14:val="tx1"/>
                  </w14:solidFill>
                </w14:textFill>
              </w:rPr>
              <w:t xml:space="preserve"> K</w:t>
            </w:r>
            <w:r>
              <w:rPr>
                <w:color w:val="000000" w:themeColor="text1"/>
                <w:sz w:val="18"/>
                <w:szCs w:val="18"/>
                <w14:textFill>
                  <w14:solidFill>
                    <w14:schemeClr w14:val="tx1"/>
                  </w14:solidFill>
                </w14:textFill>
              </w:rPr>
              <w:t>3+680</w:t>
            </w:r>
          </w:p>
        </w:tc>
        <w:tc>
          <w:tcPr>
            <w:tcW w:w="100" w:type="pct"/>
            <w:shd w:val="clear" w:color="auto" w:fill="auto"/>
            <w:vAlign w:val="center"/>
          </w:tcPr>
          <w:p w14:paraId="6E6F6F0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w:t>
            </w:r>
          </w:p>
        </w:tc>
        <w:tc>
          <w:tcPr>
            <w:tcW w:w="99" w:type="pct"/>
            <w:shd w:val="clear" w:color="auto" w:fill="auto"/>
            <w:vAlign w:val="center"/>
          </w:tcPr>
          <w:p w14:paraId="24FCA61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99" w:type="pct"/>
            <w:shd w:val="clear" w:color="auto" w:fill="auto"/>
            <w:vAlign w:val="center"/>
          </w:tcPr>
          <w:p w14:paraId="0384D7F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两侧</w:t>
            </w:r>
          </w:p>
        </w:tc>
        <w:tc>
          <w:tcPr>
            <w:tcW w:w="199" w:type="pct"/>
            <w:shd w:val="clear" w:color="auto" w:fill="auto"/>
            <w:vAlign w:val="center"/>
          </w:tcPr>
          <w:p w14:paraId="32561FE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51999DE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4</w:t>
            </w:r>
          </w:p>
        </w:tc>
        <w:tc>
          <w:tcPr>
            <w:tcW w:w="166" w:type="pct"/>
            <w:shd w:val="clear" w:color="auto" w:fill="auto"/>
            <w:vAlign w:val="center"/>
          </w:tcPr>
          <w:p w14:paraId="047D20F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0</w:t>
            </w:r>
          </w:p>
        </w:tc>
        <w:tc>
          <w:tcPr>
            <w:tcW w:w="132" w:type="pct"/>
            <w:shd w:val="clear" w:color="auto" w:fill="auto"/>
            <w:vAlign w:val="center"/>
          </w:tcPr>
          <w:p w14:paraId="4B55F53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2458923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6户3</w:t>
            </w:r>
            <w:r>
              <w:rPr>
                <w:color w:val="000000" w:themeColor="text1"/>
                <w:sz w:val="18"/>
                <w:szCs w:val="18"/>
                <w14:textFill>
                  <w14:solidFill>
                    <w14:schemeClr w14:val="tx1"/>
                  </w14:solidFill>
                </w14:textFill>
              </w:rPr>
              <w:t>0</w:t>
            </w:r>
            <w:r>
              <w:rPr>
                <w:rFonts w:hint="eastAsia"/>
                <w:color w:val="000000" w:themeColor="text1"/>
                <w:sz w:val="18"/>
                <w:szCs w:val="18"/>
                <w14:textFill>
                  <w14:solidFill>
                    <w14:schemeClr w14:val="tx1"/>
                  </w14:solidFill>
                </w14:textFill>
              </w:rPr>
              <w:t>人</w:t>
            </w:r>
          </w:p>
        </w:tc>
        <w:tc>
          <w:tcPr>
            <w:tcW w:w="397" w:type="pct"/>
            <w:vMerge w:val="restart"/>
            <w:shd w:val="clear" w:color="auto" w:fill="auto"/>
          </w:tcPr>
          <w:p w14:paraId="3F4ED53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砖混结构，建筑主要为2</w:t>
            </w: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层，主要建筑侧向、正向对拟建道路（南），铝合金推拉窗，周边园地，与道路之间无密集林带。</w:t>
            </w:r>
          </w:p>
        </w:tc>
        <w:tc>
          <w:tcPr>
            <w:tcW w:w="994" w:type="pct"/>
            <w:vMerge w:val="restart"/>
            <w:shd w:val="clear" w:color="auto" w:fill="auto"/>
            <w:vAlign w:val="center"/>
          </w:tcPr>
          <w:p w14:paraId="2A50E21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1126490</wp:posOffset>
                      </wp:positionH>
                      <wp:positionV relativeFrom="paragraph">
                        <wp:posOffset>1457325</wp:posOffset>
                      </wp:positionV>
                      <wp:extent cx="1190625" cy="299720"/>
                      <wp:effectExtent l="0" t="0" r="9525" b="5080"/>
                      <wp:wrapNone/>
                      <wp:docPr id="505" name="文本框 505"/>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35A02629">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联华村木厝洋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88.7pt;margin-top:114.75pt;height:23.6pt;width:93.75pt;z-index:251688960;mso-width-relative:page;mso-height-relative:page;" filled="f" stroked="f" coordsize="21600,21600" o:gfxdata="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U1B7doAAAALAQAADwAAAAAAAAABACAAAAAiAAAAZHJzL2Rvd25yZXYu&#10;eG1sUEsBAhQAFAAAAAgAh07iQDAhzQIyAgAAWgQAAA4AAAAAAAAAAQAgAAAAKQEAAGRycy9lMm9E&#10;b2MueG1sUEsFBgAAAAAGAAYAWQEAAM0FAAAAAA==&#10;">
                      <v:fill on="f" focussize="0,0"/>
                      <v:stroke on="f" weight="0.5pt"/>
                      <v:imagedata o:title=""/>
                      <o:lock v:ext="edit" aspectratio="f"/>
                      <v:textbox inset="0mm,0mm,0mm,0mm">
                        <w:txbxContent>
                          <w:p w14:paraId="35A02629">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联华村木厝洋</w:t>
                            </w:r>
                          </w:p>
                        </w:txbxContent>
                      </v:textbox>
                    </v:shape>
                  </w:pict>
                </mc:Fallback>
              </mc:AlternateContent>
            </w:r>
            <w:r>
              <w:rPr>
                <w:color w:val="000000" w:themeColor="text1"/>
                <w14:textFill>
                  <w14:solidFill>
                    <w14:schemeClr w14:val="tx1"/>
                  </w14:solidFill>
                </w14:textFill>
              </w:rPr>
              <w:drawing>
                <wp:inline distT="0" distB="0" distL="0" distR="0">
                  <wp:extent cx="2747010" cy="2851785"/>
                  <wp:effectExtent l="0" t="0" r="0" b="571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pic:cNvPicPr>
                            <a:picLocks noChangeAspect="1" noChangeArrowheads="1"/>
                          </pic:cNvPicPr>
                        </pic:nvPicPr>
                        <pic:blipFill>
                          <a:blip r:embed="rId75" cstate="email"/>
                          <a:srcRect/>
                          <a:stretch>
                            <a:fillRect/>
                          </a:stretch>
                        </pic:blipFill>
                        <pic:spPr>
                          <a:xfrm>
                            <a:off x="0" y="0"/>
                            <a:ext cx="2749435" cy="2854651"/>
                          </a:xfrm>
                          <a:prstGeom prst="rect">
                            <a:avLst/>
                          </a:prstGeom>
                          <a:noFill/>
                          <a:ln>
                            <a:noFill/>
                          </a:ln>
                        </pic:spPr>
                      </pic:pic>
                    </a:graphicData>
                  </a:graphic>
                </wp:inline>
              </w:drawing>
            </w:r>
          </w:p>
        </w:tc>
        <w:tc>
          <w:tcPr>
            <w:tcW w:w="1340" w:type="pct"/>
            <w:vMerge w:val="restart"/>
            <w:shd w:val="clear" w:color="auto" w:fill="auto"/>
            <w:vAlign w:val="center"/>
          </w:tcPr>
          <w:p w14:paraId="4F6E625E">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1583055</wp:posOffset>
                      </wp:positionH>
                      <wp:positionV relativeFrom="paragraph">
                        <wp:posOffset>1534795</wp:posOffset>
                      </wp:positionV>
                      <wp:extent cx="1190625" cy="299720"/>
                      <wp:effectExtent l="0" t="0" r="9525" b="5080"/>
                      <wp:wrapNone/>
                      <wp:docPr id="504" name="文本框 504"/>
                      <wp:cNvGraphicFramePr/>
                      <a:graphic xmlns:a="http://schemas.openxmlformats.org/drawingml/2006/main">
                        <a:graphicData uri="http://schemas.microsoft.com/office/word/2010/wordprocessingShape">
                          <wps:wsp>
                            <wps:cNvSpPr txBox="1"/>
                            <wps:spPr>
                              <a:xfrm>
                                <a:off x="0" y="0"/>
                                <a:ext cx="1190625" cy="299720"/>
                              </a:xfrm>
                              <a:prstGeom prst="rect">
                                <a:avLst/>
                              </a:prstGeom>
                              <a:noFill/>
                              <a:ln w="6350">
                                <a:noFill/>
                              </a:ln>
                            </wps:spPr>
                            <wps:txbx>
                              <w:txbxContent>
                                <w:p w14:paraId="3201F515">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联华村木厝洋</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24.65pt;margin-top:120.85pt;height:23.6pt;width:93.75pt;z-index:251687936;mso-width-relative:page;mso-height-relative:page;" filled="f" stroked="f" coordsize="21600,21600" o:gfxdata="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I8kg+bZAAAACwEAAA8AAAAAAAAAAQAgAAAAIgAAAGRycy9kb3ducmV2&#10;LnhtbFBLAQIUABQAAAAIAIdO4kAQwiJFNAIAAFoEAAAOAAAAAAAAAAEAIAAAACgBAABkcnMvZTJv&#10;RG9jLnhtbFBLBQYAAAAABgAGAFkBAADOBQAAAAA=&#10;">
                      <v:fill on="f" focussize="0,0"/>
                      <v:stroke on="f" weight="0.5pt"/>
                      <v:imagedata o:title=""/>
                      <o:lock v:ext="edit" aspectratio="f"/>
                      <v:textbox inset="0mm,0mm,0mm,0mm">
                        <w:txbxContent>
                          <w:p w14:paraId="3201F515">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联华村木厝洋</w:t>
                            </w:r>
                          </w:p>
                        </w:txbxContent>
                      </v:textbox>
                    </v:shape>
                  </w:pict>
                </mc:Fallback>
              </mc:AlternateContent>
            </w:r>
            <w:r>
              <w:rPr>
                <w:color w:val="000000" w:themeColor="text1"/>
                <w14:textFill>
                  <w14:solidFill>
                    <w14:schemeClr w14:val="tx1"/>
                  </w14:solidFill>
                </w14:textFill>
              </w:rPr>
              <w:drawing>
                <wp:inline distT="0" distB="0" distL="0" distR="0">
                  <wp:extent cx="3237230" cy="2957830"/>
                  <wp:effectExtent l="0" t="0" r="127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76" cstate="email"/>
                          <a:srcRect/>
                          <a:stretch>
                            <a:fillRect/>
                          </a:stretch>
                        </pic:blipFill>
                        <pic:spPr>
                          <a:xfrm>
                            <a:off x="0" y="0"/>
                            <a:ext cx="3245782" cy="2965699"/>
                          </a:xfrm>
                          <a:prstGeom prst="rect">
                            <a:avLst/>
                          </a:prstGeom>
                          <a:ln>
                            <a:noFill/>
                          </a:ln>
                        </pic:spPr>
                      </pic:pic>
                    </a:graphicData>
                  </a:graphic>
                </wp:inline>
              </w:drawing>
            </w:r>
          </w:p>
        </w:tc>
        <w:tc>
          <w:tcPr>
            <w:tcW w:w="645" w:type="pct"/>
            <w:vMerge w:val="restart"/>
            <w:shd w:val="clear" w:color="auto" w:fill="auto"/>
            <w:vAlign w:val="center"/>
          </w:tcPr>
          <w:p w14:paraId="31557D92">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34" o:spt="75" type="#_x0000_t75" style="height:75pt;width:130.55pt;" o:ole="t" filled="f" o:preferrelative="t" stroked="f" coordsize="21600,21600">
                  <v:path/>
                  <v:fill on="f" focussize="0,0"/>
                  <v:stroke on="f" joinstyle="miter"/>
                  <v:imagedata r:id="rId78" cropleft="5756f" cropright="8550f" cropbottom="5555f" o:title=""/>
                  <o:lock v:ext="edit" aspectratio="t"/>
                  <w10:wrap type="none"/>
                  <w10:anchorlock/>
                </v:shape>
                <o:OLEObject Type="Embed" ProgID="AutoCAD.Drawing.24" ShapeID="_x0000_i1034" DrawAspect="Content" ObjectID="_1468075734" r:id="rId77">
                  <o:LockedField>false</o:LockedField>
                </o:OLEObject>
              </w:object>
            </w:r>
          </w:p>
        </w:tc>
      </w:tr>
      <w:tr w14:paraId="72C3DC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569" w:hRule="atLeast"/>
          <w:jc w:val="center"/>
        </w:trPr>
        <w:tc>
          <w:tcPr>
            <w:tcW w:w="66" w:type="pct"/>
            <w:vMerge w:val="continue"/>
            <w:shd w:val="clear" w:color="auto" w:fill="auto"/>
            <w:vAlign w:val="center"/>
          </w:tcPr>
          <w:p w14:paraId="21AC64B1">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72EB06FE">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5CB3AAD0">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38F787B3">
            <w:pPr>
              <w:pStyle w:val="105"/>
              <w:jc w:val="center"/>
              <w:rPr>
                <w:color w:val="000000" w:themeColor="text1"/>
                <w:sz w:val="18"/>
                <w:szCs w:val="18"/>
                <w14:textFill>
                  <w14:solidFill>
                    <w14:schemeClr w14:val="tx1"/>
                  </w14:solidFill>
                </w14:textFill>
              </w:rPr>
            </w:pPr>
          </w:p>
        </w:tc>
        <w:tc>
          <w:tcPr>
            <w:tcW w:w="100" w:type="pct"/>
            <w:shd w:val="clear" w:color="auto" w:fill="auto"/>
            <w:vAlign w:val="center"/>
          </w:tcPr>
          <w:p w14:paraId="07BF5D8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w:t>
            </w:r>
          </w:p>
        </w:tc>
        <w:tc>
          <w:tcPr>
            <w:tcW w:w="99" w:type="pct"/>
            <w:shd w:val="clear" w:color="auto" w:fill="auto"/>
            <w:vAlign w:val="center"/>
          </w:tcPr>
          <w:p w14:paraId="780E1B6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99" w:type="pct"/>
            <w:shd w:val="clear" w:color="auto" w:fill="auto"/>
            <w:vAlign w:val="center"/>
          </w:tcPr>
          <w:p w14:paraId="19EAC36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1C8DC72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166" w:type="pct"/>
            <w:shd w:val="clear" w:color="auto" w:fill="auto"/>
            <w:vAlign w:val="center"/>
          </w:tcPr>
          <w:p w14:paraId="44BAC70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6</w:t>
            </w:r>
          </w:p>
        </w:tc>
        <w:tc>
          <w:tcPr>
            <w:tcW w:w="166" w:type="pct"/>
            <w:shd w:val="clear" w:color="auto" w:fill="auto"/>
            <w:vAlign w:val="center"/>
          </w:tcPr>
          <w:p w14:paraId="731F383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2</w:t>
            </w:r>
          </w:p>
        </w:tc>
        <w:tc>
          <w:tcPr>
            <w:tcW w:w="132" w:type="pct"/>
            <w:shd w:val="clear" w:color="auto" w:fill="auto"/>
            <w:vAlign w:val="center"/>
          </w:tcPr>
          <w:p w14:paraId="4D679F1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166" w:type="pct"/>
            <w:shd w:val="clear" w:color="auto" w:fill="auto"/>
            <w:vAlign w:val="center"/>
          </w:tcPr>
          <w:p w14:paraId="1DB8583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户1</w:t>
            </w:r>
            <w:r>
              <w:rPr>
                <w:color w:val="000000" w:themeColor="text1"/>
                <w:sz w:val="18"/>
                <w:szCs w:val="18"/>
                <w14:textFill>
                  <w14:solidFill>
                    <w14:schemeClr w14:val="tx1"/>
                  </w14:solidFill>
                </w14:textFill>
              </w:rPr>
              <w:t>60</w:t>
            </w:r>
            <w:r>
              <w:rPr>
                <w:rFonts w:hint="eastAsia"/>
                <w:color w:val="000000" w:themeColor="text1"/>
                <w:sz w:val="18"/>
                <w:szCs w:val="18"/>
                <w14:textFill>
                  <w14:solidFill>
                    <w14:schemeClr w14:val="tx1"/>
                  </w14:solidFill>
                </w14:textFill>
              </w:rPr>
              <w:t>人</w:t>
            </w:r>
          </w:p>
        </w:tc>
        <w:tc>
          <w:tcPr>
            <w:tcW w:w="397" w:type="pct"/>
            <w:vMerge w:val="continue"/>
            <w:shd w:val="clear" w:color="auto" w:fill="auto"/>
          </w:tcPr>
          <w:p w14:paraId="6F110C92">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51F1EDCD">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660838B4">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45AE1730">
            <w:pPr>
              <w:pStyle w:val="105"/>
              <w:ind w:left="-120" w:leftChars="-50" w:right="-120" w:rightChars="-50"/>
              <w:jc w:val="center"/>
              <w:rPr>
                <w:color w:val="000000" w:themeColor="text1"/>
                <w:sz w:val="18"/>
                <w:szCs w:val="18"/>
                <w14:textFill>
                  <w14:solidFill>
                    <w14:schemeClr w14:val="tx1"/>
                  </w14:solidFill>
                </w14:textFill>
              </w:rPr>
            </w:pPr>
          </w:p>
        </w:tc>
      </w:tr>
      <w:tr w14:paraId="1BEE51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150" w:hRule="atLeast"/>
          <w:jc w:val="center"/>
        </w:trPr>
        <w:tc>
          <w:tcPr>
            <w:tcW w:w="66" w:type="pct"/>
            <w:vMerge w:val="restart"/>
            <w:shd w:val="clear" w:color="auto" w:fill="auto"/>
            <w:vAlign w:val="center"/>
          </w:tcPr>
          <w:p w14:paraId="3DBCCD1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12</w:t>
            </w:r>
          </w:p>
        </w:tc>
        <w:tc>
          <w:tcPr>
            <w:tcW w:w="133" w:type="pct"/>
            <w:vMerge w:val="restart"/>
            <w:shd w:val="clear" w:color="auto" w:fill="auto"/>
            <w:vAlign w:val="center"/>
          </w:tcPr>
          <w:p w14:paraId="2B3B9AB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联华村三落厝</w:t>
            </w:r>
          </w:p>
        </w:tc>
        <w:tc>
          <w:tcPr>
            <w:tcW w:w="132" w:type="pct"/>
            <w:vMerge w:val="restart"/>
            <w:shd w:val="clear" w:color="auto" w:fill="auto"/>
            <w:vAlign w:val="center"/>
          </w:tcPr>
          <w:p w14:paraId="2921BB8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主线</w:t>
            </w:r>
          </w:p>
        </w:tc>
        <w:tc>
          <w:tcPr>
            <w:tcW w:w="166" w:type="pct"/>
            <w:vMerge w:val="restart"/>
            <w:shd w:val="clear" w:color="auto" w:fill="auto"/>
            <w:vAlign w:val="center"/>
          </w:tcPr>
          <w:p w14:paraId="09130FC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4+920~K5+040</w:t>
            </w:r>
          </w:p>
        </w:tc>
        <w:tc>
          <w:tcPr>
            <w:tcW w:w="100" w:type="pct"/>
            <w:vMerge w:val="restart"/>
            <w:shd w:val="clear" w:color="auto" w:fill="auto"/>
            <w:vAlign w:val="center"/>
          </w:tcPr>
          <w:p w14:paraId="66FC37B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w:t>
            </w:r>
          </w:p>
        </w:tc>
        <w:tc>
          <w:tcPr>
            <w:tcW w:w="99" w:type="pct"/>
            <w:shd w:val="clear" w:color="auto" w:fill="auto"/>
            <w:vAlign w:val="center"/>
          </w:tcPr>
          <w:p w14:paraId="682D0D8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-2.8</w:t>
            </w:r>
          </w:p>
        </w:tc>
        <w:tc>
          <w:tcPr>
            <w:tcW w:w="99" w:type="pct"/>
            <w:shd w:val="clear" w:color="auto" w:fill="auto"/>
            <w:vAlign w:val="center"/>
          </w:tcPr>
          <w:p w14:paraId="76A6981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2957BE1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9</w:t>
            </w:r>
          </w:p>
        </w:tc>
        <w:tc>
          <w:tcPr>
            <w:tcW w:w="166" w:type="pct"/>
            <w:shd w:val="clear" w:color="auto" w:fill="auto"/>
            <w:vAlign w:val="center"/>
          </w:tcPr>
          <w:p w14:paraId="086FA38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9</w:t>
            </w:r>
          </w:p>
        </w:tc>
        <w:tc>
          <w:tcPr>
            <w:tcW w:w="166" w:type="pct"/>
            <w:shd w:val="clear" w:color="auto" w:fill="auto"/>
            <w:vAlign w:val="center"/>
          </w:tcPr>
          <w:p w14:paraId="0CE0FD2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132" w:type="pct"/>
            <w:shd w:val="clear" w:color="auto" w:fill="auto"/>
            <w:vAlign w:val="center"/>
          </w:tcPr>
          <w:p w14:paraId="10FB35B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166" w:type="pct"/>
            <w:shd w:val="clear" w:color="auto" w:fill="auto"/>
            <w:vAlign w:val="center"/>
          </w:tcPr>
          <w:p w14:paraId="1FD267C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无住人</w:t>
            </w:r>
          </w:p>
        </w:tc>
        <w:tc>
          <w:tcPr>
            <w:tcW w:w="397" w:type="pct"/>
            <w:shd w:val="clear" w:color="auto" w:fill="auto"/>
          </w:tcPr>
          <w:p w14:paraId="22AA393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古厝，无人居住</w:t>
            </w:r>
          </w:p>
        </w:tc>
        <w:tc>
          <w:tcPr>
            <w:tcW w:w="994" w:type="pct"/>
            <w:vMerge w:val="restart"/>
            <w:shd w:val="clear" w:color="auto" w:fill="auto"/>
            <w:vAlign w:val="center"/>
          </w:tcPr>
          <w:p w14:paraId="20525C9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943610</wp:posOffset>
                      </wp:positionH>
                      <wp:positionV relativeFrom="paragraph">
                        <wp:posOffset>1416685</wp:posOffset>
                      </wp:positionV>
                      <wp:extent cx="1243965" cy="299720"/>
                      <wp:effectExtent l="0" t="0" r="13335" b="5080"/>
                      <wp:wrapNone/>
                      <wp:docPr id="508" name="文本框 508"/>
                      <wp:cNvGraphicFramePr/>
                      <a:graphic xmlns:a="http://schemas.openxmlformats.org/drawingml/2006/main">
                        <a:graphicData uri="http://schemas.microsoft.com/office/word/2010/wordprocessingShape">
                          <wps:wsp>
                            <wps:cNvSpPr txBox="1"/>
                            <wps:spPr>
                              <a:xfrm>
                                <a:off x="0" y="0"/>
                                <a:ext cx="1243965" cy="299720"/>
                              </a:xfrm>
                              <a:prstGeom prst="rect">
                                <a:avLst/>
                              </a:prstGeom>
                              <a:noFill/>
                              <a:ln w="6350">
                                <a:noFill/>
                              </a:ln>
                            </wps:spPr>
                            <wps:txbx>
                              <w:txbxContent>
                                <w:p w14:paraId="172C3975">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联华村三落厝</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74.3pt;margin-top:111.55pt;height:23.6pt;width:97.95pt;z-index:251704320;mso-width-relative:page;mso-height-relative:page;" filled="f" stroked="f" coordsize="21600,21600" o:gfxdata="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3DWUa9gAAAALAQAADwAAAAAAAAABACAAAAAiAAAAZHJzL2Rvd25yZXYu&#10;eG1sUEsBAhQAFAAAAAgAh07iQIZvO/40AgAAWgQAAA4AAAAAAAAAAQAgAAAAJwEAAGRycy9lMm9E&#10;b2MueG1sUEsFBgAAAAAGAAYAWQEAAM0FAAAAAA==&#10;">
                      <v:fill on="f" focussize="0,0"/>
                      <v:stroke on="f" weight="0.5pt"/>
                      <v:imagedata o:title=""/>
                      <o:lock v:ext="edit" aspectratio="f"/>
                      <v:textbox inset="0mm,0mm,0mm,0mm">
                        <w:txbxContent>
                          <w:p w14:paraId="172C3975">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联华村三落厝</w:t>
                            </w:r>
                          </w:p>
                        </w:txbxContent>
                      </v:textbox>
                    </v:shape>
                  </w:pict>
                </mc:Fallback>
              </mc:AlternateContent>
            </w:r>
            <w:r>
              <w:rPr>
                <w:color w:val="000000" w:themeColor="text1"/>
                <w14:textFill>
                  <w14:solidFill>
                    <w14:schemeClr w14:val="tx1"/>
                  </w14:solidFill>
                </w14:textFill>
              </w:rPr>
              <w:drawing>
                <wp:inline distT="0" distB="0" distL="0" distR="0">
                  <wp:extent cx="2669540" cy="2771140"/>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pic:cNvPicPr>
                            <a:picLocks noChangeAspect="1" noChangeArrowheads="1"/>
                          </pic:cNvPicPr>
                        </pic:nvPicPr>
                        <pic:blipFill>
                          <a:blip r:embed="rId79" cstate="email"/>
                          <a:srcRect/>
                          <a:stretch>
                            <a:fillRect/>
                          </a:stretch>
                        </pic:blipFill>
                        <pic:spPr>
                          <a:xfrm>
                            <a:off x="0" y="0"/>
                            <a:ext cx="2675540" cy="2777431"/>
                          </a:xfrm>
                          <a:prstGeom prst="rect">
                            <a:avLst/>
                          </a:prstGeom>
                          <a:noFill/>
                          <a:ln>
                            <a:noFill/>
                          </a:ln>
                        </pic:spPr>
                      </pic:pic>
                    </a:graphicData>
                  </a:graphic>
                </wp:inline>
              </w:drawing>
            </w:r>
          </w:p>
        </w:tc>
        <w:tc>
          <w:tcPr>
            <w:tcW w:w="1340" w:type="pct"/>
            <w:vMerge w:val="restart"/>
            <w:shd w:val="clear" w:color="auto" w:fill="auto"/>
            <w:vAlign w:val="center"/>
          </w:tcPr>
          <w:p w14:paraId="36F3FDC7">
            <w:pPr>
              <w:pStyle w:val="105"/>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922020</wp:posOffset>
                      </wp:positionH>
                      <wp:positionV relativeFrom="paragraph">
                        <wp:posOffset>1126490</wp:posOffset>
                      </wp:positionV>
                      <wp:extent cx="635000" cy="1597025"/>
                      <wp:effectExtent l="19050" t="19050" r="31750" b="22225"/>
                      <wp:wrapNone/>
                      <wp:docPr id="507" name="箭头: 下 507"/>
                      <wp:cNvGraphicFramePr/>
                      <a:graphic xmlns:a="http://schemas.openxmlformats.org/drawingml/2006/main">
                        <a:graphicData uri="http://schemas.microsoft.com/office/word/2010/wordprocessingShape">
                          <wps:wsp>
                            <wps:cNvSpPr/>
                            <wps:spPr>
                              <a:xfrm rot="10800000">
                                <a:off x="0" y="0"/>
                                <a:ext cx="635000" cy="1597025"/>
                              </a:xfrm>
                              <a:prstGeom prst="downArrow">
                                <a:avLst>
                                  <a:gd name="adj1" fmla="val 50000"/>
                                  <a:gd name="adj2" fmla="val 94415"/>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507" o:spid="_x0000_s1026" o:spt="67" type="#_x0000_t67" style="position:absolute;left:0pt;margin-left:72.6pt;margin-top:88.7pt;height:125.75pt;width:50pt;rotation:11796480f;z-index:251703296;v-text-anchor:middle;mso-width-relative:page;mso-height-relative:page;" fillcolor="#FF0000" filled="t" stroked="t" coordsize="21600,21600" o:gfxdata="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DAbnErYAAAACwEAAA8AAAAAAAAAAQAgAAAAIgAA&#10;AGRycy9kb3ducmV2LnhtbFBLAQIUABQAAAAIAIdO4kBJJ9T5swIAAIMFAAAOAAAAAAAAAAEAIAAA&#10;ACcBAABkcnMvZTJvRG9jLnhtbFBLBQYAAAAABgAGAFkBAABMBgAAAAA=&#10;" adj="13492,5400">
                      <v:fill on="t" opacity="13107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1908810</wp:posOffset>
                      </wp:positionH>
                      <wp:positionV relativeFrom="paragraph">
                        <wp:posOffset>1322070</wp:posOffset>
                      </wp:positionV>
                      <wp:extent cx="1243965" cy="299720"/>
                      <wp:effectExtent l="0" t="0" r="13335" b="5080"/>
                      <wp:wrapNone/>
                      <wp:docPr id="509" name="文本框 509"/>
                      <wp:cNvGraphicFramePr/>
                      <a:graphic xmlns:a="http://schemas.openxmlformats.org/drawingml/2006/main">
                        <a:graphicData uri="http://schemas.microsoft.com/office/word/2010/wordprocessingShape">
                          <wps:wsp>
                            <wps:cNvSpPr txBox="1"/>
                            <wps:spPr>
                              <a:xfrm>
                                <a:off x="0" y="0"/>
                                <a:ext cx="1243965" cy="299720"/>
                              </a:xfrm>
                              <a:prstGeom prst="rect">
                                <a:avLst/>
                              </a:prstGeom>
                              <a:noFill/>
                              <a:ln w="6350">
                                <a:noFill/>
                              </a:ln>
                            </wps:spPr>
                            <wps:txbx>
                              <w:txbxContent>
                                <w:p w14:paraId="5B001A69">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联华村三落厝</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150.3pt;margin-top:104.1pt;height:23.6pt;width:97.95pt;z-index:251705344;mso-width-relative:page;mso-height-relative:page;" filled="f" stroked="f" coordsize="21600,21600" o:gfxdata="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N1YHwbZAAAACwEAAA8AAAAAAAAAAQAgAAAAIgAAAGRycy9kb3ducmV2&#10;LnhtbFBLAQIUABQAAAAIAIdO4kCmjNS5NAIAAFoEAAAOAAAAAAAAAAEAIAAAACgBAABkcnMvZTJv&#10;RG9jLnhtbFBLBQYAAAAABgAGAFkBAADOBQAAAAA=&#10;">
                      <v:fill on="f" focussize="0,0"/>
                      <v:stroke on="f" weight="0.5pt"/>
                      <v:imagedata o:title=""/>
                      <o:lock v:ext="edit" aspectratio="f"/>
                      <v:textbox inset="0mm,0mm,0mm,0mm">
                        <w:txbxContent>
                          <w:p w14:paraId="5B001A69">
                            <w:pPr>
                              <w:ind w:firstLine="0" w:firstLineChars="0"/>
                              <w:rPr>
                                <w:rFonts w:ascii="微软雅黑" w:hAnsi="微软雅黑" w:eastAsia="微软雅黑"/>
                                <w:b/>
                                <w:bCs/>
                                <w:color w:val="FF0000"/>
                                <w:sz w:val="28"/>
                                <w:szCs w:val="24"/>
                              </w:rPr>
                            </w:pPr>
                            <w:r>
                              <w:rPr>
                                <w:rFonts w:hint="eastAsia" w:ascii="微软雅黑" w:hAnsi="微软雅黑" w:eastAsia="微软雅黑"/>
                                <w:b/>
                                <w:bCs/>
                                <w:color w:val="FF0000"/>
                                <w:sz w:val="28"/>
                                <w:szCs w:val="24"/>
                              </w:rPr>
                              <w:t>联华村三落厝</w:t>
                            </w:r>
                          </w:p>
                        </w:txbxContent>
                      </v:textbox>
                    </v:shape>
                  </w:pict>
                </mc:Fallback>
              </mc:AlternateContent>
            </w:r>
            <w:r>
              <w:rPr>
                <w:color w:val="000000" w:themeColor="text1"/>
                <w14:textFill>
                  <w14:solidFill>
                    <w14:schemeClr w14:val="tx1"/>
                  </w14:solidFill>
                </w14:textFill>
              </w:rPr>
              <w:drawing>
                <wp:inline distT="0" distB="0" distL="0" distR="0">
                  <wp:extent cx="3732530" cy="2740025"/>
                  <wp:effectExtent l="0" t="0" r="1270" b="3175"/>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pic:cNvPicPr>
                        </pic:nvPicPr>
                        <pic:blipFill>
                          <a:blip r:embed="rId80" cstate="email"/>
                          <a:stretch>
                            <a:fillRect/>
                          </a:stretch>
                        </pic:blipFill>
                        <pic:spPr>
                          <a:xfrm>
                            <a:off x="0" y="0"/>
                            <a:ext cx="3732530" cy="2740025"/>
                          </a:xfrm>
                          <a:prstGeom prst="rect">
                            <a:avLst/>
                          </a:prstGeom>
                        </pic:spPr>
                      </pic:pic>
                    </a:graphicData>
                  </a:graphic>
                </wp:inline>
              </w:drawing>
            </w:r>
          </w:p>
        </w:tc>
        <w:tc>
          <w:tcPr>
            <w:tcW w:w="645" w:type="pct"/>
            <w:vMerge w:val="restart"/>
            <w:shd w:val="clear" w:color="auto" w:fill="auto"/>
            <w:vAlign w:val="center"/>
          </w:tcPr>
          <w:p w14:paraId="74F3F7E5">
            <w:pPr>
              <w:pStyle w:val="105"/>
              <w:ind w:left="-120" w:leftChars="-50" w:right="-120" w:rightChars="-50"/>
              <w:jc w:val="center"/>
              <w:rPr>
                <w:color w:val="000000" w:themeColor="text1"/>
                <w:sz w:val="18"/>
                <w:szCs w:val="18"/>
                <w14:textFill>
                  <w14:solidFill>
                    <w14:schemeClr w14:val="tx1"/>
                  </w14:solidFill>
                </w14:textFill>
              </w:rPr>
            </w:pPr>
            <w:r>
              <w:rPr>
                <w:color w:val="000000" w:themeColor="text1"/>
                <w14:textFill>
                  <w14:solidFill>
                    <w14:schemeClr w14:val="tx1"/>
                  </w14:solidFill>
                </w14:textFill>
              </w:rPr>
              <w:object>
                <v:shape id="_x0000_i1035" o:spt="75" type="#_x0000_t75" style="height:99pt;width:138pt;" o:ole="t" filled="f" o:preferrelative="t" stroked="f" coordsize="21600,21600">
                  <v:path/>
                  <v:fill on="f" focussize="0,0"/>
                  <v:stroke on="f" joinstyle="miter"/>
                  <v:imagedata r:id="rId82" cropleft="14418f" cropright="10508f" cropbottom="5555f" o:title=""/>
                  <o:lock v:ext="edit" aspectratio="t"/>
                  <w10:wrap type="none"/>
                  <w10:anchorlock/>
                </v:shape>
                <o:OLEObject Type="Embed" ProgID="AutoCAD.Drawing.24" ShapeID="_x0000_i1035" DrawAspect="Content" ObjectID="_1468075735" r:id="rId81">
                  <o:LockedField>false</o:LockedField>
                </o:OLEObject>
              </w:object>
            </w:r>
          </w:p>
        </w:tc>
      </w:tr>
      <w:tr w14:paraId="2BD3825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687" w:hRule="atLeast"/>
          <w:jc w:val="center"/>
        </w:trPr>
        <w:tc>
          <w:tcPr>
            <w:tcW w:w="66" w:type="pct"/>
            <w:vMerge w:val="continue"/>
            <w:shd w:val="clear" w:color="auto" w:fill="auto"/>
            <w:vAlign w:val="center"/>
          </w:tcPr>
          <w:p w14:paraId="202D28A9">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7F533A99">
            <w:pPr>
              <w:pStyle w:val="105"/>
              <w:jc w:val="center"/>
              <w:rPr>
                <w:color w:val="000000" w:themeColor="text1"/>
                <w:sz w:val="18"/>
                <w:szCs w:val="18"/>
                <w14:textFill>
                  <w14:solidFill>
                    <w14:schemeClr w14:val="tx1"/>
                  </w14:solidFill>
                </w14:textFill>
              </w:rPr>
            </w:pPr>
          </w:p>
        </w:tc>
        <w:tc>
          <w:tcPr>
            <w:tcW w:w="132" w:type="pct"/>
            <w:vMerge w:val="continue"/>
            <w:shd w:val="clear" w:color="auto" w:fill="auto"/>
            <w:vAlign w:val="center"/>
          </w:tcPr>
          <w:p w14:paraId="31583975">
            <w:pPr>
              <w:pStyle w:val="105"/>
              <w:jc w:val="center"/>
              <w:rPr>
                <w:color w:val="000000" w:themeColor="text1"/>
                <w:sz w:val="18"/>
                <w:szCs w:val="18"/>
                <w14:textFill>
                  <w14:solidFill>
                    <w14:schemeClr w14:val="tx1"/>
                  </w14:solidFill>
                </w14:textFill>
              </w:rPr>
            </w:pPr>
          </w:p>
        </w:tc>
        <w:tc>
          <w:tcPr>
            <w:tcW w:w="166" w:type="pct"/>
            <w:vMerge w:val="continue"/>
            <w:shd w:val="clear" w:color="auto" w:fill="auto"/>
            <w:vAlign w:val="center"/>
          </w:tcPr>
          <w:p w14:paraId="38E62A62">
            <w:pPr>
              <w:pStyle w:val="105"/>
              <w:jc w:val="center"/>
              <w:rPr>
                <w:color w:val="000000" w:themeColor="text1"/>
                <w:sz w:val="18"/>
                <w:szCs w:val="18"/>
                <w14:textFill>
                  <w14:solidFill>
                    <w14:schemeClr w14:val="tx1"/>
                  </w14:solidFill>
                </w14:textFill>
              </w:rPr>
            </w:pPr>
          </w:p>
        </w:tc>
        <w:tc>
          <w:tcPr>
            <w:tcW w:w="100" w:type="pct"/>
            <w:vMerge w:val="continue"/>
            <w:shd w:val="clear" w:color="auto" w:fill="auto"/>
            <w:vAlign w:val="center"/>
          </w:tcPr>
          <w:p w14:paraId="36951BCF">
            <w:pPr>
              <w:pStyle w:val="105"/>
              <w:jc w:val="center"/>
              <w:rPr>
                <w:color w:val="000000" w:themeColor="text1"/>
                <w:sz w:val="18"/>
                <w:szCs w:val="18"/>
                <w14:textFill>
                  <w14:solidFill>
                    <w14:schemeClr w14:val="tx1"/>
                  </w14:solidFill>
                </w14:textFill>
              </w:rPr>
            </w:pPr>
          </w:p>
        </w:tc>
        <w:tc>
          <w:tcPr>
            <w:tcW w:w="99" w:type="pct"/>
            <w:shd w:val="clear" w:color="auto" w:fill="auto"/>
            <w:vAlign w:val="center"/>
          </w:tcPr>
          <w:p w14:paraId="3D1C21A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-2.8</w:t>
            </w:r>
          </w:p>
        </w:tc>
        <w:tc>
          <w:tcPr>
            <w:tcW w:w="99" w:type="pct"/>
            <w:shd w:val="clear" w:color="auto" w:fill="auto"/>
            <w:vAlign w:val="center"/>
          </w:tcPr>
          <w:p w14:paraId="4F53303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6D5C39E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9</w:t>
            </w:r>
          </w:p>
        </w:tc>
        <w:tc>
          <w:tcPr>
            <w:tcW w:w="166" w:type="pct"/>
            <w:shd w:val="clear" w:color="auto" w:fill="auto"/>
            <w:vAlign w:val="center"/>
          </w:tcPr>
          <w:p w14:paraId="53368B2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r>
              <w:rPr>
                <w:color w:val="000000" w:themeColor="text1"/>
                <w:sz w:val="18"/>
                <w:szCs w:val="18"/>
                <w14:textFill>
                  <w14:solidFill>
                    <w14:schemeClr w14:val="tx1"/>
                  </w14:solidFill>
                </w14:textFill>
              </w:rPr>
              <w:t>1</w:t>
            </w:r>
          </w:p>
        </w:tc>
        <w:tc>
          <w:tcPr>
            <w:tcW w:w="166" w:type="pct"/>
            <w:shd w:val="clear" w:color="auto" w:fill="auto"/>
            <w:vAlign w:val="center"/>
          </w:tcPr>
          <w:p w14:paraId="1E068C0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r>
              <w:rPr>
                <w:color w:val="000000" w:themeColor="text1"/>
                <w:sz w:val="18"/>
                <w:szCs w:val="18"/>
                <w14:textFill>
                  <w14:solidFill>
                    <w14:schemeClr w14:val="tx1"/>
                  </w14:solidFill>
                </w14:textFill>
              </w:rPr>
              <w:t>7</w:t>
            </w:r>
          </w:p>
        </w:tc>
        <w:tc>
          <w:tcPr>
            <w:tcW w:w="132" w:type="pct"/>
            <w:shd w:val="clear" w:color="auto" w:fill="auto"/>
            <w:vAlign w:val="center"/>
          </w:tcPr>
          <w:p w14:paraId="3F87ACE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166" w:type="pct"/>
            <w:shd w:val="clear" w:color="auto" w:fill="auto"/>
            <w:vAlign w:val="center"/>
          </w:tcPr>
          <w:p w14:paraId="0ABEE79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6户3</w:t>
            </w:r>
            <w:r>
              <w:rPr>
                <w:color w:val="000000" w:themeColor="text1"/>
                <w:sz w:val="18"/>
                <w:szCs w:val="18"/>
                <w14:textFill>
                  <w14:solidFill>
                    <w14:schemeClr w14:val="tx1"/>
                  </w14:solidFill>
                </w14:textFill>
              </w:rPr>
              <w:t>0</w:t>
            </w:r>
            <w:r>
              <w:rPr>
                <w:rFonts w:hint="eastAsia"/>
                <w:color w:val="000000" w:themeColor="text1"/>
                <w:sz w:val="18"/>
                <w:szCs w:val="18"/>
                <w14:textFill>
                  <w14:solidFill>
                    <w14:schemeClr w14:val="tx1"/>
                  </w14:solidFill>
                </w14:textFill>
              </w:rPr>
              <w:t>人</w:t>
            </w:r>
          </w:p>
        </w:tc>
        <w:tc>
          <w:tcPr>
            <w:tcW w:w="397" w:type="pct"/>
            <w:vMerge w:val="restart"/>
            <w:shd w:val="clear" w:color="auto" w:fill="auto"/>
          </w:tcPr>
          <w:p w14:paraId="1F8EB9C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砖混结构，建筑主要为2</w:t>
            </w: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层，主要建筑背对拟建道路（南），铝合金推拉窗，周边园地，与道路之间无密集林带。</w:t>
            </w:r>
          </w:p>
        </w:tc>
        <w:tc>
          <w:tcPr>
            <w:tcW w:w="994" w:type="pct"/>
            <w:vMerge w:val="continue"/>
            <w:shd w:val="clear" w:color="auto" w:fill="auto"/>
            <w:vAlign w:val="center"/>
          </w:tcPr>
          <w:p w14:paraId="3F5C01C2">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7A8A3EFC">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2D3F70F1">
            <w:pPr>
              <w:pStyle w:val="105"/>
              <w:ind w:left="-120" w:leftChars="-50" w:right="-120" w:rightChars="-50"/>
              <w:jc w:val="center"/>
              <w:rPr>
                <w:color w:val="000000" w:themeColor="text1"/>
                <w:sz w:val="18"/>
                <w:szCs w:val="18"/>
                <w14:textFill>
                  <w14:solidFill>
                    <w14:schemeClr w14:val="tx1"/>
                  </w14:solidFill>
                </w14:textFill>
              </w:rPr>
            </w:pPr>
          </w:p>
        </w:tc>
      </w:tr>
      <w:tr w14:paraId="68604F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569" w:hRule="atLeast"/>
          <w:jc w:val="center"/>
        </w:trPr>
        <w:tc>
          <w:tcPr>
            <w:tcW w:w="66" w:type="pct"/>
            <w:vMerge w:val="continue"/>
            <w:shd w:val="clear" w:color="auto" w:fill="auto"/>
            <w:vAlign w:val="center"/>
          </w:tcPr>
          <w:p w14:paraId="45E89DEC">
            <w:pPr>
              <w:pStyle w:val="105"/>
              <w:jc w:val="center"/>
              <w:rPr>
                <w:color w:val="000000" w:themeColor="text1"/>
                <w:sz w:val="18"/>
                <w:szCs w:val="18"/>
                <w14:textFill>
                  <w14:solidFill>
                    <w14:schemeClr w14:val="tx1"/>
                  </w14:solidFill>
                </w14:textFill>
              </w:rPr>
            </w:pPr>
          </w:p>
        </w:tc>
        <w:tc>
          <w:tcPr>
            <w:tcW w:w="133" w:type="pct"/>
            <w:vMerge w:val="continue"/>
            <w:shd w:val="clear" w:color="auto" w:fill="auto"/>
            <w:vAlign w:val="center"/>
          </w:tcPr>
          <w:p w14:paraId="6A1A65B8">
            <w:pPr>
              <w:pStyle w:val="105"/>
              <w:jc w:val="center"/>
              <w:rPr>
                <w:color w:val="000000" w:themeColor="text1"/>
                <w:sz w:val="18"/>
                <w:szCs w:val="18"/>
                <w14:textFill>
                  <w14:solidFill>
                    <w14:schemeClr w14:val="tx1"/>
                  </w14:solidFill>
                </w14:textFill>
              </w:rPr>
            </w:pPr>
          </w:p>
        </w:tc>
        <w:tc>
          <w:tcPr>
            <w:tcW w:w="132" w:type="pct"/>
            <w:shd w:val="clear" w:color="auto" w:fill="auto"/>
            <w:vAlign w:val="center"/>
          </w:tcPr>
          <w:p w14:paraId="6583C17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接线</w:t>
            </w:r>
          </w:p>
        </w:tc>
        <w:tc>
          <w:tcPr>
            <w:tcW w:w="166" w:type="pct"/>
            <w:shd w:val="clear" w:color="auto" w:fill="auto"/>
            <w:vAlign w:val="center"/>
          </w:tcPr>
          <w:p w14:paraId="6D102FD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全线</w:t>
            </w:r>
          </w:p>
        </w:tc>
        <w:tc>
          <w:tcPr>
            <w:tcW w:w="100" w:type="pct"/>
            <w:shd w:val="clear" w:color="auto" w:fill="auto"/>
            <w:vAlign w:val="center"/>
          </w:tcPr>
          <w:p w14:paraId="0A40099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路基+桥梁</w:t>
            </w:r>
          </w:p>
        </w:tc>
        <w:tc>
          <w:tcPr>
            <w:tcW w:w="99" w:type="pct"/>
            <w:shd w:val="clear" w:color="auto" w:fill="auto"/>
            <w:vAlign w:val="center"/>
          </w:tcPr>
          <w:p w14:paraId="2E06A6E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3</w:t>
            </w:r>
          </w:p>
        </w:tc>
        <w:tc>
          <w:tcPr>
            <w:tcW w:w="99" w:type="pct"/>
            <w:shd w:val="clear" w:color="auto" w:fill="auto"/>
            <w:vAlign w:val="center"/>
          </w:tcPr>
          <w:p w14:paraId="45D7CFE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路右</w:t>
            </w:r>
          </w:p>
        </w:tc>
        <w:tc>
          <w:tcPr>
            <w:tcW w:w="199" w:type="pct"/>
            <w:shd w:val="clear" w:color="auto" w:fill="auto"/>
            <w:vAlign w:val="center"/>
          </w:tcPr>
          <w:p w14:paraId="5F3F1BA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4</w:t>
            </w:r>
          </w:p>
        </w:tc>
        <w:tc>
          <w:tcPr>
            <w:tcW w:w="166" w:type="pct"/>
            <w:shd w:val="clear" w:color="auto" w:fill="auto"/>
            <w:vAlign w:val="center"/>
          </w:tcPr>
          <w:p w14:paraId="20BA916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22</w:t>
            </w:r>
          </w:p>
        </w:tc>
        <w:tc>
          <w:tcPr>
            <w:tcW w:w="166" w:type="pct"/>
            <w:shd w:val="clear" w:color="auto" w:fill="auto"/>
            <w:vAlign w:val="center"/>
          </w:tcPr>
          <w:p w14:paraId="3B2E9D5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28</w:t>
            </w:r>
          </w:p>
        </w:tc>
        <w:tc>
          <w:tcPr>
            <w:tcW w:w="132" w:type="pct"/>
            <w:shd w:val="clear" w:color="auto" w:fill="auto"/>
            <w:vAlign w:val="center"/>
          </w:tcPr>
          <w:p w14:paraId="181C716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166" w:type="pct"/>
            <w:shd w:val="clear" w:color="auto" w:fill="auto"/>
            <w:vAlign w:val="center"/>
          </w:tcPr>
          <w:p w14:paraId="077C497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20</w:t>
            </w:r>
            <w:r>
              <w:rPr>
                <w:rFonts w:hint="eastAsia"/>
                <w:color w:val="000000" w:themeColor="text1"/>
                <w:sz w:val="18"/>
                <w:szCs w:val="18"/>
                <w14:textFill>
                  <w14:solidFill>
                    <w14:schemeClr w14:val="tx1"/>
                  </w14:solidFill>
                </w14:textFill>
              </w:rPr>
              <w:t>人</w:t>
            </w:r>
          </w:p>
        </w:tc>
        <w:tc>
          <w:tcPr>
            <w:tcW w:w="397" w:type="pct"/>
            <w:vMerge w:val="continue"/>
            <w:shd w:val="clear" w:color="auto" w:fill="auto"/>
          </w:tcPr>
          <w:p w14:paraId="72A1808A">
            <w:pPr>
              <w:pStyle w:val="105"/>
              <w:jc w:val="center"/>
              <w:rPr>
                <w:color w:val="000000" w:themeColor="text1"/>
                <w:sz w:val="18"/>
                <w:szCs w:val="18"/>
                <w14:textFill>
                  <w14:solidFill>
                    <w14:schemeClr w14:val="tx1"/>
                  </w14:solidFill>
                </w14:textFill>
              </w:rPr>
            </w:pPr>
          </w:p>
        </w:tc>
        <w:tc>
          <w:tcPr>
            <w:tcW w:w="994" w:type="pct"/>
            <w:vMerge w:val="continue"/>
            <w:shd w:val="clear" w:color="auto" w:fill="auto"/>
            <w:vAlign w:val="center"/>
          </w:tcPr>
          <w:p w14:paraId="0CB7D957">
            <w:pPr>
              <w:pStyle w:val="105"/>
              <w:jc w:val="center"/>
              <w:rPr>
                <w:color w:val="000000" w:themeColor="text1"/>
                <w14:textFill>
                  <w14:solidFill>
                    <w14:schemeClr w14:val="tx1"/>
                  </w14:solidFill>
                </w14:textFill>
              </w:rPr>
            </w:pPr>
          </w:p>
        </w:tc>
        <w:tc>
          <w:tcPr>
            <w:tcW w:w="1340" w:type="pct"/>
            <w:vMerge w:val="continue"/>
            <w:shd w:val="clear" w:color="auto" w:fill="auto"/>
            <w:vAlign w:val="center"/>
          </w:tcPr>
          <w:p w14:paraId="1F3CEF30">
            <w:pPr>
              <w:pStyle w:val="105"/>
              <w:jc w:val="center"/>
              <w:rPr>
                <w:color w:val="000000" w:themeColor="text1"/>
                <w:sz w:val="18"/>
                <w:szCs w:val="18"/>
                <w14:textFill>
                  <w14:solidFill>
                    <w14:schemeClr w14:val="tx1"/>
                  </w14:solidFill>
                </w14:textFill>
              </w:rPr>
            </w:pPr>
          </w:p>
        </w:tc>
        <w:tc>
          <w:tcPr>
            <w:tcW w:w="645" w:type="pct"/>
            <w:vMerge w:val="continue"/>
            <w:shd w:val="clear" w:color="auto" w:fill="auto"/>
            <w:vAlign w:val="center"/>
          </w:tcPr>
          <w:p w14:paraId="4A06C885">
            <w:pPr>
              <w:pStyle w:val="105"/>
              <w:ind w:left="-120" w:leftChars="-50" w:right="-120" w:rightChars="-50"/>
              <w:jc w:val="center"/>
              <w:rPr>
                <w:color w:val="000000" w:themeColor="text1"/>
                <w:sz w:val="18"/>
                <w:szCs w:val="18"/>
                <w14:textFill>
                  <w14:solidFill>
                    <w14:schemeClr w14:val="tx1"/>
                  </w14:solidFill>
                </w14:textFill>
              </w:rPr>
            </w:pPr>
          </w:p>
        </w:tc>
      </w:tr>
      <w:bookmarkEnd w:id="177"/>
    </w:tbl>
    <w:p w14:paraId="32A263B2">
      <w:pPr>
        <w:pStyle w:val="105"/>
        <w:ind w:left="480" w:firstLine="480"/>
        <w:rPr>
          <w:color w:val="000000" w:themeColor="text1"/>
          <w14:textFill>
            <w14:solidFill>
              <w14:schemeClr w14:val="tx1"/>
            </w14:solidFill>
          </w14:textFill>
        </w:rPr>
        <w:sectPr>
          <w:pgSz w:w="23811" w:h="16838" w:orient="landscape"/>
          <w:pgMar w:top="1134" w:right="1134" w:bottom="1134" w:left="1134" w:header="567" w:footer="567" w:gutter="0"/>
          <w:cols w:space="425" w:num="1"/>
          <w:docGrid w:linePitch="326" w:charSpace="0"/>
        </w:sectPr>
      </w:pPr>
    </w:p>
    <w:bookmarkEnd w:id="173"/>
    <w:bookmarkEnd w:id="174"/>
    <w:p w14:paraId="610DE75F">
      <w:pPr>
        <w:pStyle w:val="87"/>
        <w:spacing w:before="120"/>
        <w:ind w:left="480" w:firstLine="480"/>
        <w:rPr>
          <w:color w:val="000000" w:themeColor="text1"/>
          <w14:textFill>
            <w14:solidFill>
              <w14:schemeClr w14:val="tx1"/>
            </w14:solidFill>
          </w14:textFill>
        </w:rPr>
      </w:pPr>
      <w:bookmarkStart w:id="185" w:name="_Ref149635498"/>
      <w:r>
        <w:rPr>
          <w:rFonts w:hint="eastAsia"/>
          <w:color w:val="000000" w:themeColor="text1"/>
          <w14:textFill>
            <w14:solidFill>
              <w14:schemeClr w14:val="tx1"/>
            </w14:solidFill>
          </w14:textFill>
        </w:rPr>
        <w:t>施工用地周边2</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m范围保护目标（大气、声环境）</w:t>
      </w:r>
    </w:p>
    <w:tbl>
      <w:tblPr>
        <w:tblStyle w:val="5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7"/>
        <w:gridCol w:w="851"/>
        <w:gridCol w:w="850"/>
        <w:gridCol w:w="1560"/>
        <w:gridCol w:w="1275"/>
        <w:gridCol w:w="993"/>
        <w:gridCol w:w="850"/>
        <w:gridCol w:w="851"/>
        <w:gridCol w:w="567"/>
        <w:gridCol w:w="706"/>
      </w:tblGrid>
      <w:tr w14:paraId="14D0E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shd w:val="clear" w:color="auto" w:fill="auto"/>
            <w:vAlign w:val="center"/>
          </w:tcPr>
          <w:p w14:paraId="7F63784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701" w:type="dxa"/>
            <w:gridSpan w:val="2"/>
            <w:vMerge w:val="restart"/>
            <w:shd w:val="clear" w:color="auto" w:fill="auto"/>
            <w:vAlign w:val="center"/>
          </w:tcPr>
          <w:p w14:paraId="4B9B944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主要临时占地位置</w:t>
            </w:r>
          </w:p>
        </w:tc>
        <w:tc>
          <w:tcPr>
            <w:tcW w:w="1560" w:type="dxa"/>
            <w:vMerge w:val="restart"/>
            <w:shd w:val="clear" w:color="auto" w:fill="auto"/>
            <w:vAlign w:val="center"/>
          </w:tcPr>
          <w:p w14:paraId="0976E49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敏感目标/关注目标</w:t>
            </w:r>
          </w:p>
        </w:tc>
        <w:tc>
          <w:tcPr>
            <w:tcW w:w="2268" w:type="dxa"/>
            <w:gridSpan w:val="2"/>
            <w:shd w:val="clear" w:color="auto" w:fill="auto"/>
            <w:vAlign w:val="center"/>
          </w:tcPr>
          <w:p w14:paraId="03DCEB0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坐标/度</w:t>
            </w:r>
          </w:p>
        </w:tc>
        <w:tc>
          <w:tcPr>
            <w:tcW w:w="850" w:type="dxa"/>
            <w:vMerge w:val="restart"/>
            <w:shd w:val="clear" w:color="auto" w:fill="auto"/>
            <w:vAlign w:val="center"/>
          </w:tcPr>
          <w:p w14:paraId="13FE903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保护</w:t>
            </w:r>
          </w:p>
          <w:p w14:paraId="7FD25BD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对象</w:t>
            </w:r>
          </w:p>
        </w:tc>
        <w:tc>
          <w:tcPr>
            <w:tcW w:w="851" w:type="dxa"/>
            <w:vMerge w:val="restart"/>
            <w:shd w:val="clear" w:color="auto" w:fill="auto"/>
            <w:vAlign w:val="center"/>
          </w:tcPr>
          <w:p w14:paraId="6E4B5FE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户/人</w:t>
            </w:r>
          </w:p>
        </w:tc>
        <w:tc>
          <w:tcPr>
            <w:tcW w:w="567" w:type="dxa"/>
            <w:vMerge w:val="restart"/>
            <w:shd w:val="clear" w:color="auto" w:fill="auto"/>
            <w:vAlign w:val="center"/>
          </w:tcPr>
          <w:p w14:paraId="637156D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相对</w:t>
            </w:r>
          </w:p>
          <w:p w14:paraId="15EA4F5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方位</w:t>
            </w:r>
          </w:p>
        </w:tc>
        <w:tc>
          <w:tcPr>
            <w:tcW w:w="706" w:type="dxa"/>
            <w:vMerge w:val="restart"/>
            <w:shd w:val="clear" w:color="auto" w:fill="auto"/>
            <w:vAlign w:val="center"/>
          </w:tcPr>
          <w:p w14:paraId="12ACC2C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相对</w:t>
            </w:r>
          </w:p>
          <w:p w14:paraId="3AF47BA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距离/m</w:t>
            </w:r>
          </w:p>
        </w:tc>
      </w:tr>
      <w:tr w14:paraId="4CB0BF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18EB8E39">
            <w:pPr>
              <w:pStyle w:val="105"/>
              <w:rPr>
                <w:color w:val="000000" w:themeColor="text1"/>
                <w14:textFill>
                  <w14:solidFill>
                    <w14:schemeClr w14:val="tx1"/>
                  </w14:solidFill>
                </w14:textFill>
              </w:rPr>
            </w:pPr>
          </w:p>
        </w:tc>
        <w:tc>
          <w:tcPr>
            <w:tcW w:w="1701" w:type="dxa"/>
            <w:gridSpan w:val="2"/>
            <w:vMerge w:val="continue"/>
            <w:shd w:val="clear" w:color="auto" w:fill="auto"/>
            <w:vAlign w:val="center"/>
          </w:tcPr>
          <w:p w14:paraId="3A06900D">
            <w:pPr>
              <w:pStyle w:val="105"/>
              <w:rPr>
                <w:color w:val="000000" w:themeColor="text1"/>
                <w14:textFill>
                  <w14:solidFill>
                    <w14:schemeClr w14:val="tx1"/>
                  </w14:solidFill>
                </w14:textFill>
              </w:rPr>
            </w:pPr>
          </w:p>
        </w:tc>
        <w:tc>
          <w:tcPr>
            <w:tcW w:w="1560" w:type="dxa"/>
            <w:vMerge w:val="continue"/>
            <w:shd w:val="clear" w:color="auto" w:fill="auto"/>
            <w:vAlign w:val="center"/>
          </w:tcPr>
          <w:p w14:paraId="4A78FC7E">
            <w:pPr>
              <w:pStyle w:val="105"/>
              <w:rPr>
                <w:color w:val="000000" w:themeColor="text1"/>
                <w14:textFill>
                  <w14:solidFill>
                    <w14:schemeClr w14:val="tx1"/>
                  </w14:solidFill>
                </w14:textFill>
              </w:rPr>
            </w:pPr>
          </w:p>
        </w:tc>
        <w:tc>
          <w:tcPr>
            <w:tcW w:w="1275" w:type="dxa"/>
            <w:shd w:val="clear" w:color="auto" w:fill="auto"/>
            <w:vAlign w:val="center"/>
          </w:tcPr>
          <w:p w14:paraId="1A0D8D5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纬度</w:t>
            </w:r>
          </w:p>
        </w:tc>
        <w:tc>
          <w:tcPr>
            <w:tcW w:w="993" w:type="dxa"/>
            <w:shd w:val="clear" w:color="auto" w:fill="auto"/>
            <w:vAlign w:val="center"/>
          </w:tcPr>
          <w:p w14:paraId="1F807EC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经度</w:t>
            </w:r>
          </w:p>
        </w:tc>
        <w:tc>
          <w:tcPr>
            <w:tcW w:w="850" w:type="dxa"/>
            <w:vMerge w:val="continue"/>
            <w:shd w:val="clear" w:color="auto" w:fill="auto"/>
            <w:vAlign w:val="center"/>
          </w:tcPr>
          <w:p w14:paraId="52C94CAB">
            <w:pPr>
              <w:pStyle w:val="105"/>
              <w:rPr>
                <w:color w:val="000000" w:themeColor="text1"/>
                <w14:textFill>
                  <w14:solidFill>
                    <w14:schemeClr w14:val="tx1"/>
                  </w14:solidFill>
                </w14:textFill>
              </w:rPr>
            </w:pPr>
          </w:p>
        </w:tc>
        <w:tc>
          <w:tcPr>
            <w:tcW w:w="851" w:type="dxa"/>
            <w:vMerge w:val="continue"/>
            <w:shd w:val="clear" w:color="auto" w:fill="auto"/>
            <w:vAlign w:val="center"/>
          </w:tcPr>
          <w:p w14:paraId="7C602C62">
            <w:pPr>
              <w:pStyle w:val="105"/>
              <w:rPr>
                <w:color w:val="000000" w:themeColor="text1"/>
                <w14:textFill>
                  <w14:solidFill>
                    <w14:schemeClr w14:val="tx1"/>
                  </w14:solidFill>
                </w14:textFill>
              </w:rPr>
            </w:pPr>
          </w:p>
        </w:tc>
        <w:tc>
          <w:tcPr>
            <w:tcW w:w="567" w:type="dxa"/>
            <w:vMerge w:val="continue"/>
            <w:shd w:val="clear" w:color="auto" w:fill="auto"/>
            <w:vAlign w:val="center"/>
          </w:tcPr>
          <w:p w14:paraId="4D58CD40">
            <w:pPr>
              <w:pStyle w:val="105"/>
              <w:rPr>
                <w:color w:val="000000" w:themeColor="text1"/>
                <w14:textFill>
                  <w14:solidFill>
                    <w14:schemeClr w14:val="tx1"/>
                  </w14:solidFill>
                </w14:textFill>
              </w:rPr>
            </w:pPr>
          </w:p>
        </w:tc>
        <w:tc>
          <w:tcPr>
            <w:tcW w:w="706" w:type="dxa"/>
            <w:vMerge w:val="continue"/>
            <w:shd w:val="clear" w:color="auto" w:fill="auto"/>
            <w:vAlign w:val="center"/>
          </w:tcPr>
          <w:p w14:paraId="5CE1B07E">
            <w:pPr>
              <w:pStyle w:val="105"/>
              <w:rPr>
                <w:color w:val="000000" w:themeColor="text1"/>
                <w14:textFill>
                  <w14:solidFill>
                    <w14:schemeClr w14:val="tx1"/>
                  </w14:solidFill>
                </w14:textFill>
              </w:rPr>
            </w:pPr>
          </w:p>
        </w:tc>
      </w:tr>
      <w:tr w14:paraId="5FB87A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70" w:type="dxa"/>
            <w:gridSpan w:val="10"/>
            <w:shd w:val="clear" w:color="auto" w:fill="auto"/>
            <w:vAlign w:val="center"/>
          </w:tcPr>
          <w:p w14:paraId="182E284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一、施工场地</w:t>
            </w:r>
          </w:p>
        </w:tc>
      </w:tr>
      <w:tr w14:paraId="6EB237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shd w:val="clear" w:color="auto" w:fill="auto"/>
            <w:vAlign w:val="center"/>
          </w:tcPr>
          <w:p w14:paraId="28FC3F4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51" w:type="dxa"/>
            <w:vMerge w:val="restart"/>
            <w:shd w:val="clear" w:color="auto" w:fill="auto"/>
            <w:vAlign w:val="center"/>
          </w:tcPr>
          <w:p w14:paraId="79D12FE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施工场地</w:t>
            </w:r>
          </w:p>
        </w:tc>
        <w:tc>
          <w:tcPr>
            <w:tcW w:w="850" w:type="dxa"/>
            <w:vMerge w:val="restart"/>
            <w:shd w:val="clear" w:color="auto" w:fill="auto"/>
            <w:vAlign w:val="center"/>
          </w:tcPr>
          <w:p w14:paraId="0A59CAC9">
            <w:pPr>
              <w:pStyle w:val="105"/>
              <w:rPr>
                <w:color w:val="000000" w:themeColor="text1"/>
                <w14:textFill>
                  <w14:solidFill>
                    <w14:schemeClr w14:val="tx1"/>
                  </w14:solidFill>
                </w14:textFill>
              </w:rPr>
            </w:pPr>
            <w:r>
              <w:rPr>
                <w:rFonts w:hint="eastAsia"/>
                <w:color w:val="000000" w:themeColor="text1"/>
                <w:sz w:val="18"/>
                <w:szCs w:val="18"/>
                <w14:textFill>
                  <w14:solidFill>
                    <w14:schemeClr w14:val="tx1"/>
                  </w14:solidFill>
                </w14:textFill>
              </w:rPr>
              <w:t>K1+894右侧</w:t>
            </w:r>
          </w:p>
        </w:tc>
        <w:tc>
          <w:tcPr>
            <w:tcW w:w="1560" w:type="dxa"/>
            <w:shd w:val="clear" w:color="auto" w:fill="auto"/>
            <w:vAlign w:val="center"/>
          </w:tcPr>
          <w:p w14:paraId="3DCC80D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基督教洋下堂</w:t>
            </w:r>
          </w:p>
        </w:tc>
        <w:tc>
          <w:tcPr>
            <w:tcW w:w="1275" w:type="dxa"/>
            <w:shd w:val="clear" w:color="auto" w:fill="auto"/>
            <w:vAlign w:val="center"/>
          </w:tcPr>
          <w:p w14:paraId="549BBDE8">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119°16′43.71496″ </w:t>
            </w:r>
          </w:p>
        </w:tc>
        <w:tc>
          <w:tcPr>
            <w:tcW w:w="993" w:type="dxa"/>
            <w:shd w:val="clear" w:color="auto" w:fill="auto"/>
            <w:vAlign w:val="center"/>
          </w:tcPr>
          <w:p w14:paraId="58D85F6C">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25°37′40.70308″</w:t>
            </w:r>
          </w:p>
        </w:tc>
        <w:tc>
          <w:tcPr>
            <w:tcW w:w="850" w:type="dxa"/>
            <w:shd w:val="clear" w:color="auto" w:fill="auto"/>
            <w:vAlign w:val="center"/>
          </w:tcPr>
          <w:p w14:paraId="7433D4E5">
            <w:pPr>
              <w:pStyle w:val="105"/>
              <w:rPr>
                <w:color w:val="000000" w:themeColor="text1"/>
                <w14:textFill>
                  <w14:solidFill>
                    <w14:schemeClr w14:val="tx1"/>
                  </w14:solidFill>
                </w14:textFill>
              </w:rPr>
            </w:pPr>
            <w:r>
              <w:rPr>
                <w:color w:val="000000" w:themeColor="text1"/>
                <w14:textFill>
                  <w14:solidFill>
                    <w14:schemeClr w14:val="tx1"/>
                  </w14:solidFill>
                </w14:textFill>
              </w:rPr>
              <w:t>宗教</w:t>
            </w:r>
          </w:p>
        </w:tc>
        <w:tc>
          <w:tcPr>
            <w:tcW w:w="851" w:type="dxa"/>
            <w:shd w:val="clear" w:color="auto" w:fill="auto"/>
            <w:vAlign w:val="center"/>
          </w:tcPr>
          <w:p w14:paraId="4983E37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67" w:type="dxa"/>
            <w:shd w:val="clear" w:color="auto" w:fill="auto"/>
            <w:vAlign w:val="center"/>
          </w:tcPr>
          <w:p w14:paraId="00814FC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E</w:t>
            </w:r>
          </w:p>
        </w:tc>
        <w:tc>
          <w:tcPr>
            <w:tcW w:w="706" w:type="dxa"/>
            <w:shd w:val="clear" w:color="auto" w:fill="auto"/>
            <w:vAlign w:val="center"/>
          </w:tcPr>
          <w:p w14:paraId="5022D5E5">
            <w:pPr>
              <w:pStyle w:val="105"/>
              <w:rPr>
                <w:color w:val="000000" w:themeColor="text1"/>
                <w14:textFill>
                  <w14:solidFill>
                    <w14:schemeClr w14:val="tx1"/>
                  </w14:solidFill>
                </w14:textFill>
              </w:rPr>
            </w:pPr>
            <w:r>
              <w:rPr>
                <w:color w:val="000000" w:themeColor="text1"/>
                <w14:textFill>
                  <w14:solidFill>
                    <w14:schemeClr w14:val="tx1"/>
                  </w14:solidFill>
                </w14:textFill>
              </w:rPr>
              <w:t>130</w:t>
            </w:r>
          </w:p>
        </w:tc>
      </w:tr>
      <w:tr w14:paraId="32CD4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5A23E95F">
            <w:pPr>
              <w:pStyle w:val="105"/>
              <w:rPr>
                <w:color w:val="000000" w:themeColor="text1"/>
                <w14:textFill>
                  <w14:solidFill>
                    <w14:schemeClr w14:val="tx1"/>
                  </w14:solidFill>
                </w14:textFill>
              </w:rPr>
            </w:pPr>
          </w:p>
        </w:tc>
        <w:tc>
          <w:tcPr>
            <w:tcW w:w="851" w:type="dxa"/>
            <w:vMerge w:val="continue"/>
            <w:shd w:val="clear" w:color="auto" w:fill="auto"/>
            <w:vAlign w:val="center"/>
          </w:tcPr>
          <w:p w14:paraId="3D27AE34">
            <w:pPr>
              <w:pStyle w:val="105"/>
              <w:rPr>
                <w:color w:val="000000" w:themeColor="text1"/>
                <w14:textFill>
                  <w14:solidFill>
                    <w14:schemeClr w14:val="tx1"/>
                  </w14:solidFill>
                </w14:textFill>
              </w:rPr>
            </w:pPr>
          </w:p>
        </w:tc>
        <w:tc>
          <w:tcPr>
            <w:tcW w:w="850" w:type="dxa"/>
            <w:vMerge w:val="continue"/>
            <w:shd w:val="clear" w:color="auto" w:fill="auto"/>
            <w:vAlign w:val="center"/>
          </w:tcPr>
          <w:p w14:paraId="42757752">
            <w:pPr>
              <w:pStyle w:val="105"/>
              <w:rPr>
                <w:color w:val="000000" w:themeColor="text1"/>
                <w14:textFill>
                  <w14:solidFill>
                    <w14:schemeClr w14:val="tx1"/>
                  </w14:solidFill>
                </w14:textFill>
              </w:rPr>
            </w:pPr>
          </w:p>
        </w:tc>
        <w:tc>
          <w:tcPr>
            <w:tcW w:w="1560" w:type="dxa"/>
            <w:shd w:val="clear" w:color="auto" w:fill="auto"/>
            <w:vAlign w:val="center"/>
          </w:tcPr>
          <w:p w14:paraId="04147DD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联华村后郑</w:t>
            </w:r>
          </w:p>
        </w:tc>
        <w:tc>
          <w:tcPr>
            <w:tcW w:w="1275" w:type="dxa"/>
            <w:shd w:val="clear" w:color="auto" w:fill="auto"/>
            <w:vAlign w:val="center"/>
          </w:tcPr>
          <w:p w14:paraId="56D9B8E5">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119°16′37.06201″ </w:t>
            </w:r>
          </w:p>
        </w:tc>
        <w:tc>
          <w:tcPr>
            <w:tcW w:w="993" w:type="dxa"/>
            <w:shd w:val="clear" w:color="auto" w:fill="auto"/>
            <w:vAlign w:val="center"/>
          </w:tcPr>
          <w:p w14:paraId="05406341">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25°37′31.05678″</w:t>
            </w:r>
          </w:p>
        </w:tc>
        <w:tc>
          <w:tcPr>
            <w:tcW w:w="850" w:type="dxa"/>
            <w:shd w:val="clear" w:color="auto" w:fill="auto"/>
            <w:vAlign w:val="center"/>
          </w:tcPr>
          <w:p w14:paraId="73B14E6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居民点</w:t>
            </w:r>
          </w:p>
        </w:tc>
        <w:tc>
          <w:tcPr>
            <w:tcW w:w="851" w:type="dxa"/>
            <w:shd w:val="clear" w:color="auto" w:fill="auto"/>
            <w:vAlign w:val="center"/>
          </w:tcPr>
          <w:p w14:paraId="5499795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户1</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人</w:t>
            </w:r>
          </w:p>
        </w:tc>
        <w:tc>
          <w:tcPr>
            <w:tcW w:w="567" w:type="dxa"/>
            <w:shd w:val="clear" w:color="auto" w:fill="auto"/>
            <w:vAlign w:val="center"/>
          </w:tcPr>
          <w:p w14:paraId="51DA50B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color w:val="000000" w:themeColor="text1"/>
                <w14:textFill>
                  <w14:solidFill>
                    <w14:schemeClr w14:val="tx1"/>
                  </w14:solidFill>
                </w14:textFill>
              </w:rPr>
              <w:t>E</w:t>
            </w:r>
          </w:p>
        </w:tc>
        <w:tc>
          <w:tcPr>
            <w:tcW w:w="706" w:type="dxa"/>
            <w:shd w:val="clear" w:color="auto" w:fill="auto"/>
            <w:vAlign w:val="center"/>
          </w:tcPr>
          <w:p w14:paraId="74B7ECA4">
            <w:pPr>
              <w:pStyle w:val="105"/>
              <w:rPr>
                <w:color w:val="000000" w:themeColor="text1"/>
                <w14:textFill>
                  <w14:solidFill>
                    <w14:schemeClr w14:val="tx1"/>
                  </w14:solidFill>
                </w14:textFill>
              </w:rPr>
            </w:pPr>
            <w:r>
              <w:rPr>
                <w:color w:val="000000" w:themeColor="text1"/>
                <w14:textFill>
                  <w14:solidFill>
                    <w14:schemeClr w14:val="tx1"/>
                  </w14:solidFill>
                </w14:textFill>
              </w:rPr>
              <w:t>164</w:t>
            </w:r>
          </w:p>
        </w:tc>
      </w:tr>
      <w:tr w14:paraId="3F6B9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12FAC03A">
            <w:pPr>
              <w:pStyle w:val="105"/>
              <w:rPr>
                <w:color w:val="000000" w:themeColor="text1"/>
                <w14:textFill>
                  <w14:solidFill>
                    <w14:schemeClr w14:val="tx1"/>
                  </w14:solidFill>
                </w14:textFill>
              </w:rPr>
            </w:pPr>
          </w:p>
        </w:tc>
        <w:tc>
          <w:tcPr>
            <w:tcW w:w="851" w:type="dxa"/>
            <w:vMerge w:val="continue"/>
            <w:shd w:val="clear" w:color="auto" w:fill="auto"/>
            <w:vAlign w:val="center"/>
          </w:tcPr>
          <w:p w14:paraId="362778AE">
            <w:pPr>
              <w:pStyle w:val="105"/>
              <w:rPr>
                <w:color w:val="000000" w:themeColor="text1"/>
                <w14:textFill>
                  <w14:solidFill>
                    <w14:schemeClr w14:val="tx1"/>
                  </w14:solidFill>
                </w14:textFill>
              </w:rPr>
            </w:pPr>
          </w:p>
        </w:tc>
        <w:tc>
          <w:tcPr>
            <w:tcW w:w="850" w:type="dxa"/>
            <w:vMerge w:val="continue"/>
            <w:shd w:val="clear" w:color="auto" w:fill="auto"/>
            <w:vAlign w:val="center"/>
          </w:tcPr>
          <w:p w14:paraId="0237DBA3">
            <w:pPr>
              <w:pStyle w:val="105"/>
              <w:rPr>
                <w:color w:val="000000" w:themeColor="text1"/>
                <w14:textFill>
                  <w14:solidFill>
                    <w14:schemeClr w14:val="tx1"/>
                  </w14:solidFill>
                </w14:textFill>
              </w:rPr>
            </w:pPr>
          </w:p>
        </w:tc>
        <w:tc>
          <w:tcPr>
            <w:tcW w:w="1560" w:type="dxa"/>
            <w:shd w:val="clear" w:color="auto" w:fill="auto"/>
            <w:vAlign w:val="center"/>
          </w:tcPr>
          <w:p w14:paraId="7EDF504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联华村火烧埔</w:t>
            </w:r>
          </w:p>
        </w:tc>
        <w:tc>
          <w:tcPr>
            <w:tcW w:w="1275" w:type="dxa"/>
            <w:shd w:val="clear" w:color="auto" w:fill="auto"/>
            <w:vAlign w:val="center"/>
          </w:tcPr>
          <w:p w14:paraId="0DABE96C">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119°16′49.37335″ </w:t>
            </w:r>
          </w:p>
        </w:tc>
        <w:tc>
          <w:tcPr>
            <w:tcW w:w="993" w:type="dxa"/>
            <w:shd w:val="clear" w:color="auto" w:fill="auto"/>
            <w:vAlign w:val="center"/>
          </w:tcPr>
          <w:p w14:paraId="411CD341">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25°37′32.90107″</w:t>
            </w:r>
          </w:p>
        </w:tc>
        <w:tc>
          <w:tcPr>
            <w:tcW w:w="850" w:type="dxa"/>
            <w:shd w:val="clear" w:color="auto" w:fill="auto"/>
            <w:vAlign w:val="center"/>
          </w:tcPr>
          <w:p w14:paraId="1171EA2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居民点</w:t>
            </w:r>
          </w:p>
        </w:tc>
        <w:tc>
          <w:tcPr>
            <w:tcW w:w="851" w:type="dxa"/>
            <w:shd w:val="clear" w:color="auto" w:fill="auto"/>
            <w:vAlign w:val="center"/>
          </w:tcPr>
          <w:p w14:paraId="489D4150">
            <w:pPr>
              <w:pStyle w:val="105"/>
              <w:rPr>
                <w:color w:val="000000" w:themeColor="text1"/>
                <w14:textFill>
                  <w14:solidFill>
                    <w14:schemeClr w14:val="tx1"/>
                  </w14:solidFill>
                </w14:textFill>
              </w:rPr>
            </w:pPr>
            <w:r>
              <w:rPr>
                <w:rFonts w:hint="eastAsia"/>
                <w:color w:val="000000" w:themeColor="text1"/>
                <w:sz w:val="18"/>
                <w:szCs w:val="18"/>
                <w14:textFill>
                  <w14:solidFill>
                    <w14:schemeClr w14:val="tx1"/>
                  </w14:solidFill>
                </w14:textFill>
              </w:rPr>
              <w:t>2</w:t>
            </w:r>
            <w:r>
              <w:rPr>
                <w:color w:val="000000" w:themeColor="text1"/>
                <w:sz w:val="18"/>
                <w:szCs w:val="18"/>
                <w14:textFill>
                  <w14:solidFill>
                    <w14:schemeClr w14:val="tx1"/>
                  </w14:solidFill>
                </w14:textFill>
              </w:rPr>
              <w:t>1</w:t>
            </w:r>
            <w:r>
              <w:rPr>
                <w:rFonts w:hint="eastAsia"/>
                <w:color w:val="000000" w:themeColor="text1"/>
                <w:sz w:val="18"/>
                <w:szCs w:val="18"/>
                <w14:textFill>
                  <w14:solidFill>
                    <w14:schemeClr w14:val="tx1"/>
                  </w14:solidFill>
                </w14:textFill>
              </w:rPr>
              <w:t>户</w:t>
            </w:r>
            <w:r>
              <w:rPr>
                <w:color w:val="000000" w:themeColor="text1"/>
                <w:sz w:val="18"/>
                <w:szCs w:val="18"/>
                <w14:textFill>
                  <w14:solidFill>
                    <w14:schemeClr w14:val="tx1"/>
                  </w14:solidFill>
                </w14:textFill>
              </w:rPr>
              <w:t>105</w:t>
            </w:r>
            <w:r>
              <w:rPr>
                <w:rFonts w:hint="eastAsia"/>
                <w:color w:val="000000" w:themeColor="text1"/>
                <w:sz w:val="18"/>
                <w:szCs w:val="18"/>
                <w14:textFill>
                  <w14:solidFill>
                    <w14:schemeClr w14:val="tx1"/>
                  </w14:solidFill>
                </w14:textFill>
              </w:rPr>
              <w:t>人</w:t>
            </w:r>
          </w:p>
        </w:tc>
        <w:tc>
          <w:tcPr>
            <w:tcW w:w="567" w:type="dxa"/>
            <w:shd w:val="clear" w:color="auto" w:fill="auto"/>
            <w:vAlign w:val="center"/>
          </w:tcPr>
          <w:p w14:paraId="6DBD60D1">
            <w:pPr>
              <w:pStyle w:val="105"/>
              <w:rPr>
                <w:color w:val="000000" w:themeColor="text1"/>
                <w14:textFill>
                  <w14:solidFill>
                    <w14:schemeClr w14:val="tx1"/>
                  </w14:solidFill>
                </w14:textFill>
              </w:rPr>
            </w:pPr>
            <w:r>
              <w:rPr>
                <w:color w:val="000000" w:themeColor="text1"/>
                <w14:textFill>
                  <w14:solidFill>
                    <w14:schemeClr w14:val="tx1"/>
                  </w14:solidFill>
                </w14:textFill>
              </w:rPr>
              <w:t>W</w:t>
            </w:r>
            <w:r>
              <w:rPr>
                <w:rFonts w:hint="eastAsia"/>
                <w:color w:val="000000" w:themeColor="text1"/>
                <w14:textFill>
                  <w14:solidFill>
                    <w14:schemeClr w14:val="tx1"/>
                  </w14:solidFill>
                </w14:textFill>
              </w:rPr>
              <w:t>S</w:t>
            </w:r>
          </w:p>
        </w:tc>
        <w:tc>
          <w:tcPr>
            <w:tcW w:w="706" w:type="dxa"/>
            <w:shd w:val="clear" w:color="auto" w:fill="auto"/>
            <w:vAlign w:val="center"/>
          </w:tcPr>
          <w:p w14:paraId="4185F3C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41</w:t>
            </w:r>
          </w:p>
        </w:tc>
      </w:tr>
      <w:tr w14:paraId="35126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4CE301F9">
            <w:pPr>
              <w:pStyle w:val="105"/>
              <w:rPr>
                <w:color w:val="000000" w:themeColor="text1"/>
                <w14:textFill>
                  <w14:solidFill>
                    <w14:schemeClr w14:val="tx1"/>
                  </w14:solidFill>
                </w14:textFill>
              </w:rPr>
            </w:pPr>
          </w:p>
        </w:tc>
        <w:tc>
          <w:tcPr>
            <w:tcW w:w="851" w:type="dxa"/>
            <w:vMerge w:val="continue"/>
            <w:shd w:val="clear" w:color="auto" w:fill="auto"/>
            <w:vAlign w:val="center"/>
          </w:tcPr>
          <w:p w14:paraId="66759912">
            <w:pPr>
              <w:pStyle w:val="105"/>
              <w:rPr>
                <w:color w:val="000000" w:themeColor="text1"/>
                <w14:textFill>
                  <w14:solidFill>
                    <w14:schemeClr w14:val="tx1"/>
                  </w14:solidFill>
                </w14:textFill>
              </w:rPr>
            </w:pPr>
          </w:p>
        </w:tc>
        <w:tc>
          <w:tcPr>
            <w:tcW w:w="850" w:type="dxa"/>
            <w:vMerge w:val="continue"/>
            <w:shd w:val="clear" w:color="auto" w:fill="auto"/>
            <w:vAlign w:val="center"/>
          </w:tcPr>
          <w:p w14:paraId="7B37B594">
            <w:pPr>
              <w:pStyle w:val="105"/>
              <w:rPr>
                <w:color w:val="000000" w:themeColor="text1"/>
                <w14:textFill>
                  <w14:solidFill>
                    <w14:schemeClr w14:val="tx1"/>
                  </w14:solidFill>
                </w14:textFill>
              </w:rPr>
            </w:pPr>
          </w:p>
        </w:tc>
        <w:tc>
          <w:tcPr>
            <w:tcW w:w="1560" w:type="dxa"/>
            <w:shd w:val="clear" w:color="auto" w:fill="auto"/>
            <w:vAlign w:val="center"/>
          </w:tcPr>
          <w:p w14:paraId="4F5B609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侨丰村</w:t>
            </w:r>
          </w:p>
        </w:tc>
        <w:tc>
          <w:tcPr>
            <w:tcW w:w="1275" w:type="dxa"/>
            <w:shd w:val="clear" w:color="auto" w:fill="auto"/>
            <w:vAlign w:val="center"/>
          </w:tcPr>
          <w:p w14:paraId="0D1D9BEB">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119°16′32.77477″ </w:t>
            </w:r>
          </w:p>
        </w:tc>
        <w:tc>
          <w:tcPr>
            <w:tcW w:w="993" w:type="dxa"/>
            <w:shd w:val="clear" w:color="auto" w:fill="auto"/>
            <w:vAlign w:val="center"/>
          </w:tcPr>
          <w:p w14:paraId="3BAF7874">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25°37′36.28065″</w:t>
            </w:r>
          </w:p>
        </w:tc>
        <w:tc>
          <w:tcPr>
            <w:tcW w:w="850" w:type="dxa"/>
            <w:shd w:val="clear" w:color="auto" w:fill="auto"/>
            <w:vAlign w:val="center"/>
          </w:tcPr>
          <w:p w14:paraId="63618C4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居民点</w:t>
            </w:r>
          </w:p>
        </w:tc>
        <w:tc>
          <w:tcPr>
            <w:tcW w:w="851" w:type="dxa"/>
            <w:shd w:val="clear" w:color="auto" w:fill="auto"/>
            <w:vAlign w:val="center"/>
          </w:tcPr>
          <w:p w14:paraId="47611E2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3人</w:t>
            </w:r>
          </w:p>
        </w:tc>
        <w:tc>
          <w:tcPr>
            <w:tcW w:w="567" w:type="dxa"/>
            <w:shd w:val="clear" w:color="auto" w:fill="auto"/>
            <w:vAlign w:val="center"/>
          </w:tcPr>
          <w:p w14:paraId="4FAA5CB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W</w:t>
            </w:r>
          </w:p>
        </w:tc>
        <w:tc>
          <w:tcPr>
            <w:tcW w:w="706" w:type="dxa"/>
            <w:shd w:val="clear" w:color="auto" w:fill="auto"/>
            <w:vAlign w:val="center"/>
          </w:tcPr>
          <w:p w14:paraId="75A8F40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w:t>
            </w:r>
          </w:p>
        </w:tc>
      </w:tr>
      <w:tr w14:paraId="5006A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shd w:val="clear" w:color="auto" w:fill="auto"/>
            <w:vAlign w:val="center"/>
          </w:tcPr>
          <w:p w14:paraId="08AC8DE4">
            <w:pPr>
              <w:pStyle w:val="105"/>
              <w:rPr>
                <w:color w:val="000000" w:themeColor="text1"/>
                <w14:textFill>
                  <w14:solidFill>
                    <w14:schemeClr w14:val="tx1"/>
                  </w14:solidFill>
                </w14:textFill>
              </w:rPr>
            </w:pPr>
            <w:r>
              <w:rPr>
                <w:color w:val="000000" w:themeColor="text1"/>
                <w14:textFill>
                  <w14:solidFill>
                    <w14:schemeClr w14:val="tx1"/>
                  </w14:solidFill>
                </w14:textFill>
              </w:rPr>
              <w:t>2</w:t>
            </w:r>
          </w:p>
        </w:tc>
        <w:tc>
          <w:tcPr>
            <w:tcW w:w="851" w:type="dxa"/>
            <w:shd w:val="clear" w:color="auto" w:fill="auto"/>
            <w:vAlign w:val="center"/>
          </w:tcPr>
          <w:p w14:paraId="7528F084">
            <w:pPr>
              <w:pStyle w:val="105"/>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施工场地</w:t>
            </w:r>
          </w:p>
        </w:tc>
        <w:tc>
          <w:tcPr>
            <w:tcW w:w="850" w:type="dxa"/>
            <w:shd w:val="clear" w:color="auto" w:fill="auto"/>
            <w:vAlign w:val="center"/>
          </w:tcPr>
          <w:p w14:paraId="5FB8B451">
            <w:pPr>
              <w:pStyle w:val="105"/>
              <w:rPr>
                <w:color w:val="000000" w:themeColor="text1"/>
                <w14:textFill>
                  <w14:solidFill>
                    <w14:schemeClr w14:val="tx1"/>
                  </w14:solidFill>
                </w14:textFill>
              </w:rPr>
            </w:pPr>
            <w:r>
              <w:rPr>
                <w:color w:val="000000" w:themeColor="text1"/>
                <w14:textFill>
                  <w14:solidFill>
                    <w14:schemeClr w14:val="tx1"/>
                  </w14:solidFill>
                </w14:textFill>
              </w:rPr>
              <w:t>K4+500</w:t>
            </w:r>
            <w:r>
              <w:rPr>
                <w:rFonts w:hint="eastAsia"/>
                <w:color w:val="000000" w:themeColor="text1"/>
                <w14:textFill>
                  <w14:solidFill>
                    <w14:schemeClr w14:val="tx1"/>
                  </w14:solidFill>
                </w14:textFill>
              </w:rPr>
              <w:t>路左</w:t>
            </w:r>
          </w:p>
        </w:tc>
        <w:tc>
          <w:tcPr>
            <w:tcW w:w="6802" w:type="dxa"/>
            <w:gridSpan w:val="7"/>
            <w:shd w:val="clear" w:color="auto" w:fill="auto"/>
            <w:vAlign w:val="center"/>
          </w:tcPr>
          <w:p w14:paraId="61B9B3A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00m范围无居民居住点，南侧</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0m为玉山文创农业公司（</w:t>
            </w:r>
            <w:r>
              <w:rPr>
                <w:rFonts w:hint="eastAsia"/>
                <w:color w:val="000000" w:themeColor="text1"/>
                <w14:textFill>
                  <w14:solidFill>
                    <w14:schemeClr w14:val="tx1"/>
                  </w14:solidFill>
                </w14:textFill>
              </w:rPr>
              <w:t>景观园艺种植加工</w:t>
            </w:r>
            <w:r>
              <w:rPr>
                <w:color w:val="000000" w:themeColor="text1"/>
                <w14:textFill>
                  <w14:solidFill>
                    <w14:schemeClr w14:val="tx1"/>
                  </w14:solidFill>
                </w14:textFill>
              </w:rPr>
              <w:t>）</w:t>
            </w:r>
          </w:p>
        </w:tc>
      </w:tr>
      <w:tr w14:paraId="6879A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070" w:type="dxa"/>
            <w:gridSpan w:val="10"/>
            <w:shd w:val="clear" w:color="auto" w:fill="auto"/>
            <w:vAlign w:val="center"/>
          </w:tcPr>
          <w:p w14:paraId="618F8CE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二、表土堆场</w:t>
            </w:r>
          </w:p>
        </w:tc>
      </w:tr>
      <w:tr w14:paraId="6EC493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shd w:val="clear" w:color="auto" w:fill="auto"/>
            <w:vAlign w:val="center"/>
          </w:tcPr>
          <w:p w14:paraId="233CBE24">
            <w:pPr>
              <w:pStyle w:val="105"/>
              <w:rPr>
                <w:color w:val="000000" w:themeColor="text1"/>
                <w14:textFill>
                  <w14:solidFill>
                    <w14:schemeClr w14:val="tx1"/>
                  </w14:solidFill>
                </w14:textFill>
              </w:rPr>
            </w:pPr>
            <w:r>
              <w:rPr>
                <w:color w:val="000000" w:themeColor="text1"/>
                <w14:textFill>
                  <w14:solidFill>
                    <w14:schemeClr w14:val="tx1"/>
                  </w14:solidFill>
                </w14:textFill>
              </w:rPr>
              <w:t>3</w:t>
            </w:r>
          </w:p>
        </w:tc>
        <w:tc>
          <w:tcPr>
            <w:tcW w:w="851" w:type="dxa"/>
            <w:vMerge w:val="restart"/>
            <w:shd w:val="clear" w:color="auto" w:fill="auto"/>
            <w:vAlign w:val="center"/>
          </w:tcPr>
          <w:p w14:paraId="15583EF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表土堆场</w:t>
            </w:r>
          </w:p>
        </w:tc>
        <w:tc>
          <w:tcPr>
            <w:tcW w:w="850" w:type="dxa"/>
            <w:vMerge w:val="restart"/>
            <w:shd w:val="clear" w:color="auto" w:fill="auto"/>
            <w:vAlign w:val="center"/>
          </w:tcPr>
          <w:p w14:paraId="2C2B8452">
            <w:pPr>
              <w:pStyle w:val="105"/>
              <w:rPr>
                <w:color w:val="000000" w:themeColor="text1"/>
                <w14:textFill>
                  <w14:solidFill>
                    <w14:schemeClr w14:val="tx1"/>
                  </w14:solidFill>
                </w14:textFill>
              </w:rPr>
            </w:pPr>
            <w:r>
              <w:rPr>
                <w:color w:val="000000" w:themeColor="text1"/>
                <w14:textFill>
                  <w14:solidFill>
                    <w14:schemeClr w14:val="tx1"/>
                  </w14:solidFill>
                </w14:textFill>
              </w:rPr>
              <w:t>K0+700</w:t>
            </w:r>
            <w:r>
              <w:rPr>
                <w:rFonts w:hint="eastAsia"/>
                <w:color w:val="000000" w:themeColor="text1"/>
                <w14:textFill>
                  <w14:solidFill>
                    <w14:schemeClr w14:val="tx1"/>
                  </w14:solidFill>
                </w14:textFill>
              </w:rPr>
              <w:t>路右</w:t>
            </w:r>
          </w:p>
        </w:tc>
        <w:tc>
          <w:tcPr>
            <w:tcW w:w="1560" w:type="dxa"/>
            <w:shd w:val="clear" w:color="auto" w:fill="auto"/>
            <w:vAlign w:val="center"/>
          </w:tcPr>
          <w:p w14:paraId="2F5C352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菜堂寺</w:t>
            </w:r>
          </w:p>
        </w:tc>
        <w:tc>
          <w:tcPr>
            <w:tcW w:w="1275" w:type="dxa"/>
            <w:shd w:val="clear" w:color="auto" w:fill="auto"/>
            <w:vAlign w:val="center"/>
          </w:tcPr>
          <w:p w14:paraId="5D0A042F">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119°17′19.47095″</w:t>
            </w:r>
          </w:p>
        </w:tc>
        <w:tc>
          <w:tcPr>
            <w:tcW w:w="993" w:type="dxa"/>
            <w:shd w:val="clear" w:color="auto" w:fill="auto"/>
            <w:vAlign w:val="center"/>
          </w:tcPr>
          <w:p w14:paraId="46351542">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25°37′42.46046″</w:t>
            </w:r>
          </w:p>
        </w:tc>
        <w:tc>
          <w:tcPr>
            <w:tcW w:w="850" w:type="dxa"/>
            <w:shd w:val="clear" w:color="auto" w:fill="auto"/>
            <w:vAlign w:val="center"/>
          </w:tcPr>
          <w:p w14:paraId="63D6608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寺庙</w:t>
            </w:r>
          </w:p>
        </w:tc>
        <w:tc>
          <w:tcPr>
            <w:tcW w:w="851" w:type="dxa"/>
            <w:shd w:val="clear" w:color="auto" w:fill="auto"/>
            <w:vAlign w:val="center"/>
          </w:tcPr>
          <w:p w14:paraId="4D647191">
            <w:pPr>
              <w:pStyle w:val="105"/>
              <w:rPr>
                <w:color w:val="000000" w:themeColor="text1"/>
                <w14:textFill>
                  <w14:solidFill>
                    <w14:schemeClr w14:val="tx1"/>
                  </w14:solidFill>
                </w14:textFill>
              </w:rPr>
            </w:pPr>
            <w:r>
              <w:rPr>
                <w:color w:val="000000" w:themeColor="text1"/>
                <w14:textFill>
                  <w14:solidFill>
                    <w14:schemeClr w14:val="tx1"/>
                  </w14:solidFill>
                </w14:textFill>
              </w:rPr>
              <w:t>1栋</w:t>
            </w:r>
          </w:p>
        </w:tc>
        <w:tc>
          <w:tcPr>
            <w:tcW w:w="567" w:type="dxa"/>
            <w:shd w:val="clear" w:color="auto" w:fill="auto"/>
            <w:vAlign w:val="center"/>
          </w:tcPr>
          <w:p w14:paraId="281B2F0A">
            <w:pPr>
              <w:pStyle w:val="105"/>
              <w:rPr>
                <w:color w:val="000000" w:themeColor="text1"/>
                <w14:textFill>
                  <w14:solidFill>
                    <w14:schemeClr w14:val="tx1"/>
                  </w14:solidFill>
                </w14:textFill>
              </w:rPr>
            </w:pPr>
            <w:r>
              <w:rPr>
                <w:color w:val="000000" w:themeColor="text1"/>
                <w14:textFill>
                  <w14:solidFill>
                    <w14:schemeClr w14:val="tx1"/>
                  </w14:solidFill>
                </w14:textFill>
              </w:rPr>
              <w:t>N</w:t>
            </w:r>
          </w:p>
        </w:tc>
        <w:tc>
          <w:tcPr>
            <w:tcW w:w="706" w:type="dxa"/>
            <w:shd w:val="clear" w:color="auto" w:fill="auto"/>
            <w:vAlign w:val="center"/>
          </w:tcPr>
          <w:p w14:paraId="1FED2641">
            <w:pPr>
              <w:pStyle w:val="105"/>
              <w:rPr>
                <w:color w:val="000000" w:themeColor="text1"/>
                <w14:textFill>
                  <w14:solidFill>
                    <w14:schemeClr w14:val="tx1"/>
                  </w14:solidFill>
                </w14:textFill>
              </w:rPr>
            </w:pPr>
            <w:r>
              <w:rPr>
                <w:color w:val="000000" w:themeColor="text1"/>
                <w14:textFill>
                  <w14:solidFill>
                    <w14:schemeClr w14:val="tx1"/>
                  </w14:solidFill>
                </w14:textFill>
              </w:rPr>
              <w:t>118</w:t>
            </w:r>
          </w:p>
        </w:tc>
      </w:tr>
      <w:tr w14:paraId="4B1396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2125F206">
            <w:pPr>
              <w:pStyle w:val="105"/>
              <w:rPr>
                <w:color w:val="000000" w:themeColor="text1"/>
                <w14:textFill>
                  <w14:solidFill>
                    <w14:schemeClr w14:val="tx1"/>
                  </w14:solidFill>
                </w14:textFill>
              </w:rPr>
            </w:pPr>
          </w:p>
        </w:tc>
        <w:tc>
          <w:tcPr>
            <w:tcW w:w="851" w:type="dxa"/>
            <w:vMerge w:val="continue"/>
            <w:shd w:val="clear" w:color="auto" w:fill="auto"/>
            <w:vAlign w:val="center"/>
          </w:tcPr>
          <w:p w14:paraId="7A417D70">
            <w:pPr>
              <w:pStyle w:val="105"/>
              <w:rPr>
                <w:color w:val="000000" w:themeColor="text1"/>
                <w14:textFill>
                  <w14:solidFill>
                    <w14:schemeClr w14:val="tx1"/>
                  </w14:solidFill>
                </w14:textFill>
              </w:rPr>
            </w:pPr>
          </w:p>
        </w:tc>
        <w:tc>
          <w:tcPr>
            <w:tcW w:w="850" w:type="dxa"/>
            <w:vMerge w:val="continue"/>
            <w:shd w:val="clear" w:color="auto" w:fill="auto"/>
            <w:vAlign w:val="center"/>
          </w:tcPr>
          <w:p w14:paraId="3A3C26A9">
            <w:pPr>
              <w:pStyle w:val="105"/>
              <w:rPr>
                <w:color w:val="000000" w:themeColor="text1"/>
                <w14:textFill>
                  <w14:solidFill>
                    <w14:schemeClr w14:val="tx1"/>
                  </w14:solidFill>
                </w14:textFill>
              </w:rPr>
            </w:pPr>
          </w:p>
        </w:tc>
        <w:tc>
          <w:tcPr>
            <w:tcW w:w="1560" w:type="dxa"/>
            <w:shd w:val="clear" w:color="auto" w:fill="auto"/>
            <w:vAlign w:val="center"/>
          </w:tcPr>
          <w:p w14:paraId="3CABA18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上张村林泉</w:t>
            </w:r>
          </w:p>
        </w:tc>
        <w:tc>
          <w:tcPr>
            <w:tcW w:w="1275" w:type="dxa"/>
            <w:shd w:val="clear" w:color="auto" w:fill="auto"/>
            <w:vAlign w:val="center"/>
          </w:tcPr>
          <w:p w14:paraId="2B8E6CDD">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119°17′27.52402″ </w:t>
            </w:r>
          </w:p>
        </w:tc>
        <w:tc>
          <w:tcPr>
            <w:tcW w:w="993" w:type="dxa"/>
            <w:shd w:val="clear" w:color="auto" w:fill="auto"/>
            <w:vAlign w:val="center"/>
          </w:tcPr>
          <w:p w14:paraId="6DD1DD37">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25°37′31.62648″</w:t>
            </w:r>
          </w:p>
        </w:tc>
        <w:tc>
          <w:tcPr>
            <w:tcW w:w="850" w:type="dxa"/>
            <w:shd w:val="clear" w:color="auto" w:fill="auto"/>
            <w:vAlign w:val="center"/>
          </w:tcPr>
          <w:p w14:paraId="62119405">
            <w:pPr>
              <w:pStyle w:val="105"/>
              <w:rPr>
                <w:color w:val="000000" w:themeColor="text1"/>
                <w14:textFill>
                  <w14:solidFill>
                    <w14:schemeClr w14:val="tx1"/>
                  </w14:solidFill>
                </w14:textFill>
              </w:rPr>
            </w:pPr>
            <w:r>
              <w:rPr>
                <w:color w:val="000000" w:themeColor="text1"/>
                <w14:textFill>
                  <w14:solidFill>
                    <w14:schemeClr w14:val="tx1"/>
                  </w14:solidFill>
                </w14:textFill>
              </w:rPr>
              <w:t xml:space="preserve"> 村庄</w:t>
            </w:r>
          </w:p>
        </w:tc>
        <w:tc>
          <w:tcPr>
            <w:tcW w:w="851" w:type="dxa"/>
            <w:shd w:val="clear" w:color="auto" w:fill="auto"/>
            <w:vAlign w:val="center"/>
          </w:tcPr>
          <w:p w14:paraId="332568A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2户</w:t>
            </w:r>
          </w:p>
        </w:tc>
        <w:tc>
          <w:tcPr>
            <w:tcW w:w="567" w:type="dxa"/>
            <w:shd w:val="clear" w:color="auto" w:fill="auto"/>
            <w:vAlign w:val="center"/>
          </w:tcPr>
          <w:p w14:paraId="2D12A8F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S</w:t>
            </w:r>
          </w:p>
        </w:tc>
        <w:tc>
          <w:tcPr>
            <w:tcW w:w="706" w:type="dxa"/>
            <w:shd w:val="clear" w:color="auto" w:fill="auto"/>
            <w:vAlign w:val="center"/>
          </w:tcPr>
          <w:p w14:paraId="715A21D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74</w:t>
            </w:r>
          </w:p>
        </w:tc>
      </w:tr>
      <w:tr w14:paraId="455F1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6FD8D71E">
            <w:pPr>
              <w:pStyle w:val="105"/>
              <w:rPr>
                <w:color w:val="000000" w:themeColor="text1"/>
                <w14:textFill>
                  <w14:solidFill>
                    <w14:schemeClr w14:val="tx1"/>
                  </w14:solidFill>
                </w14:textFill>
              </w:rPr>
            </w:pPr>
          </w:p>
        </w:tc>
        <w:tc>
          <w:tcPr>
            <w:tcW w:w="851" w:type="dxa"/>
            <w:vMerge w:val="continue"/>
            <w:shd w:val="clear" w:color="auto" w:fill="auto"/>
            <w:vAlign w:val="center"/>
          </w:tcPr>
          <w:p w14:paraId="473881EA">
            <w:pPr>
              <w:pStyle w:val="105"/>
              <w:rPr>
                <w:color w:val="000000" w:themeColor="text1"/>
                <w14:textFill>
                  <w14:solidFill>
                    <w14:schemeClr w14:val="tx1"/>
                  </w14:solidFill>
                </w14:textFill>
              </w:rPr>
            </w:pPr>
          </w:p>
        </w:tc>
        <w:tc>
          <w:tcPr>
            <w:tcW w:w="850" w:type="dxa"/>
            <w:vMerge w:val="continue"/>
            <w:shd w:val="clear" w:color="auto" w:fill="auto"/>
            <w:vAlign w:val="center"/>
          </w:tcPr>
          <w:p w14:paraId="3C781947">
            <w:pPr>
              <w:pStyle w:val="105"/>
              <w:rPr>
                <w:color w:val="000000" w:themeColor="text1"/>
                <w14:textFill>
                  <w14:solidFill>
                    <w14:schemeClr w14:val="tx1"/>
                  </w14:solidFill>
                </w14:textFill>
              </w:rPr>
            </w:pPr>
          </w:p>
        </w:tc>
        <w:tc>
          <w:tcPr>
            <w:tcW w:w="1560" w:type="dxa"/>
            <w:shd w:val="clear" w:color="auto" w:fill="auto"/>
            <w:vAlign w:val="center"/>
          </w:tcPr>
          <w:p w14:paraId="2C699EE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鳗鱼养殖</w:t>
            </w:r>
          </w:p>
        </w:tc>
        <w:tc>
          <w:tcPr>
            <w:tcW w:w="1275" w:type="dxa"/>
            <w:shd w:val="clear" w:color="auto" w:fill="auto"/>
            <w:vAlign w:val="center"/>
          </w:tcPr>
          <w:p w14:paraId="74D40579">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119°17′21.19937″ </w:t>
            </w:r>
          </w:p>
        </w:tc>
        <w:tc>
          <w:tcPr>
            <w:tcW w:w="993" w:type="dxa"/>
            <w:shd w:val="clear" w:color="auto" w:fill="auto"/>
            <w:vAlign w:val="center"/>
          </w:tcPr>
          <w:p w14:paraId="40C7039A">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25°37′35.87510″</w:t>
            </w:r>
          </w:p>
        </w:tc>
        <w:tc>
          <w:tcPr>
            <w:tcW w:w="850" w:type="dxa"/>
            <w:shd w:val="clear" w:color="auto" w:fill="auto"/>
            <w:vAlign w:val="center"/>
          </w:tcPr>
          <w:p w14:paraId="0144B7F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养殖场</w:t>
            </w:r>
          </w:p>
        </w:tc>
        <w:tc>
          <w:tcPr>
            <w:tcW w:w="851" w:type="dxa"/>
            <w:shd w:val="clear" w:color="auto" w:fill="auto"/>
            <w:vAlign w:val="center"/>
          </w:tcPr>
          <w:p w14:paraId="6345C66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户</w:t>
            </w:r>
          </w:p>
        </w:tc>
        <w:tc>
          <w:tcPr>
            <w:tcW w:w="567" w:type="dxa"/>
            <w:shd w:val="clear" w:color="auto" w:fill="auto"/>
            <w:vAlign w:val="center"/>
          </w:tcPr>
          <w:p w14:paraId="225FA23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S</w:t>
            </w:r>
          </w:p>
        </w:tc>
        <w:tc>
          <w:tcPr>
            <w:tcW w:w="706" w:type="dxa"/>
            <w:shd w:val="clear" w:color="auto" w:fill="auto"/>
            <w:vAlign w:val="center"/>
          </w:tcPr>
          <w:p w14:paraId="32D9B3B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r>
      <w:tr w14:paraId="0347D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restart"/>
            <w:shd w:val="clear" w:color="auto" w:fill="auto"/>
            <w:vAlign w:val="center"/>
          </w:tcPr>
          <w:p w14:paraId="5B4304AB">
            <w:pPr>
              <w:pStyle w:val="105"/>
              <w:rPr>
                <w:color w:val="000000" w:themeColor="text1"/>
                <w14:textFill>
                  <w14:solidFill>
                    <w14:schemeClr w14:val="tx1"/>
                  </w14:solidFill>
                </w14:textFill>
              </w:rPr>
            </w:pPr>
            <w:r>
              <w:rPr>
                <w:color w:val="000000" w:themeColor="text1"/>
                <w14:textFill>
                  <w14:solidFill>
                    <w14:schemeClr w14:val="tx1"/>
                  </w14:solidFill>
                </w14:textFill>
              </w:rPr>
              <w:t>4</w:t>
            </w:r>
          </w:p>
        </w:tc>
        <w:tc>
          <w:tcPr>
            <w:tcW w:w="851" w:type="dxa"/>
            <w:vMerge w:val="restart"/>
            <w:shd w:val="clear" w:color="auto" w:fill="auto"/>
            <w:vAlign w:val="center"/>
          </w:tcPr>
          <w:p w14:paraId="00FFA66D">
            <w:pPr>
              <w:pStyle w:val="105"/>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表土堆场</w:t>
            </w:r>
          </w:p>
        </w:tc>
        <w:tc>
          <w:tcPr>
            <w:tcW w:w="850" w:type="dxa"/>
            <w:vMerge w:val="restart"/>
            <w:shd w:val="clear" w:color="auto" w:fill="auto"/>
            <w:vAlign w:val="center"/>
          </w:tcPr>
          <w:p w14:paraId="37ACD307">
            <w:pPr>
              <w:pStyle w:val="105"/>
              <w:rPr>
                <w:color w:val="000000" w:themeColor="text1"/>
                <w14:textFill>
                  <w14:solidFill>
                    <w14:schemeClr w14:val="tx1"/>
                  </w14:solidFill>
                </w14:textFill>
              </w:rPr>
            </w:pPr>
            <w:r>
              <w:rPr>
                <w:color w:val="000000" w:themeColor="text1"/>
                <w14:textFill>
                  <w14:solidFill>
                    <w14:schemeClr w14:val="tx1"/>
                  </w14:solidFill>
                </w14:textFill>
              </w:rPr>
              <w:t>K3+320</w:t>
            </w:r>
            <w:r>
              <w:rPr>
                <w:rFonts w:hint="eastAsia"/>
                <w:color w:val="000000" w:themeColor="text1"/>
                <w14:textFill>
                  <w14:solidFill>
                    <w14:schemeClr w14:val="tx1"/>
                  </w14:solidFill>
                </w14:textFill>
              </w:rPr>
              <w:t>路右</w:t>
            </w:r>
          </w:p>
        </w:tc>
        <w:tc>
          <w:tcPr>
            <w:tcW w:w="1560" w:type="dxa"/>
            <w:shd w:val="clear" w:color="auto" w:fill="auto"/>
            <w:vAlign w:val="center"/>
          </w:tcPr>
          <w:p w14:paraId="6E488BDA">
            <w:pPr>
              <w:pStyle w:val="105"/>
              <w:rPr>
                <w:color w:val="000000" w:themeColor="text1"/>
                <w14:textFill>
                  <w14:solidFill>
                    <w14:schemeClr w14:val="tx1"/>
                  </w14:solidFill>
                </w14:textFill>
              </w:rPr>
            </w:pPr>
            <w:r>
              <w:rPr>
                <w:color w:val="000000" w:themeColor="text1"/>
                <w14:textFill>
                  <w14:solidFill>
                    <w14:schemeClr w14:val="tx1"/>
                  </w14:solidFill>
                </w14:textFill>
              </w:rPr>
              <w:t>联华村西山</w:t>
            </w:r>
          </w:p>
        </w:tc>
        <w:tc>
          <w:tcPr>
            <w:tcW w:w="1275" w:type="dxa"/>
            <w:shd w:val="clear" w:color="auto" w:fill="auto"/>
            <w:vAlign w:val="center"/>
          </w:tcPr>
          <w:p w14:paraId="33E03C98">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119°15′56.99946″ </w:t>
            </w:r>
          </w:p>
        </w:tc>
        <w:tc>
          <w:tcPr>
            <w:tcW w:w="993" w:type="dxa"/>
            <w:shd w:val="clear" w:color="auto" w:fill="auto"/>
            <w:vAlign w:val="center"/>
          </w:tcPr>
          <w:p w14:paraId="3D5600CC">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25°37′45.69520″</w:t>
            </w:r>
          </w:p>
        </w:tc>
        <w:tc>
          <w:tcPr>
            <w:tcW w:w="850" w:type="dxa"/>
            <w:shd w:val="clear" w:color="auto" w:fill="auto"/>
          </w:tcPr>
          <w:p w14:paraId="5D926A4C">
            <w:pPr>
              <w:pStyle w:val="105"/>
              <w:rPr>
                <w:color w:val="000000" w:themeColor="text1"/>
                <w14:textFill>
                  <w14:solidFill>
                    <w14:schemeClr w14:val="tx1"/>
                  </w14:solidFill>
                </w14:textFill>
              </w:rPr>
            </w:pPr>
            <w:r>
              <w:rPr>
                <w:color w:val="000000" w:themeColor="text1"/>
                <w14:textFill>
                  <w14:solidFill>
                    <w14:schemeClr w14:val="tx1"/>
                  </w14:solidFill>
                </w14:textFill>
              </w:rPr>
              <w:t>村庄</w:t>
            </w:r>
          </w:p>
        </w:tc>
        <w:tc>
          <w:tcPr>
            <w:tcW w:w="851" w:type="dxa"/>
            <w:shd w:val="clear" w:color="auto" w:fill="auto"/>
            <w:vAlign w:val="center"/>
          </w:tcPr>
          <w:p w14:paraId="0DDD7FB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户</w:t>
            </w:r>
          </w:p>
        </w:tc>
        <w:tc>
          <w:tcPr>
            <w:tcW w:w="567" w:type="dxa"/>
            <w:shd w:val="clear" w:color="auto" w:fill="auto"/>
            <w:vAlign w:val="center"/>
          </w:tcPr>
          <w:p w14:paraId="7F61B0AB">
            <w:pPr>
              <w:pStyle w:val="105"/>
              <w:rPr>
                <w:color w:val="000000" w:themeColor="text1"/>
                <w14:textFill>
                  <w14:solidFill>
                    <w14:schemeClr w14:val="tx1"/>
                  </w14:solidFill>
                </w14:textFill>
              </w:rPr>
            </w:pPr>
            <w:r>
              <w:rPr>
                <w:color w:val="000000" w:themeColor="text1"/>
                <w14:textFill>
                  <w14:solidFill>
                    <w14:schemeClr w14:val="tx1"/>
                  </w14:solidFill>
                </w14:textFill>
              </w:rPr>
              <w:t>S</w:t>
            </w:r>
            <w:r>
              <w:rPr>
                <w:rFonts w:hint="eastAsia"/>
                <w:color w:val="000000" w:themeColor="text1"/>
                <w14:textFill>
                  <w14:solidFill>
                    <w14:schemeClr w14:val="tx1"/>
                  </w14:solidFill>
                </w14:textFill>
              </w:rPr>
              <w:t>E</w:t>
            </w:r>
          </w:p>
        </w:tc>
        <w:tc>
          <w:tcPr>
            <w:tcW w:w="706" w:type="dxa"/>
            <w:shd w:val="clear" w:color="auto" w:fill="auto"/>
            <w:vAlign w:val="center"/>
          </w:tcPr>
          <w:p w14:paraId="7285BE5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p>
        </w:tc>
      </w:tr>
      <w:tr w14:paraId="6D37FD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32B52992">
            <w:pPr>
              <w:pStyle w:val="105"/>
              <w:rPr>
                <w:color w:val="000000" w:themeColor="text1"/>
                <w14:textFill>
                  <w14:solidFill>
                    <w14:schemeClr w14:val="tx1"/>
                  </w14:solidFill>
                </w14:textFill>
              </w:rPr>
            </w:pPr>
          </w:p>
        </w:tc>
        <w:tc>
          <w:tcPr>
            <w:tcW w:w="851" w:type="dxa"/>
            <w:vMerge w:val="continue"/>
            <w:shd w:val="clear" w:color="auto" w:fill="auto"/>
            <w:vAlign w:val="center"/>
          </w:tcPr>
          <w:p w14:paraId="07BDC92F">
            <w:pPr>
              <w:pStyle w:val="105"/>
              <w:rPr>
                <w:color w:val="000000" w:themeColor="text1"/>
                <w14:textFill>
                  <w14:solidFill>
                    <w14:schemeClr w14:val="tx1"/>
                  </w14:solidFill>
                </w14:textFill>
              </w:rPr>
            </w:pPr>
          </w:p>
        </w:tc>
        <w:tc>
          <w:tcPr>
            <w:tcW w:w="850" w:type="dxa"/>
            <w:vMerge w:val="continue"/>
            <w:shd w:val="clear" w:color="auto" w:fill="auto"/>
            <w:vAlign w:val="center"/>
          </w:tcPr>
          <w:p w14:paraId="33EAC5CB">
            <w:pPr>
              <w:pStyle w:val="105"/>
              <w:rPr>
                <w:color w:val="000000" w:themeColor="text1"/>
                <w14:textFill>
                  <w14:solidFill>
                    <w14:schemeClr w14:val="tx1"/>
                  </w14:solidFill>
                </w14:textFill>
              </w:rPr>
            </w:pPr>
          </w:p>
        </w:tc>
        <w:tc>
          <w:tcPr>
            <w:tcW w:w="1560" w:type="dxa"/>
            <w:shd w:val="clear" w:color="auto" w:fill="auto"/>
            <w:vAlign w:val="center"/>
          </w:tcPr>
          <w:p w14:paraId="2C110893">
            <w:pPr>
              <w:pStyle w:val="105"/>
              <w:rPr>
                <w:color w:val="000000" w:themeColor="text1"/>
                <w14:textFill>
                  <w14:solidFill>
                    <w14:schemeClr w14:val="tx1"/>
                  </w14:solidFill>
                </w14:textFill>
              </w:rPr>
            </w:pPr>
            <w:r>
              <w:rPr>
                <w:color w:val="000000" w:themeColor="text1"/>
                <w14:textFill>
                  <w14:solidFill>
                    <w14:schemeClr w14:val="tx1"/>
                  </w14:solidFill>
                </w14:textFill>
              </w:rPr>
              <w:t>联华村</w:t>
            </w:r>
            <w:r>
              <w:rPr>
                <w:rFonts w:hint="eastAsia"/>
                <w:color w:val="000000" w:themeColor="text1"/>
                <w14:textFill>
                  <w14:solidFill>
                    <w14:schemeClr w14:val="tx1"/>
                  </w14:solidFill>
                </w14:textFill>
              </w:rPr>
              <w:t>朱里</w:t>
            </w:r>
          </w:p>
        </w:tc>
        <w:tc>
          <w:tcPr>
            <w:tcW w:w="1275" w:type="dxa"/>
            <w:shd w:val="clear" w:color="auto" w:fill="auto"/>
            <w:vAlign w:val="center"/>
          </w:tcPr>
          <w:p w14:paraId="3DBDE09B">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119°15′57.11534″ </w:t>
            </w:r>
          </w:p>
        </w:tc>
        <w:tc>
          <w:tcPr>
            <w:tcW w:w="993" w:type="dxa"/>
            <w:shd w:val="clear" w:color="auto" w:fill="auto"/>
            <w:vAlign w:val="center"/>
          </w:tcPr>
          <w:p w14:paraId="6D2378C1">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25°37′50.71630″</w:t>
            </w:r>
          </w:p>
        </w:tc>
        <w:tc>
          <w:tcPr>
            <w:tcW w:w="850" w:type="dxa"/>
            <w:shd w:val="clear" w:color="auto" w:fill="auto"/>
          </w:tcPr>
          <w:p w14:paraId="71402776">
            <w:pPr>
              <w:pStyle w:val="105"/>
              <w:rPr>
                <w:color w:val="000000" w:themeColor="text1"/>
                <w14:textFill>
                  <w14:solidFill>
                    <w14:schemeClr w14:val="tx1"/>
                  </w14:solidFill>
                </w14:textFill>
              </w:rPr>
            </w:pPr>
            <w:r>
              <w:rPr>
                <w:color w:val="000000" w:themeColor="text1"/>
                <w14:textFill>
                  <w14:solidFill>
                    <w14:schemeClr w14:val="tx1"/>
                  </w14:solidFill>
                </w14:textFill>
              </w:rPr>
              <w:t>村庄</w:t>
            </w:r>
          </w:p>
        </w:tc>
        <w:tc>
          <w:tcPr>
            <w:tcW w:w="851" w:type="dxa"/>
            <w:shd w:val="clear" w:color="auto" w:fill="auto"/>
            <w:vAlign w:val="center"/>
          </w:tcPr>
          <w:p w14:paraId="2496FE6E">
            <w:pPr>
              <w:pStyle w:val="105"/>
              <w:rPr>
                <w:color w:val="000000" w:themeColor="text1"/>
                <w14:textFill>
                  <w14:solidFill>
                    <w14:schemeClr w14:val="tx1"/>
                  </w14:solidFill>
                </w14:textFill>
              </w:rPr>
            </w:pPr>
            <w:r>
              <w:rPr>
                <w:color w:val="000000" w:themeColor="text1"/>
                <w14:textFill>
                  <w14:solidFill>
                    <w14:schemeClr w14:val="tx1"/>
                  </w14:solidFill>
                </w14:textFill>
              </w:rPr>
              <w:t>14户70人</w:t>
            </w:r>
          </w:p>
        </w:tc>
        <w:tc>
          <w:tcPr>
            <w:tcW w:w="567" w:type="dxa"/>
            <w:shd w:val="clear" w:color="auto" w:fill="auto"/>
            <w:vAlign w:val="center"/>
          </w:tcPr>
          <w:p w14:paraId="3DE889B6">
            <w:pPr>
              <w:pStyle w:val="105"/>
              <w:rPr>
                <w:color w:val="000000" w:themeColor="text1"/>
                <w14:textFill>
                  <w14:solidFill>
                    <w14:schemeClr w14:val="tx1"/>
                  </w14:solidFill>
                </w14:textFill>
              </w:rPr>
            </w:pPr>
            <w:r>
              <w:rPr>
                <w:color w:val="000000" w:themeColor="text1"/>
                <w14:textFill>
                  <w14:solidFill>
                    <w14:schemeClr w14:val="tx1"/>
                  </w14:solidFill>
                </w14:textFill>
              </w:rPr>
              <w:t>N</w:t>
            </w:r>
            <w:r>
              <w:rPr>
                <w:rFonts w:hint="eastAsia"/>
                <w:color w:val="000000" w:themeColor="text1"/>
                <w14:textFill>
                  <w14:solidFill>
                    <w14:schemeClr w14:val="tx1"/>
                  </w14:solidFill>
                </w14:textFill>
              </w:rPr>
              <w:t>E</w:t>
            </w:r>
          </w:p>
        </w:tc>
        <w:tc>
          <w:tcPr>
            <w:tcW w:w="706" w:type="dxa"/>
            <w:shd w:val="clear" w:color="auto" w:fill="auto"/>
            <w:vAlign w:val="center"/>
          </w:tcPr>
          <w:p w14:paraId="68D4E8E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6</w:t>
            </w:r>
          </w:p>
        </w:tc>
      </w:tr>
      <w:tr w14:paraId="42846F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vMerge w:val="continue"/>
            <w:shd w:val="clear" w:color="auto" w:fill="auto"/>
            <w:vAlign w:val="center"/>
          </w:tcPr>
          <w:p w14:paraId="015B10E3">
            <w:pPr>
              <w:pStyle w:val="105"/>
              <w:rPr>
                <w:color w:val="000000" w:themeColor="text1"/>
                <w14:textFill>
                  <w14:solidFill>
                    <w14:schemeClr w14:val="tx1"/>
                  </w14:solidFill>
                </w14:textFill>
              </w:rPr>
            </w:pPr>
          </w:p>
        </w:tc>
        <w:tc>
          <w:tcPr>
            <w:tcW w:w="851" w:type="dxa"/>
            <w:vMerge w:val="continue"/>
            <w:shd w:val="clear" w:color="auto" w:fill="auto"/>
            <w:vAlign w:val="center"/>
          </w:tcPr>
          <w:p w14:paraId="761D869F">
            <w:pPr>
              <w:pStyle w:val="105"/>
              <w:rPr>
                <w:color w:val="000000" w:themeColor="text1"/>
                <w14:textFill>
                  <w14:solidFill>
                    <w14:schemeClr w14:val="tx1"/>
                  </w14:solidFill>
                </w14:textFill>
              </w:rPr>
            </w:pPr>
          </w:p>
        </w:tc>
        <w:tc>
          <w:tcPr>
            <w:tcW w:w="850" w:type="dxa"/>
            <w:vMerge w:val="continue"/>
            <w:shd w:val="clear" w:color="auto" w:fill="auto"/>
            <w:vAlign w:val="center"/>
          </w:tcPr>
          <w:p w14:paraId="5B5B596B">
            <w:pPr>
              <w:pStyle w:val="105"/>
              <w:rPr>
                <w:color w:val="000000" w:themeColor="text1"/>
                <w14:textFill>
                  <w14:solidFill>
                    <w14:schemeClr w14:val="tx1"/>
                  </w14:solidFill>
                </w14:textFill>
              </w:rPr>
            </w:pPr>
          </w:p>
        </w:tc>
        <w:tc>
          <w:tcPr>
            <w:tcW w:w="1560" w:type="dxa"/>
            <w:shd w:val="clear" w:color="auto" w:fill="auto"/>
            <w:vAlign w:val="center"/>
          </w:tcPr>
          <w:p w14:paraId="0A278B03">
            <w:pPr>
              <w:pStyle w:val="105"/>
              <w:rPr>
                <w:color w:val="000000" w:themeColor="text1"/>
                <w14:textFill>
                  <w14:solidFill>
                    <w14:schemeClr w14:val="tx1"/>
                  </w14:solidFill>
                </w14:textFill>
              </w:rPr>
            </w:pPr>
            <w:r>
              <w:rPr>
                <w:color w:val="000000" w:themeColor="text1"/>
                <w14:textFill>
                  <w14:solidFill>
                    <w14:schemeClr w14:val="tx1"/>
                  </w14:solidFill>
                </w14:textFill>
              </w:rPr>
              <w:t>联华村</w:t>
            </w:r>
            <w:r>
              <w:rPr>
                <w:rFonts w:hint="eastAsia"/>
                <w:color w:val="000000" w:themeColor="text1"/>
                <w14:textFill>
                  <w14:solidFill>
                    <w14:schemeClr w14:val="tx1"/>
                  </w14:solidFill>
                </w14:textFill>
              </w:rPr>
              <w:t>木厝洋</w:t>
            </w:r>
          </w:p>
        </w:tc>
        <w:tc>
          <w:tcPr>
            <w:tcW w:w="1275" w:type="dxa"/>
            <w:shd w:val="clear" w:color="auto" w:fill="auto"/>
            <w:vAlign w:val="center"/>
          </w:tcPr>
          <w:p w14:paraId="37B89BA0">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119°15′50.48169″ </w:t>
            </w:r>
          </w:p>
        </w:tc>
        <w:tc>
          <w:tcPr>
            <w:tcW w:w="993" w:type="dxa"/>
            <w:shd w:val="clear" w:color="auto" w:fill="auto"/>
            <w:vAlign w:val="center"/>
          </w:tcPr>
          <w:p w14:paraId="1BB70ADF">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25°37′47.33672″</w:t>
            </w:r>
          </w:p>
        </w:tc>
        <w:tc>
          <w:tcPr>
            <w:tcW w:w="850" w:type="dxa"/>
            <w:shd w:val="clear" w:color="auto" w:fill="auto"/>
          </w:tcPr>
          <w:p w14:paraId="51CABA74">
            <w:pPr>
              <w:pStyle w:val="105"/>
              <w:rPr>
                <w:color w:val="000000" w:themeColor="text1"/>
                <w14:textFill>
                  <w14:solidFill>
                    <w14:schemeClr w14:val="tx1"/>
                  </w14:solidFill>
                </w14:textFill>
              </w:rPr>
            </w:pPr>
            <w:r>
              <w:rPr>
                <w:color w:val="000000" w:themeColor="text1"/>
                <w14:textFill>
                  <w14:solidFill>
                    <w14:schemeClr w14:val="tx1"/>
                  </w14:solidFill>
                </w14:textFill>
              </w:rPr>
              <w:t>村庄</w:t>
            </w:r>
          </w:p>
        </w:tc>
        <w:tc>
          <w:tcPr>
            <w:tcW w:w="851" w:type="dxa"/>
            <w:shd w:val="clear" w:color="auto" w:fill="auto"/>
            <w:vAlign w:val="center"/>
          </w:tcPr>
          <w:p w14:paraId="44A3B4F0">
            <w:pPr>
              <w:pStyle w:val="105"/>
              <w:rPr>
                <w:color w:val="000000" w:themeColor="text1"/>
                <w14:textFill>
                  <w14:solidFill>
                    <w14:schemeClr w14:val="tx1"/>
                  </w14:solidFill>
                </w14:textFill>
              </w:rPr>
            </w:pPr>
            <w:r>
              <w:rPr>
                <w:color w:val="000000" w:themeColor="text1"/>
                <w14:textFill>
                  <w14:solidFill>
                    <w14:schemeClr w14:val="tx1"/>
                  </w14:solidFill>
                </w14:textFill>
              </w:rPr>
              <w:t>38户190人</w:t>
            </w:r>
          </w:p>
        </w:tc>
        <w:tc>
          <w:tcPr>
            <w:tcW w:w="567" w:type="dxa"/>
            <w:shd w:val="clear" w:color="auto" w:fill="auto"/>
            <w:vAlign w:val="center"/>
          </w:tcPr>
          <w:p w14:paraId="64F4376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W</w:t>
            </w:r>
          </w:p>
        </w:tc>
        <w:tc>
          <w:tcPr>
            <w:tcW w:w="706" w:type="dxa"/>
            <w:shd w:val="clear" w:color="auto" w:fill="auto"/>
            <w:vAlign w:val="center"/>
          </w:tcPr>
          <w:p w14:paraId="0B61FAF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4</w:t>
            </w:r>
          </w:p>
        </w:tc>
      </w:tr>
      <w:tr w14:paraId="3AD530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7" w:type="dxa"/>
            <w:shd w:val="clear" w:color="auto" w:fill="auto"/>
            <w:vAlign w:val="center"/>
          </w:tcPr>
          <w:p w14:paraId="21A10EDD">
            <w:pPr>
              <w:pStyle w:val="105"/>
              <w:rPr>
                <w:color w:val="000000" w:themeColor="text1"/>
                <w14:textFill>
                  <w14:solidFill>
                    <w14:schemeClr w14:val="tx1"/>
                  </w14:solidFill>
                </w14:textFill>
              </w:rPr>
            </w:pPr>
            <w:r>
              <w:rPr>
                <w:color w:val="000000" w:themeColor="text1"/>
                <w14:textFill>
                  <w14:solidFill>
                    <w14:schemeClr w14:val="tx1"/>
                  </w14:solidFill>
                </w14:textFill>
              </w:rPr>
              <w:t>5</w:t>
            </w:r>
          </w:p>
        </w:tc>
        <w:tc>
          <w:tcPr>
            <w:tcW w:w="851" w:type="dxa"/>
            <w:shd w:val="clear" w:color="auto" w:fill="auto"/>
            <w:vAlign w:val="center"/>
          </w:tcPr>
          <w:p w14:paraId="46F6EEC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表土堆场</w:t>
            </w:r>
          </w:p>
        </w:tc>
        <w:tc>
          <w:tcPr>
            <w:tcW w:w="850" w:type="dxa"/>
            <w:shd w:val="clear" w:color="auto" w:fill="auto"/>
            <w:vAlign w:val="center"/>
          </w:tcPr>
          <w:p w14:paraId="06E31AC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终点东侧</w:t>
            </w:r>
          </w:p>
        </w:tc>
        <w:tc>
          <w:tcPr>
            <w:tcW w:w="1560" w:type="dxa"/>
            <w:shd w:val="clear" w:color="auto" w:fill="auto"/>
            <w:vAlign w:val="center"/>
          </w:tcPr>
          <w:p w14:paraId="0E2C9F5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联华村三落厝</w:t>
            </w:r>
          </w:p>
        </w:tc>
        <w:tc>
          <w:tcPr>
            <w:tcW w:w="1275" w:type="dxa"/>
            <w:shd w:val="clear" w:color="auto" w:fill="auto"/>
          </w:tcPr>
          <w:p w14:paraId="2035E9BE">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119°15′23.35812″ </w:t>
            </w:r>
          </w:p>
        </w:tc>
        <w:tc>
          <w:tcPr>
            <w:tcW w:w="993" w:type="dxa"/>
            <w:shd w:val="clear" w:color="auto" w:fill="auto"/>
          </w:tcPr>
          <w:p w14:paraId="513AB8F2">
            <w:pPr>
              <w:pStyle w:val="105"/>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25°38′19.73244″</w:t>
            </w:r>
          </w:p>
        </w:tc>
        <w:tc>
          <w:tcPr>
            <w:tcW w:w="850" w:type="dxa"/>
            <w:shd w:val="clear" w:color="auto" w:fill="auto"/>
            <w:vAlign w:val="center"/>
          </w:tcPr>
          <w:p w14:paraId="2048BE5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村庄</w:t>
            </w:r>
          </w:p>
        </w:tc>
        <w:tc>
          <w:tcPr>
            <w:tcW w:w="851" w:type="dxa"/>
            <w:shd w:val="clear" w:color="auto" w:fill="auto"/>
            <w:vAlign w:val="center"/>
          </w:tcPr>
          <w:p w14:paraId="2535DDE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户</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0人</w:t>
            </w:r>
          </w:p>
        </w:tc>
        <w:tc>
          <w:tcPr>
            <w:tcW w:w="567" w:type="dxa"/>
            <w:shd w:val="clear" w:color="auto" w:fill="auto"/>
            <w:vAlign w:val="center"/>
          </w:tcPr>
          <w:p w14:paraId="4415015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color w:val="000000" w:themeColor="text1"/>
                <w14:textFill>
                  <w14:solidFill>
                    <w14:schemeClr w14:val="tx1"/>
                  </w14:solidFill>
                </w14:textFill>
              </w:rPr>
              <w:t>E</w:t>
            </w:r>
          </w:p>
        </w:tc>
        <w:tc>
          <w:tcPr>
            <w:tcW w:w="706" w:type="dxa"/>
            <w:shd w:val="clear" w:color="auto" w:fill="auto"/>
            <w:vAlign w:val="center"/>
          </w:tcPr>
          <w:p w14:paraId="0BA9FB69">
            <w:pPr>
              <w:pStyle w:val="105"/>
              <w:rPr>
                <w:color w:val="000000" w:themeColor="text1"/>
                <w14:textFill>
                  <w14:solidFill>
                    <w14:schemeClr w14:val="tx1"/>
                  </w14:solidFill>
                </w14:textFill>
              </w:rPr>
            </w:pPr>
            <w:r>
              <w:rPr>
                <w:color w:val="000000" w:themeColor="text1"/>
                <w14:textFill>
                  <w14:solidFill>
                    <w14:schemeClr w14:val="tx1"/>
                  </w14:solidFill>
                </w14:textFill>
              </w:rPr>
              <w:t>75</w:t>
            </w:r>
          </w:p>
        </w:tc>
      </w:tr>
    </w:tbl>
    <w:p w14:paraId="7DE4C922">
      <w:pPr>
        <w:pStyle w:val="105"/>
        <w:ind w:left="480" w:firstLine="480"/>
        <w:rPr>
          <w:color w:val="000000" w:themeColor="text1"/>
          <w14:textFill>
            <w14:solidFill>
              <w14:schemeClr w14:val="tx1"/>
            </w14:solidFill>
          </w14:textFill>
        </w:rPr>
      </w:pPr>
    </w:p>
    <w:bookmarkEnd w:id="185"/>
    <w:p w14:paraId="688F4BEC">
      <w:pPr>
        <w:pStyle w:val="120"/>
        <w:rPr>
          <w:color w:val="000000" w:themeColor="text1"/>
          <w14:textFill>
            <w14:solidFill>
              <w14:schemeClr w14:val="tx1"/>
            </w14:solidFill>
          </w14:textFill>
        </w:rPr>
      </w:pPr>
      <w:r>
        <w:rPr>
          <w:color w:val="000000" w:themeColor="text1"/>
          <w14:textFill>
            <w14:solidFill>
              <w14:schemeClr w14:val="tx1"/>
            </w14:solidFill>
          </w14:textFill>
        </w:rPr>
        <w:tab/>
      </w:r>
      <w:bookmarkStart w:id="186" w:name="_Hlk144829511"/>
      <w:r>
        <w:rPr>
          <w:rFonts w:hint="eastAsia"/>
          <w:color w:val="000000" w:themeColor="text1"/>
          <w14:textFill>
            <w14:solidFill>
              <w14:schemeClr w14:val="tx1"/>
            </w14:solidFill>
          </w14:textFill>
        </w:rPr>
        <w:t>地表水</w:t>
      </w:r>
      <w:bookmarkStart w:id="187" w:name="_Hlk89350261"/>
      <w:r>
        <w:rPr>
          <w:rFonts w:hint="eastAsia"/>
          <w:color w:val="000000" w:themeColor="text1"/>
          <w14:textFill>
            <w14:solidFill>
              <w14:schemeClr w14:val="tx1"/>
            </w14:solidFill>
          </w14:textFill>
        </w:rPr>
        <w:t>环境敏感目标</w:t>
      </w:r>
      <w:bookmarkEnd w:id="187"/>
    </w:p>
    <w:p w14:paraId="5730E8EA">
      <w:pPr>
        <w:ind w:firstLine="480"/>
        <w:rPr>
          <w:color w:val="000000" w:themeColor="text1"/>
          <w:szCs w:val="24"/>
          <w14:textFill>
            <w14:solidFill>
              <w14:schemeClr w14:val="tx1"/>
            </w14:solidFill>
          </w14:textFill>
        </w:rPr>
      </w:pPr>
      <w:r>
        <w:rPr>
          <w:rFonts w:hint="eastAsia"/>
          <w:color w:val="000000" w:themeColor="text1"/>
          <w14:textFill>
            <w14:solidFill>
              <w14:schemeClr w14:val="tx1"/>
            </w14:solidFill>
          </w14:textFill>
        </w:rPr>
        <w:t>本项目周边水环境保护目标为迳江，对照《福 建 省 水（ 环 境 ）功 能区划》，迳江和福渠水质执行《地表水环境质量标准》（GB3838-2002）Ⅲ类标准。</w:t>
      </w:r>
      <w:bookmarkStart w:id="188" w:name="_Hlk89350274"/>
      <w:r>
        <w:rPr>
          <w:rFonts w:hint="eastAsia"/>
          <w:color w:val="000000" w:themeColor="text1"/>
          <w:szCs w:val="24"/>
          <w14:textFill>
            <w14:solidFill>
              <w14:schemeClr w14:val="tx1"/>
            </w14:solidFill>
          </w14:textFill>
        </w:rPr>
        <w:t>项目沿线地表水体</w:t>
      </w:r>
      <w:bookmarkEnd w:id="188"/>
      <w:r>
        <w:rPr>
          <w:rFonts w:hint="eastAsia"/>
          <w:color w:val="000000" w:themeColor="text1"/>
          <w:szCs w:val="24"/>
          <w14:textFill>
            <w14:solidFill>
              <w14:schemeClr w14:val="tx1"/>
            </w14:solidFill>
          </w14:textFill>
        </w:rPr>
        <w:t>详见</w:t>
      </w:r>
      <w:r>
        <w:rPr>
          <w:color w:val="000000" w:themeColor="text1"/>
          <w:szCs w:val="24"/>
          <w14:textFill>
            <w14:solidFill>
              <w14:schemeClr w14:val="tx1"/>
            </w14:solidFill>
          </w14:textFill>
        </w:rPr>
        <w:fldChar w:fldCharType="begin"/>
      </w:r>
      <w:r>
        <w:rPr>
          <w:color w:val="000000" w:themeColor="text1"/>
          <w:szCs w:val="24"/>
          <w14:textFill>
            <w14:solidFill>
              <w14:schemeClr w14:val="tx1"/>
            </w14:solidFill>
          </w14:textFill>
        </w:rPr>
        <w:instrText xml:space="preserve"> </w:instrText>
      </w:r>
      <w:r>
        <w:rPr>
          <w:rFonts w:hint="eastAsia"/>
          <w:color w:val="000000" w:themeColor="text1"/>
          <w:szCs w:val="24"/>
          <w14:textFill>
            <w14:solidFill>
              <w14:schemeClr w14:val="tx1"/>
            </w14:solidFill>
          </w14:textFill>
        </w:rPr>
        <w:instrText xml:space="preserve">REF _Ref177714250 \r \h</w:instrText>
      </w:r>
      <w:r>
        <w:rPr>
          <w:color w:val="000000" w:themeColor="text1"/>
          <w:szCs w:val="24"/>
          <w14:textFill>
            <w14:solidFill>
              <w14:schemeClr w14:val="tx1"/>
            </w14:solidFill>
          </w14:textFill>
        </w:rPr>
        <w:instrText xml:space="preserve">  \* MERGEFORMAT </w:instrText>
      </w:r>
      <w:r>
        <w:rPr>
          <w:color w:val="000000" w:themeColor="text1"/>
          <w:szCs w:val="24"/>
          <w14:textFill>
            <w14:solidFill>
              <w14:schemeClr w14:val="tx1"/>
            </w14:solidFill>
          </w14:textFill>
        </w:rPr>
        <w:fldChar w:fldCharType="separate"/>
      </w:r>
      <w:r>
        <w:rPr>
          <w:rFonts w:hint="eastAsia"/>
          <w:color w:val="000000" w:themeColor="text1"/>
          <w:szCs w:val="24"/>
          <w14:textFill>
            <w14:solidFill>
              <w14:schemeClr w14:val="tx1"/>
            </w14:solidFill>
          </w14:textFill>
        </w:rPr>
        <w:t>表2.7-3</w:t>
      </w:r>
      <w:r>
        <w:rPr>
          <w:color w:val="000000" w:themeColor="text1"/>
          <w:szCs w:val="24"/>
          <w14:textFill>
            <w14:solidFill>
              <w14:schemeClr w14:val="tx1"/>
            </w14:solidFill>
          </w14:textFill>
        </w:rPr>
        <w:fldChar w:fldCharType="end"/>
      </w:r>
      <w:r>
        <w:rPr>
          <w:rFonts w:hint="eastAsia"/>
          <w:color w:val="000000" w:themeColor="text1"/>
          <w:szCs w:val="24"/>
          <w14:textFill>
            <w14:solidFill>
              <w14:schemeClr w14:val="tx1"/>
            </w14:solidFill>
          </w14:textFill>
        </w:rPr>
        <w:t>。</w:t>
      </w:r>
    </w:p>
    <w:p w14:paraId="78EF599E">
      <w:pPr>
        <w:ind w:firstLine="480"/>
        <w:rPr>
          <w:color w:val="000000" w:themeColor="text1"/>
          <w:szCs w:val="24"/>
          <w14:textFill>
            <w14:solidFill>
              <w14:schemeClr w14:val="tx1"/>
            </w14:solidFill>
          </w14:textFill>
        </w:rPr>
      </w:pPr>
    </w:p>
    <w:p w14:paraId="4025E6A2">
      <w:pPr>
        <w:ind w:firstLine="480"/>
        <w:rPr>
          <w:color w:val="000000" w:themeColor="text1"/>
          <w:szCs w:val="24"/>
          <w14:textFill>
            <w14:solidFill>
              <w14:schemeClr w14:val="tx1"/>
            </w14:solidFill>
          </w14:textFill>
        </w:rPr>
      </w:pPr>
    </w:p>
    <w:p w14:paraId="66BC1981">
      <w:pPr>
        <w:ind w:firstLine="480"/>
        <w:rPr>
          <w:color w:val="000000" w:themeColor="text1"/>
          <w:szCs w:val="24"/>
          <w14:textFill>
            <w14:solidFill>
              <w14:schemeClr w14:val="tx1"/>
            </w14:solidFill>
          </w14:textFill>
        </w:rPr>
      </w:pPr>
    </w:p>
    <w:p w14:paraId="4B926D75">
      <w:pPr>
        <w:ind w:firstLine="480"/>
        <w:rPr>
          <w:color w:val="000000" w:themeColor="text1"/>
          <w:szCs w:val="24"/>
          <w14:textFill>
            <w14:solidFill>
              <w14:schemeClr w14:val="tx1"/>
            </w14:solidFill>
          </w14:textFill>
        </w:rPr>
      </w:pPr>
    </w:p>
    <w:p w14:paraId="0353DF82">
      <w:pPr>
        <w:ind w:firstLine="480"/>
        <w:rPr>
          <w:color w:val="000000" w:themeColor="text1"/>
          <w:szCs w:val="24"/>
          <w14:textFill>
            <w14:solidFill>
              <w14:schemeClr w14:val="tx1"/>
            </w14:solidFill>
          </w14:textFill>
        </w:rPr>
      </w:pPr>
    </w:p>
    <w:p w14:paraId="3C9D0679">
      <w:pPr>
        <w:pStyle w:val="87"/>
        <w:spacing w:before="120"/>
        <w:rPr>
          <w:color w:val="000000" w:themeColor="text1"/>
          <w:lang w:bidi="he-IL"/>
          <w14:textFill>
            <w14:solidFill>
              <w14:schemeClr w14:val="tx1"/>
            </w14:solidFill>
          </w14:textFill>
        </w:rPr>
      </w:pPr>
      <w:bookmarkStart w:id="189" w:name="_Ref177714250"/>
      <w:r>
        <w:rPr>
          <w:color w:val="000000" w:themeColor="text1"/>
          <w:lang w:bidi="he-IL"/>
          <w14:textFill>
            <w14:solidFill>
              <w14:schemeClr w14:val="tx1"/>
            </w14:solidFill>
          </w14:textFill>
        </w:rPr>
        <w:t>水环境保护目标</w:t>
      </w:r>
      <w:bookmarkEnd w:id="189"/>
    </w:p>
    <w:tbl>
      <w:tblPr>
        <w:tblStyle w:val="5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993"/>
        <w:gridCol w:w="2267"/>
        <w:gridCol w:w="2977"/>
        <w:gridCol w:w="2829"/>
      </w:tblGrid>
      <w:tr w14:paraId="50C64A0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09" w:hRule="atLeast"/>
        </w:trPr>
        <w:tc>
          <w:tcPr>
            <w:tcW w:w="548" w:type="pct"/>
            <w:tcBorders>
              <w:left w:val="nil"/>
              <w:bottom w:val="single" w:color="000000" w:sz="4" w:space="0"/>
              <w:right w:val="single" w:color="000000" w:sz="4" w:space="0"/>
            </w:tcBorders>
            <w:vAlign w:val="center"/>
          </w:tcPr>
          <w:p w14:paraId="333832F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保护目标</w:t>
            </w:r>
          </w:p>
        </w:tc>
        <w:tc>
          <w:tcPr>
            <w:tcW w:w="1250" w:type="pct"/>
            <w:tcBorders>
              <w:left w:val="single" w:color="000000" w:sz="4" w:space="0"/>
              <w:bottom w:val="single" w:color="000000" w:sz="4" w:space="0"/>
              <w:right w:val="single" w:color="000000" w:sz="4" w:space="0"/>
            </w:tcBorders>
            <w:vAlign w:val="center"/>
          </w:tcPr>
          <w:p w14:paraId="7B847B0B">
            <w:pPr>
              <w:pStyle w:val="105"/>
              <w:jc w:val="center"/>
              <w:rPr>
                <w:color w:val="000000" w:themeColor="text1"/>
                <w14:textFill>
                  <w14:solidFill>
                    <w14:schemeClr w14:val="tx1"/>
                  </w14:solidFill>
                </w14:textFill>
              </w:rPr>
            </w:pPr>
            <w:r>
              <w:rPr>
                <w:color w:val="000000" w:themeColor="text1"/>
                <w:spacing w:val="-8"/>
                <w14:textFill>
                  <w14:solidFill>
                    <w14:schemeClr w14:val="tx1"/>
                  </w14:solidFill>
                </w14:textFill>
              </w:rPr>
              <w:t>位置</w:t>
            </w:r>
          </w:p>
        </w:tc>
        <w:tc>
          <w:tcPr>
            <w:tcW w:w="1642" w:type="pct"/>
            <w:tcBorders>
              <w:left w:val="single" w:color="000000" w:sz="4" w:space="0"/>
              <w:bottom w:val="single" w:color="000000" w:sz="4" w:space="0"/>
              <w:right w:val="single" w:color="000000" w:sz="4" w:space="0"/>
            </w:tcBorders>
            <w:vAlign w:val="center"/>
          </w:tcPr>
          <w:p w14:paraId="2933752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环境特征</w:t>
            </w:r>
          </w:p>
        </w:tc>
        <w:tc>
          <w:tcPr>
            <w:tcW w:w="1560" w:type="pct"/>
            <w:tcBorders>
              <w:left w:val="single" w:color="000000" w:sz="4" w:space="0"/>
              <w:bottom w:val="single" w:color="000000" w:sz="4" w:space="0"/>
              <w:right w:val="nil"/>
            </w:tcBorders>
            <w:vAlign w:val="center"/>
          </w:tcPr>
          <w:p w14:paraId="7883E7E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影响因素</w:t>
            </w:r>
          </w:p>
        </w:tc>
      </w:tr>
      <w:tr w14:paraId="5E27B5E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6" w:hRule="atLeast"/>
        </w:trPr>
        <w:tc>
          <w:tcPr>
            <w:tcW w:w="548" w:type="pct"/>
            <w:tcBorders>
              <w:top w:val="single" w:color="000000" w:sz="4" w:space="0"/>
              <w:left w:val="nil"/>
              <w:bottom w:val="single" w:color="000000" w:sz="4" w:space="0"/>
              <w:right w:val="single" w:color="000000" w:sz="4" w:space="0"/>
            </w:tcBorders>
            <w:vAlign w:val="center"/>
          </w:tcPr>
          <w:p w14:paraId="343808A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迳江</w:t>
            </w:r>
          </w:p>
        </w:tc>
        <w:tc>
          <w:tcPr>
            <w:tcW w:w="1250" w:type="pct"/>
            <w:tcBorders>
              <w:top w:val="single" w:color="000000" w:sz="4" w:space="0"/>
              <w:left w:val="single" w:color="000000" w:sz="4" w:space="0"/>
              <w:bottom w:val="single" w:color="000000" w:sz="4" w:space="0"/>
              <w:right w:val="single" w:color="000000" w:sz="4" w:space="0"/>
            </w:tcBorders>
            <w:vAlign w:val="center"/>
          </w:tcPr>
          <w:p w14:paraId="3292BA9D">
            <w:pPr>
              <w:pStyle w:val="105"/>
              <w:jc w:val="center"/>
              <w:rPr>
                <w:color w:val="000000" w:themeColor="text1"/>
                <w14:textFill>
                  <w14:solidFill>
                    <w14:schemeClr w14:val="tx1"/>
                  </w14:solidFill>
                </w14:textFill>
              </w:rPr>
            </w:pPr>
            <w:r>
              <w:rPr>
                <w:rFonts w:hint="eastAsia"/>
                <w:color w:val="000000" w:themeColor="text1"/>
                <w:spacing w:val="8"/>
                <w14:textFill>
                  <w14:solidFill>
                    <w14:schemeClr w14:val="tx1"/>
                  </w14:solidFill>
                </w14:textFill>
              </w:rPr>
              <w:t>工程共有涉河段7 处，其中终点枝钟中桥、大埔大桥等跨越</w:t>
            </w:r>
            <w:r>
              <w:rPr>
                <w:color w:val="000000" w:themeColor="text1"/>
                <w14:textFill>
                  <w14:solidFill>
                    <w14:schemeClr w14:val="tx1"/>
                  </w14:solidFill>
                </w14:textFill>
              </w:rPr>
              <w:t>。</w:t>
            </w:r>
          </w:p>
        </w:tc>
        <w:tc>
          <w:tcPr>
            <w:tcW w:w="1642" w:type="pct"/>
            <w:tcBorders>
              <w:top w:val="single" w:color="000000" w:sz="4" w:space="0"/>
              <w:left w:val="single" w:color="000000" w:sz="4" w:space="0"/>
              <w:bottom w:val="single" w:color="000000" w:sz="4" w:space="0"/>
              <w:right w:val="single" w:color="000000" w:sz="4" w:space="0"/>
            </w:tcBorders>
            <w:vAlign w:val="center"/>
          </w:tcPr>
          <w:p w14:paraId="69554B32">
            <w:pPr>
              <w:pStyle w:val="105"/>
              <w:jc w:val="center"/>
              <w:rPr>
                <w:color w:val="000000" w:themeColor="text1"/>
                <w14:textFill>
                  <w14:solidFill>
                    <w14:schemeClr w14:val="tx1"/>
                  </w14:solidFill>
                </w14:textFill>
              </w:rPr>
            </w:pPr>
            <w:r>
              <w:rPr>
                <w:color w:val="000000" w:themeColor="text1"/>
                <w:spacing w:val="-6"/>
                <w14:textFill>
                  <w14:solidFill>
                    <w14:schemeClr w14:val="tx1"/>
                  </w14:solidFill>
                </w14:textFill>
              </w:rPr>
              <w:t>项目沿线主要水体，其水体</w:t>
            </w:r>
            <w:r>
              <w:rPr>
                <w:color w:val="000000" w:themeColor="text1"/>
                <w14:textFill>
                  <w14:solidFill>
                    <w14:schemeClr w14:val="tx1"/>
                  </w14:solidFill>
                </w14:textFill>
              </w:rPr>
              <w:t>主导功能为农业</w:t>
            </w:r>
            <w:r>
              <w:rPr>
                <w:color w:val="000000" w:themeColor="text1"/>
                <w:spacing w:val="-5"/>
                <w14:textFill>
                  <w14:solidFill>
                    <w14:schemeClr w14:val="tx1"/>
                  </w14:solidFill>
                </w14:textFill>
              </w:rPr>
              <w:t>用水。</w:t>
            </w:r>
          </w:p>
        </w:tc>
        <w:tc>
          <w:tcPr>
            <w:tcW w:w="1560" w:type="pct"/>
            <w:tcBorders>
              <w:top w:val="single" w:color="000000" w:sz="4" w:space="0"/>
              <w:left w:val="single" w:color="000000" w:sz="4" w:space="0"/>
              <w:bottom w:val="single" w:color="000000" w:sz="4" w:space="0"/>
              <w:right w:val="nil"/>
            </w:tcBorders>
            <w:vAlign w:val="center"/>
          </w:tcPr>
          <w:p w14:paraId="33122BC2">
            <w:pPr>
              <w:pStyle w:val="105"/>
              <w:jc w:val="center"/>
              <w:rPr>
                <w:color w:val="000000" w:themeColor="text1"/>
                <w14:textFill>
                  <w14:solidFill>
                    <w14:schemeClr w14:val="tx1"/>
                  </w14:solidFill>
                </w14:textFill>
              </w:rPr>
            </w:pPr>
            <w:r>
              <w:rPr>
                <w:color w:val="000000" w:themeColor="text1"/>
                <w:spacing w:val="-2"/>
                <w14:textFill>
                  <w14:solidFill>
                    <w14:schemeClr w14:val="tx1"/>
                  </w14:solidFill>
                </w14:textFill>
              </w:rPr>
              <w:t>公路施工导致水质污染、</w:t>
            </w:r>
            <w:r>
              <w:rPr>
                <w:color w:val="000000" w:themeColor="text1"/>
                <w:spacing w:val="-11"/>
                <w14:textFill>
                  <w14:solidFill>
                    <w14:schemeClr w14:val="tx1"/>
                  </w14:solidFill>
                </w14:textFill>
              </w:rPr>
              <w:t>水土流失，运营期危险化</w:t>
            </w:r>
            <w:r>
              <w:rPr>
                <w:color w:val="000000" w:themeColor="text1"/>
                <w:spacing w:val="-3"/>
                <w14:textFill>
                  <w14:solidFill>
                    <w14:schemeClr w14:val="tx1"/>
                  </w14:solidFill>
                </w14:textFill>
              </w:rPr>
              <w:t>学品运输带来潜在风险。</w:t>
            </w:r>
          </w:p>
        </w:tc>
      </w:tr>
      <w:tr w14:paraId="439449D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21" w:hRule="atLeast"/>
        </w:trPr>
        <w:tc>
          <w:tcPr>
            <w:tcW w:w="548" w:type="pct"/>
            <w:tcBorders>
              <w:top w:val="single" w:color="000000" w:sz="4" w:space="0"/>
              <w:left w:val="nil"/>
              <w:right w:val="single" w:color="000000" w:sz="4" w:space="0"/>
            </w:tcBorders>
            <w:vAlign w:val="center"/>
          </w:tcPr>
          <w:p w14:paraId="44B2307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福渠</w:t>
            </w:r>
          </w:p>
        </w:tc>
        <w:tc>
          <w:tcPr>
            <w:tcW w:w="1250" w:type="pct"/>
            <w:tcBorders>
              <w:top w:val="single" w:color="000000" w:sz="4" w:space="0"/>
              <w:left w:val="single" w:color="000000" w:sz="4" w:space="0"/>
              <w:right w:val="single" w:color="000000" w:sz="4" w:space="0"/>
            </w:tcBorders>
            <w:vAlign w:val="center"/>
          </w:tcPr>
          <w:p w14:paraId="0ED32B1F">
            <w:pPr>
              <w:pStyle w:val="105"/>
              <w:jc w:val="center"/>
              <w:rPr>
                <w:rFonts w:hint="eastAsia" w:eastAsia="宋体"/>
                <w:color w:val="000000" w:themeColor="text1"/>
                <w:spacing w:val="8"/>
                <w:lang w:eastAsia="zh-CN"/>
                <w14:textFill>
                  <w14:solidFill>
                    <w14:schemeClr w14:val="tx1"/>
                  </w14:solidFill>
                </w14:textFill>
              </w:rPr>
            </w:pPr>
            <w:r>
              <w:rPr>
                <w:rFonts w:hint="eastAsia"/>
                <w:color w:val="000000" w:themeColor="text1"/>
                <w:spacing w:val="8"/>
                <w14:textFill>
                  <w14:solidFill>
                    <w14:schemeClr w14:val="tx1"/>
                  </w14:solidFill>
                </w14:textFill>
              </w:rPr>
              <w:t>K</w:t>
            </w:r>
            <w:r>
              <w:rPr>
                <w:color w:val="000000" w:themeColor="text1"/>
                <w:spacing w:val="8"/>
                <w14:textFill>
                  <w14:solidFill>
                    <w14:schemeClr w14:val="tx1"/>
                  </w14:solidFill>
                </w14:textFill>
              </w:rPr>
              <w:t>0+400~</w:t>
            </w:r>
            <w:r>
              <w:rPr>
                <w:rFonts w:hint="eastAsia"/>
                <w:color w:val="000000" w:themeColor="text1"/>
                <w:spacing w:val="8"/>
                <w14:textFill>
                  <w14:solidFill>
                    <w14:schemeClr w14:val="tx1"/>
                  </w14:solidFill>
                </w14:textFill>
              </w:rPr>
              <w:t>K</w:t>
            </w:r>
            <w:r>
              <w:rPr>
                <w:color w:val="000000" w:themeColor="text1"/>
                <w:spacing w:val="8"/>
                <w14:textFill>
                  <w14:solidFill>
                    <w14:schemeClr w14:val="tx1"/>
                  </w14:solidFill>
                </w14:textFill>
              </w:rPr>
              <w:t>0+600</w:t>
            </w:r>
            <w:bookmarkStart w:id="190" w:name="hmcheck_9da9b3f678d544799719e0e976c50cc6"/>
            <w:r>
              <w:rPr>
                <w:rFonts w:hint="eastAsia"/>
                <w:color w:val="000000" w:themeColor="text1"/>
                <w:spacing w:val="8"/>
                <w:shd w:val="clear" w:fill="B2E9BC"/>
                <w:lang w:eastAsia="zh-CN"/>
                <w14:textFill>
                  <w14:solidFill>
                    <w14:schemeClr w14:val="tx1"/>
                  </w14:solidFill>
                </w14:textFill>
              </w:rPr>
              <w:t>左右</w:t>
            </w:r>
            <w:bookmarkEnd w:id="190"/>
          </w:p>
        </w:tc>
        <w:tc>
          <w:tcPr>
            <w:tcW w:w="1642" w:type="pct"/>
            <w:tcBorders>
              <w:top w:val="single" w:color="000000" w:sz="4" w:space="0"/>
              <w:left w:val="single" w:color="000000" w:sz="4" w:space="0"/>
              <w:right w:val="single" w:color="000000" w:sz="4" w:space="0"/>
            </w:tcBorders>
            <w:vAlign w:val="center"/>
          </w:tcPr>
          <w:p w14:paraId="22EDB68D">
            <w:pPr>
              <w:pStyle w:val="105"/>
              <w:jc w:val="center"/>
              <w:rPr>
                <w:color w:val="000000" w:themeColor="text1"/>
                <w:spacing w:val="-6"/>
                <w14:textFill>
                  <w14:solidFill>
                    <w14:schemeClr w14:val="tx1"/>
                  </w14:solidFill>
                </w14:textFill>
              </w:rPr>
            </w:pPr>
            <w:r>
              <w:rPr>
                <w:rFonts w:cs="Times New Roman"/>
                <w:color w:val="000000" w:themeColor="text1"/>
                <w:kern w:val="0"/>
                <w:szCs w:val="24"/>
                <w:lang w:val="zh-CN"/>
                <w14:textFill>
                  <w14:solidFill>
                    <w14:schemeClr w14:val="tx1"/>
                  </w14:solidFill>
                </w14:textFill>
              </w:rPr>
              <w:t>福渠原名高干渠</w:t>
            </w:r>
            <w:r>
              <w:rPr>
                <w:rFonts w:hint="eastAsia" w:cs="Times New Roman"/>
                <w:color w:val="000000" w:themeColor="text1"/>
                <w:kern w:val="0"/>
                <w:szCs w:val="24"/>
                <w:lang w:val="zh-CN"/>
                <w14:textFill>
                  <w14:solidFill>
                    <w14:schemeClr w14:val="tx1"/>
                  </w14:solidFill>
                </w14:textFill>
              </w:rPr>
              <w:t>，渠道灌区依托东张水库，为灌溉渠道</w:t>
            </w:r>
          </w:p>
        </w:tc>
        <w:tc>
          <w:tcPr>
            <w:tcW w:w="1560" w:type="pct"/>
            <w:tcBorders>
              <w:top w:val="single" w:color="000000" w:sz="4" w:space="0"/>
              <w:left w:val="single" w:color="000000" w:sz="4" w:space="0"/>
              <w:right w:val="nil"/>
            </w:tcBorders>
            <w:vAlign w:val="center"/>
          </w:tcPr>
          <w:p w14:paraId="3DCD3E69">
            <w:pPr>
              <w:pStyle w:val="105"/>
              <w:jc w:val="center"/>
              <w:rPr>
                <w:color w:val="000000" w:themeColor="text1"/>
                <w:spacing w:val="-2"/>
                <w14:textFill>
                  <w14:solidFill>
                    <w14:schemeClr w14:val="tx1"/>
                  </w14:solidFill>
                </w14:textFill>
              </w:rPr>
            </w:pPr>
            <w:r>
              <w:rPr>
                <w:color w:val="000000" w:themeColor="text1"/>
                <w:spacing w:val="-2"/>
                <w14:textFill>
                  <w14:solidFill>
                    <w14:schemeClr w14:val="tx1"/>
                  </w14:solidFill>
                </w14:textFill>
              </w:rPr>
              <w:t>公路</w:t>
            </w:r>
            <w:r>
              <w:rPr>
                <w:rFonts w:hint="eastAsia"/>
                <w:color w:val="000000" w:themeColor="text1"/>
                <w:spacing w:val="-2"/>
                <w14:textFill>
                  <w14:solidFill>
                    <w14:schemeClr w14:val="tx1"/>
                  </w14:solidFill>
                </w14:textFill>
              </w:rPr>
              <w:t>建设导致福渠改线约2</w:t>
            </w:r>
            <w:r>
              <w:rPr>
                <w:color w:val="000000" w:themeColor="text1"/>
                <w:spacing w:val="-2"/>
                <w14:textFill>
                  <w14:solidFill>
                    <w14:schemeClr w14:val="tx1"/>
                  </w14:solidFill>
                </w14:textFill>
              </w:rPr>
              <w:t>47</w:t>
            </w:r>
            <w:r>
              <w:rPr>
                <w:rFonts w:hint="eastAsia"/>
                <w:color w:val="000000" w:themeColor="text1"/>
                <w:spacing w:val="-2"/>
                <w14:textFill>
                  <w14:solidFill>
                    <w14:schemeClr w14:val="tx1"/>
                  </w14:solidFill>
                </w14:textFill>
              </w:rPr>
              <w:t>m，福渠改线</w:t>
            </w:r>
            <w:r>
              <w:rPr>
                <w:color w:val="000000" w:themeColor="text1"/>
                <w:spacing w:val="-2"/>
                <w14:textFill>
                  <w14:solidFill>
                    <w14:schemeClr w14:val="tx1"/>
                  </w14:solidFill>
                </w14:textFill>
              </w:rPr>
              <w:t>施工导致水质污染、</w:t>
            </w:r>
            <w:r>
              <w:rPr>
                <w:color w:val="000000" w:themeColor="text1"/>
                <w:spacing w:val="-11"/>
                <w14:textFill>
                  <w14:solidFill>
                    <w14:schemeClr w14:val="tx1"/>
                  </w14:solidFill>
                </w14:textFill>
              </w:rPr>
              <w:t>水土流失</w:t>
            </w:r>
            <w:r>
              <w:rPr>
                <w:rFonts w:hint="eastAsia"/>
                <w:color w:val="000000" w:themeColor="text1"/>
                <w:spacing w:val="-11"/>
                <w14:textFill>
                  <w14:solidFill>
                    <w14:schemeClr w14:val="tx1"/>
                  </w14:solidFill>
                </w14:textFill>
              </w:rPr>
              <w:t>等。</w:t>
            </w:r>
          </w:p>
        </w:tc>
      </w:tr>
    </w:tbl>
    <w:p w14:paraId="61CA59F8">
      <w:pPr>
        <w:pStyle w:val="120"/>
        <w:rPr>
          <w:color w:val="000000" w:themeColor="text1"/>
          <w14:textFill>
            <w14:solidFill>
              <w14:schemeClr w14:val="tx1"/>
            </w14:solidFill>
          </w14:textFill>
        </w:rPr>
      </w:pPr>
      <w:bookmarkStart w:id="191" w:name="_Hlk89351532"/>
      <w:r>
        <w:rPr>
          <w:rFonts w:hint="eastAsia"/>
          <w:color w:val="000000" w:themeColor="text1"/>
          <w14:textFill>
            <w14:solidFill>
              <w14:schemeClr w14:val="tx1"/>
            </w14:solidFill>
          </w14:textFill>
        </w:rPr>
        <w:t>地下水环境保护目标</w:t>
      </w:r>
    </w:p>
    <w:p w14:paraId="3A90A5F3">
      <w:pPr>
        <w:ind w:firstLine="480"/>
        <w:rPr>
          <w:color w:val="000000" w:themeColor="text1"/>
          <w14:textFill>
            <w14:solidFill>
              <w14:schemeClr w14:val="tx1"/>
            </w14:solidFill>
          </w14:textFill>
        </w:rPr>
      </w:pPr>
      <w:bookmarkStart w:id="192" w:name="_Hlk84625927"/>
      <w:r>
        <w:rPr>
          <w:rFonts w:hint="eastAsia"/>
          <w:color w:val="000000" w:themeColor="text1"/>
          <w14:textFill>
            <w14:solidFill>
              <w14:schemeClr w14:val="tx1"/>
            </w14:solidFill>
          </w14:textFill>
        </w:rPr>
        <w:t>根据收集资料，线路两侧</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km区域内无地下水水源保护区分布，无集中式饮用水源分布；线路沿线附近部分村庄分布有水井，主要用于生活洗涤。</w:t>
      </w:r>
      <w:bookmarkEnd w:id="192"/>
    </w:p>
    <w:bookmarkEnd w:id="191"/>
    <w:p w14:paraId="0EE36035">
      <w:pPr>
        <w:pStyle w:val="120"/>
        <w:rPr>
          <w:color w:val="000000" w:themeColor="text1"/>
          <w14:textFill>
            <w14:solidFill>
              <w14:schemeClr w14:val="tx1"/>
            </w14:solidFill>
          </w14:textFill>
        </w:rPr>
      </w:pPr>
      <w:bookmarkStart w:id="193" w:name="_Hlk89350316"/>
      <w:r>
        <w:rPr>
          <w:rFonts w:hint="eastAsia"/>
          <w:color w:val="000000" w:themeColor="text1"/>
          <w14:textFill>
            <w14:solidFill>
              <w14:schemeClr w14:val="tx1"/>
            </w14:solidFill>
          </w14:textFill>
        </w:rPr>
        <w:t>生态敏感目标</w:t>
      </w:r>
      <w:bookmarkEnd w:id="193"/>
    </w:p>
    <w:p w14:paraId="19BDE946">
      <w:pPr>
        <w:pStyle w:val="130"/>
        <w:rPr>
          <w:color w:val="000000" w:themeColor="text1"/>
          <w:lang w:val="zh-CN"/>
          <w14:textFill>
            <w14:solidFill>
              <w14:schemeClr w14:val="tx1"/>
            </w14:solidFill>
          </w14:textFill>
        </w:rPr>
      </w:pPr>
      <w:r>
        <w:rPr>
          <w:color w:val="000000" w:themeColor="text1"/>
          <w:lang w:val="zh-CN"/>
          <w14:textFill>
            <w14:solidFill>
              <w14:schemeClr w14:val="tx1"/>
            </w14:solidFill>
          </w14:textFill>
        </w:rPr>
        <w:t>根据</w:t>
      </w:r>
      <w:r>
        <w:rPr>
          <w:rFonts w:hint="eastAsia"/>
          <w:color w:val="000000" w:themeColor="text1"/>
          <w:lang w:val="zh-CN"/>
          <w14:textFill>
            <w14:solidFill>
              <w14:schemeClr w14:val="tx1"/>
            </w14:solidFill>
          </w14:textFill>
        </w:rPr>
        <w:t>现场</w:t>
      </w:r>
      <w:r>
        <w:rPr>
          <w:color w:val="000000" w:themeColor="text1"/>
          <w:lang w:val="zh-CN"/>
          <w14:textFill>
            <w14:solidFill>
              <w14:schemeClr w14:val="tx1"/>
            </w14:solidFill>
          </w14:textFill>
        </w:rPr>
        <w:t>勘查，</w:t>
      </w:r>
      <w:bookmarkStart w:id="194" w:name="_Hlk89350474"/>
      <w:r>
        <w:rPr>
          <w:color w:val="000000" w:themeColor="text1"/>
          <w:lang w:val="zh-CN"/>
          <w14:textFill>
            <w14:solidFill>
              <w14:schemeClr w14:val="tx1"/>
            </w14:solidFill>
          </w14:textFill>
        </w:rPr>
        <w:t>本项目不涉及自然保护区、风景名胜区、世界文化和自然遗产地；项目不涉及基本草原、</w:t>
      </w:r>
      <w:bookmarkStart w:id="195" w:name="_Hlk89374532"/>
      <w:r>
        <w:rPr>
          <w:rFonts w:hint="eastAsia"/>
          <w:color w:val="000000" w:themeColor="text1"/>
          <w14:textFill>
            <w14:solidFill>
              <w14:schemeClr w14:val="tx1"/>
            </w14:solidFill>
          </w14:textFill>
        </w:rPr>
        <w:t>基本农田</w:t>
      </w:r>
      <w:bookmarkEnd w:id="195"/>
      <w:r>
        <w:rPr>
          <w:rFonts w:hint="eastAsia"/>
          <w:color w:val="000000" w:themeColor="text1"/>
          <w14:textFill>
            <w14:solidFill>
              <w14:schemeClr w14:val="tx1"/>
            </w14:solidFill>
          </w14:textFill>
        </w:rPr>
        <w:t>、</w:t>
      </w:r>
      <w:r>
        <w:rPr>
          <w:color w:val="000000" w:themeColor="text1"/>
          <w:lang w:val="zh-CN"/>
          <w14:textFill>
            <w14:solidFill>
              <w14:schemeClr w14:val="tx1"/>
            </w14:solidFill>
          </w14:textFill>
        </w:rPr>
        <w:t>地质公园、重要湿地、天然林、野生动物重要栖息地、重点保护野生植物生长繁殖地、重要水生生物的自然产卵场、索饵场、越冬场和洄游通道、天然渔场、水土流失重点防治区、沙化土地封禁保护区、封闭及半封闭海域</w:t>
      </w:r>
      <w:r>
        <w:rPr>
          <w:rFonts w:hint="eastAsia"/>
          <w:color w:val="000000" w:themeColor="text1"/>
          <w:lang w:val="zh-CN"/>
          <w14:textFill>
            <w14:solidFill>
              <w14:schemeClr w14:val="tx1"/>
            </w14:solidFill>
          </w14:textFill>
        </w:rPr>
        <w:t>。</w:t>
      </w:r>
    </w:p>
    <w:p w14:paraId="4738A790">
      <w:pPr>
        <w:pStyle w:val="130"/>
        <w:rPr>
          <w:color w:val="000000" w:themeColor="text1"/>
          <w14:textFill>
            <w14:solidFill>
              <w14:schemeClr w14:val="tx1"/>
            </w14:solidFill>
          </w14:textFill>
        </w:rPr>
      </w:pPr>
      <w:r>
        <w:rPr>
          <w:color w:val="000000" w:themeColor="text1"/>
          <w:lang w:val="zh-CN"/>
          <w14:textFill>
            <w14:solidFill>
              <w14:schemeClr w14:val="tx1"/>
            </w14:solidFill>
          </w14:textFill>
        </w:rPr>
        <w:t>项目不涉及</w:t>
      </w:r>
      <w:r>
        <w:rPr>
          <w:rFonts w:hint="eastAsia"/>
          <w:color w:val="000000" w:themeColor="text1"/>
          <w:lang w:val="zh-CN"/>
          <w14:textFill>
            <w14:solidFill>
              <w14:schemeClr w14:val="tx1"/>
            </w14:solidFill>
          </w14:textFill>
        </w:rPr>
        <w:t>生态保护红线和基本农田，</w:t>
      </w:r>
      <w:bookmarkStart w:id="196" w:name="_Hlk84627350"/>
      <w:r>
        <w:rPr>
          <w:rFonts w:hint="eastAsia"/>
          <w:color w:val="000000" w:themeColor="text1"/>
          <w:lang w:val="zh-CN"/>
          <w14:textFill>
            <w14:solidFill>
              <w14:schemeClr w14:val="tx1"/>
            </w14:solidFill>
          </w14:textFill>
        </w:rPr>
        <w:t>用地红线</w:t>
      </w:r>
      <w:r>
        <w:rPr>
          <w:rFonts w:hint="eastAsia"/>
          <w:color w:val="000000" w:themeColor="text1"/>
          <w14:textFill>
            <w14:solidFill>
              <w14:schemeClr w14:val="tx1"/>
            </w14:solidFill>
          </w14:textFill>
        </w:rPr>
        <w:t>涉及占用生态公益林</w:t>
      </w:r>
      <w:bookmarkEnd w:id="196"/>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（均为国家二级），评价范围内生态公益林</w:t>
      </w:r>
      <w:r>
        <w:rPr>
          <w:color w:val="000000" w:themeColor="text1"/>
          <w14:textFill>
            <w14:solidFill>
              <w14:schemeClr w14:val="tx1"/>
            </w14:solidFill>
          </w14:textFill>
        </w:rPr>
        <w:t>7.6294</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（均为国家二级）；公路不涉及占用重要湿地，公路用地红线占用一般湿地0</w:t>
      </w:r>
      <w:r>
        <w:rPr>
          <w:color w:val="000000" w:themeColor="text1"/>
          <w14:textFill>
            <w14:solidFill>
              <w14:schemeClr w14:val="tx1"/>
            </w14:solidFill>
          </w14:textFill>
        </w:rPr>
        <w:t>.9060</w:t>
      </w:r>
      <w:r>
        <w:rPr>
          <w:rFonts w:hint="eastAsia"/>
          <w:color w:val="000000" w:themeColor="text1"/>
          <w14:textFill>
            <w14:solidFill>
              <w14:schemeClr w14:val="tx1"/>
            </w14:solidFill>
          </w14:textFill>
        </w:rPr>
        <w:t xml:space="preserve"> 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占用湿地类型为沟渠、河流水面、坑塘水面和内陆滩涂</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；项目占地红线内没有挂牌的名木古树和野生珍贵树木，也无其他国家和省级重点保护的野生植物，亦无明显的重点保护野生动物栖息地，但评价范围3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m内有</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株古树，详见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_Ref192540333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0C1EA95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线路沿线敏感目标见</w:t>
      </w:r>
      <w:bookmarkStart w:id="197" w:name="hmcheck_5d51ace74bac48dbb86ed7a2f3ca74d6"/>
      <w:r>
        <w:rPr>
          <w:color w:val="000000" w:themeColor="text1"/>
          <w:shd w:val="clear" w:fill="FFAFAA"/>
          <w14:textFill>
            <w14:solidFill>
              <w14:schemeClr w14:val="tx1"/>
            </w14:solidFill>
          </w14:textFill>
        </w:rPr>
        <w:t>~</w:t>
      </w:r>
      <w:bookmarkEnd w:id="197"/>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_Ref192540333 \r \h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bookmarkEnd w:id="194"/>
      <w:r>
        <w:rPr>
          <w:rFonts w:hint="eastAsia"/>
          <w:color w:val="000000" w:themeColor="text1"/>
          <w14:textFill>
            <w14:solidFill>
              <w14:schemeClr w14:val="tx1"/>
            </w14:solidFill>
          </w14:textFill>
        </w:rPr>
        <w:t>。</w:t>
      </w:r>
    </w:p>
    <w:p w14:paraId="1148287F">
      <w:pPr>
        <w:ind w:firstLine="480"/>
        <w:rPr>
          <w:color w:val="000000" w:themeColor="text1"/>
          <w14:textFill>
            <w14:solidFill>
              <w14:schemeClr w14:val="tx1"/>
            </w14:solidFill>
          </w14:textFill>
        </w:rPr>
      </w:pPr>
    </w:p>
    <w:p w14:paraId="4F93AD2F">
      <w:pPr>
        <w:ind w:firstLine="480"/>
        <w:rPr>
          <w:color w:val="000000" w:themeColor="text1"/>
          <w14:textFill>
            <w14:solidFill>
              <w14:schemeClr w14:val="tx1"/>
            </w14:solidFill>
          </w14:textFill>
        </w:rPr>
      </w:pPr>
    </w:p>
    <w:p w14:paraId="3B9EC624">
      <w:pPr>
        <w:ind w:firstLine="480"/>
        <w:rPr>
          <w:color w:val="000000" w:themeColor="text1"/>
          <w14:textFill>
            <w14:solidFill>
              <w14:schemeClr w14:val="tx1"/>
            </w14:solidFill>
          </w14:textFill>
        </w:rPr>
      </w:pPr>
    </w:p>
    <w:p w14:paraId="58CECF0D">
      <w:pPr>
        <w:ind w:firstLine="480"/>
        <w:rPr>
          <w:color w:val="000000" w:themeColor="text1"/>
          <w14:textFill>
            <w14:solidFill>
              <w14:schemeClr w14:val="tx1"/>
            </w14:solidFill>
          </w14:textFill>
        </w:rPr>
      </w:pPr>
    </w:p>
    <w:p w14:paraId="411ED85E">
      <w:pPr>
        <w:ind w:firstLine="480"/>
        <w:rPr>
          <w:color w:val="000000" w:themeColor="text1"/>
          <w14:textFill>
            <w14:solidFill>
              <w14:schemeClr w14:val="tx1"/>
            </w14:solidFill>
          </w14:textFill>
        </w:rPr>
      </w:pPr>
    </w:p>
    <w:p w14:paraId="22571B16">
      <w:pPr>
        <w:ind w:firstLine="480"/>
        <w:rPr>
          <w:color w:val="000000" w:themeColor="text1"/>
          <w14:textFill>
            <w14:solidFill>
              <w14:schemeClr w14:val="tx1"/>
            </w14:solidFill>
          </w14:textFill>
        </w:rPr>
      </w:pPr>
    </w:p>
    <w:p w14:paraId="2F581E03">
      <w:pPr>
        <w:ind w:firstLine="480"/>
        <w:rPr>
          <w:color w:val="000000" w:themeColor="text1"/>
          <w14:textFill>
            <w14:solidFill>
              <w14:schemeClr w14:val="tx1"/>
            </w14:solidFill>
          </w14:textFill>
        </w:rPr>
      </w:pPr>
    </w:p>
    <w:p w14:paraId="6F12B4D9">
      <w:pPr>
        <w:ind w:firstLine="480"/>
        <w:rPr>
          <w:color w:val="000000" w:themeColor="text1"/>
          <w14:textFill>
            <w14:solidFill>
              <w14:schemeClr w14:val="tx1"/>
            </w14:solidFill>
          </w14:textFill>
        </w:rPr>
      </w:pPr>
    </w:p>
    <w:p w14:paraId="79FDFAE6">
      <w:pPr>
        <w:pStyle w:val="87"/>
        <w:spacing w:before="120"/>
        <w:ind w:left="48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bookmarkStart w:id="198" w:name="_Ref149548003"/>
      <w:r>
        <w:rPr>
          <w:rFonts w:hint="eastAsia"/>
          <w:color w:val="000000" w:themeColor="text1"/>
          <w14:textFill>
            <w14:solidFill>
              <w14:schemeClr w14:val="tx1"/>
            </w14:solidFill>
          </w14:textFill>
        </w:rPr>
        <w:t>本项目主要生态环境保护目标</w:t>
      </w:r>
      <w:bookmarkEnd w:id="198"/>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34"/>
        <w:gridCol w:w="851"/>
        <w:gridCol w:w="1984"/>
        <w:gridCol w:w="1134"/>
        <w:gridCol w:w="1276"/>
        <w:gridCol w:w="1712"/>
        <w:gridCol w:w="979"/>
      </w:tblGrid>
      <w:tr w14:paraId="1EB07A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shd w:val="clear" w:color="auto" w:fill="auto"/>
            <w:tcMar>
              <w:left w:w="57" w:type="dxa"/>
              <w:right w:w="57" w:type="dxa"/>
            </w:tcMar>
            <w:vAlign w:val="center"/>
          </w:tcPr>
          <w:p w14:paraId="7977756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敏感目标</w:t>
            </w:r>
          </w:p>
        </w:tc>
        <w:tc>
          <w:tcPr>
            <w:tcW w:w="851" w:type="dxa"/>
            <w:shd w:val="clear" w:color="auto" w:fill="auto"/>
            <w:tcMar>
              <w:left w:w="57" w:type="dxa"/>
              <w:right w:w="57" w:type="dxa"/>
            </w:tcMar>
            <w:vAlign w:val="center"/>
          </w:tcPr>
          <w:p w14:paraId="6B6B346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保护目标</w:t>
            </w:r>
          </w:p>
        </w:tc>
        <w:tc>
          <w:tcPr>
            <w:tcW w:w="1984" w:type="dxa"/>
            <w:shd w:val="clear" w:color="auto" w:fill="auto"/>
            <w:tcMar>
              <w:left w:w="57" w:type="dxa"/>
              <w:right w:w="57" w:type="dxa"/>
            </w:tcMar>
            <w:vAlign w:val="center"/>
          </w:tcPr>
          <w:p w14:paraId="3D710F6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敏感目标特征</w:t>
            </w:r>
          </w:p>
        </w:tc>
        <w:tc>
          <w:tcPr>
            <w:tcW w:w="1134" w:type="dxa"/>
            <w:shd w:val="clear" w:color="auto" w:fill="auto"/>
            <w:tcMar>
              <w:left w:w="57" w:type="dxa"/>
              <w:right w:w="57" w:type="dxa"/>
            </w:tcMar>
            <w:vAlign w:val="center"/>
          </w:tcPr>
          <w:p w14:paraId="2355B34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位置关系</w:t>
            </w:r>
          </w:p>
        </w:tc>
        <w:tc>
          <w:tcPr>
            <w:tcW w:w="1276" w:type="dxa"/>
            <w:shd w:val="clear" w:color="auto" w:fill="auto"/>
            <w:tcMar>
              <w:left w:w="57" w:type="dxa"/>
              <w:right w:w="57" w:type="dxa"/>
            </w:tcMar>
            <w:vAlign w:val="center"/>
          </w:tcPr>
          <w:p w14:paraId="23D57AB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避让方式/减缓方式</w:t>
            </w:r>
          </w:p>
        </w:tc>
        <w:tc>
          <w:tcPr>
            <w:tcW w:w="1712" w:type="dxa"/>
            <w:shd w:val="clear" w:color="auto" w:fill="auto"/>
            <w:tcMar>
              <w:left w:w="57" w:type="dxa"/>
              <w:right w:w="57" w:type="dxa"/>
            </w:tcMar>
            <w:vAlign w:val="center"/>
          </w:tcPr>
          <w:p w14:paraId="2E21D6F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线路桩号</w:t>
            </w:r>
          </w:p>
        </w:tc>
        <w:tc>
          <w:tcPr>
            <w:tcW w:w="979" w:type="dxa"/>
            <w:shd w:val="clear" w:color="auto" w:fill="auto"/>
            <w:tcMar>
              <w:left w:w="57" w:type="dxa"/>
              <w:right w:w="57" w:type="dxa"/>
            </w:tcMar>
            <w:vAlign w:val="center"/>
          </w:tcPr>
          <w:p w14:paraId="3981880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涉及线路长度</w:t>
            </w:r>
          </w:p>
        </w:tc>
      </w:tr>
      <w:tr w14:paraId="0D672F4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shd w:val="clear" w:color="auto" w:fill="auto"/>
            <w:tcMar>
              <w:left w:w="57" w:type="dxa"/>
              <w:right w:w="57" w:type="dxa"/>
            </w:tcMar>
            <w:vAlign w:val="center"/>
          </w:tcPr>
          <w:p w14:paraId="346D48D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生态敏感区</w:t>
            </w:r>
          </w:p>
        </w:tc>
        <w:tc>
          <w:tcPr>
            <w:tcW w:w="7936" w:type="dxa"/>
            <w:gridSpan w:val="6"/>
            <w:shd w:val="clear" w:color="auto" w:fill="auto"/>
            <w:tcMar>
              <w:left w:w="57" w:type="dxa"/>
              <w:right w:w="57" w:type="dxa"/>
            </w:tcMar>
            <w:vAlign w:val="center"/>
          </w:tcPr>
          <w:p w14:paraId="19DAE97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m评价范围内不涉及生态保护红线，不涉及各类自然保护地。</w:t>
            </w:r>
          </w:p>
        </w:tc>
      </w:tr>
      <w:tr w14:paraId="1316C4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shd w:val="clear" w:color="auto" w:fill="auto"/>
            <w:tcMar>
              <w:left w:w="57" w:type="dxa"/>
              <w:right w:w="57" w:type="dxa"/>
            </w:tcMar>
            <w:vAlign w:val="center"/>
          </w:tcPr>
          <w:p w14:paraId="477D2EE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生态公益林</w:t>
            </w:r>
          </w:p>
        </w:tc>
        <w:tc>
          <w:tcPr>
            <w:tcW w:w="851" w:type="dxa"/>
            <w:shd w:val="clear" w:color="auto" w:fill="auto"/>
            <w:tcMar>
              <w:left w:w="57" w:type="dxa"/>
              <w:right w:w="57" w:type="dxa"/>
            </w:tcMar>
            <w:vAlign w:val="center"/>
          </w:tcPr>
          <w:p w14:paraId="6E757DA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国家二级</w:t>
            </w:r>
          </w:p>
        </w:tc>
        <w:tc>
          <w:tcPr>
            <w:tcW w:w="1984" w:type="dxa"/>
            <w:shd w:val="clear" w:color="auto" w:fill="auto"/>
            <w:tcMar>
              <w:left w:w="57" w:type="dxa"/>
              <w:right w:w="57" w:type="dxa"/>
            </w:tcMar>
            <w:vAlign w:val="center"/>
          </w:tcPr>
          <w:p w14:paraId="099AAE7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占用国家生态公益林面积</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m评价范围内</w:t>
            </w:r>
            <w:r>
              <w:rPr>
                <w:color w:val="000000" w:themeColor="text1"/>
                <w14:textFill>
                  <w14:solidFill>
                    <w14:schemeClr w14:val="tx1"/>
                  </w14:solidFill>
                </w14:textFill>
              </w:rPr>
              <w:t xml:space="preserve"> 7.63</w:t>
            </w:r>
            <w:r>
              <w:rPr>
                <w:rFonts w:hint="eastAsia"/>
                <w:color w:val="000000" w:themeColor="text1"/>
                <w14:textFill>
                  <w14:solidFill>
                    <w14:schemeClr w14:val="tx1"/>
                  </w14:solidFill>
                </w14:textFill>
              </w:rPr>
              <w:t xml:space="preserve"> hm</w:t>
            </w:r>
            <w:r>
              <w:rPr>
                <w:color w:val="000000" w:themeColor="text1"/>
                <w:vertAlign w:val="superscript"/>
                <w14:textFill>
                  <w14:solidFill>
                    <w14:schemeClr w14:val="tx1"/>
                  </w14:solidFill>
                </w14:textFill>
              </w:rPr>
              <w:t>2</w:t>
            </w:r>
          </w:p>
        </w:tc>
        <w:tc>
          <w:tcPr>
            <w:tcW w:w="1134" w:type="dxa"/>
            <w:shd w:val="clear" w:color="auto" w:fill="auto"/>
            <w:tcMar>
              <w:left w:w="57" w:type="dxa"/>
              <w:right w:w="57" w:type="dxa"/>
            </w:tcMar>
            <w:vAlign w:val="center"/>
          </w:tcPr>
          <w:p w14:paraId="0C2F7B1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线路占用及两侧</w:t>
            </w:r>
          </w:p>
        </w:tc>
        <w:tc>
          <w:tcPr>
            <w:tcW w:w="1276" w:type="dxa"/>
            <w:shd w:val="clear" w:color="auto" w:fill="auto"/>
            <w:tcMar>
              <w:left w:w="57" w:type="dxa"/>
              <w:right w:w="57" w:type="dxa"/>
            </w:tcMar>
            <w:vAlign w:val="center"/>
          </w:tcPr>
          <w:p w14:paraId="641B9F7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占补平衡</w:t>
            </w:r>
          </w:p>
        </w:tc>
        <w:tc>
          <w:tcPr>
            <w:tcW w:w="1712" w:type="dxa"/>
            <w:shd w:val="clear" w:color="auto" w:fill="auto"/>
            <w:tcMar>
              <w:left w:w="57" w:type="dxa"/>
              <w:right w:w="57" w:type="dxa"/>
            </w:tcMar>
            <w:vAlign w:val="center"/>
          </w:tcPr>
          <w:p w14:paraId="5171FAD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K0+263~K0+340</w:t>
            </w:r>
          </w:p>
          <w:p w14:paraId="1668925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终点N</w:t>
            </w:r>
            <w:r>
              <w:rPr>
                <w:color w:val="000000" w:themeColor="text1"/>
                <w14:textFill>
                  <w14:solidFill>
                    <w14:schemeClr w14:val="tx1"/>
                  </w14:solidFill>
                </w14:textFill>
              </w:rPr>
              <w:t>W</w:t>
            </w:r>
            <w:r>
              <w:rPr>
                <w:rFonts w:hint="eastAsia"/>
                <w:color w:val="000000" w:themeColor="text1"/>
                <w14:textFill>
                  <w14:solidFill>
                    <w14:schemeClr w14:val="tx1"/>
                  </w14:solidFill>
                </w14:textFill>
              </w:rPr>
              <w:t>侧</w:t>
            </w:r>
          </w:p>
        </w:tc>
        <w:tc>
          <w:tcPr>
            <w:tcW w:w="979" w:type="dxa"/>
            <w:shd w:val="clear" w:color="auto" w:fill="auto"/>
            <w:tcMar>
              <w:left w:w="57" w:type="dxa"/>
              <w:right w:w="57" w:type="dxa"/>
            </w:tcMar>
            <w:vAlign w:val="center"/>
          </w:tcPr>
          <w:p w14:paraId="593B672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占用7</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m</w:t>
            </w:r>
          </w:p>
        </w:tc>
      </w:tr>
      <w:tr w14:paraId="2F496E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 w:hRule="atLeast"/>
        </w:trPr>
        <w:tc>
          <w:tcPr>
            <w:tcW w:w="1134" w:type="dxa"/>
            <w:shd w:val="clear" w:color="auto" w:fill="auto"/>
            <w:tcMar>
              <w:left w:w="57" w:type="dxa"/>
              <w:right w:w="57" w:type="dxa"/>
            </w:tcMar>
            <w:vAlign w:val="center"/>
          </w:tcPr>
          <w:p w14:paraId="0633330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古树名木</w:t>
            </w:r>
          </w:p>
        </w:tc>
        <w:tc>
          <w:tcPr>
            <w:tcW w:w="851" w:type="dxa"/>
            <w:shd w:val="clear" w:color="auto" w:fill="auto"/>
            <w:tcMar>
              <w:left w:w="57" w:type="dxa"/>
              <w:right w:w="57" w:type="dxa"/>
            </w:tcMar>
            <w:vAlign w:val="center"/>
          </w:tcPr>
          <w:p w14:paraId="5032B0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古树</w:t>
            </w:r>
          </w:p>
        </w:tc>
        <w:tc>
          <w:tcPr>
            <w:tcW w:w="7085" w:type="dxa"/>
            <w:gridSpan w:val="5"/>
            <w:shd w:val="clear" w:color="auto" w:fill="auto"/>
            <w:tcMar>
              <w:left w:w="57" w:type="dxa"/>
              <w:right w:w="57" w:type="dxa"/>
            </w:tcMar>
            <w:vAlign w:val="center"/>
          </w:tcPr>
          <w:p w14:paraId="6B3D542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m评价范围内</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株古树，用地红线范围不涉及</w:t>
            </w:r>
          </w:p>
        </w:tc>
      </w:tr>
      <w:tr w14:paraId="6F5FC3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vMerge w:val="restart"/>
            <w:shd w:val="clear" w:color="auto" w:fill="auto"/>
            <w:tcMar>
              <w:left w:w="57" w:type="dxa"/>
              <w:right w:w="57" w:type="dxa"/>
            </w:tcMar>
            <w:vAlign w:val="center"/>
          </w:tcPr>
          <w:p w14:paraId="7A41FDE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湿地</w:t>
            </w:r>
          </w:p>
        </w:tc>
        <w:tc>
          <w:tcPr>
            <w:tcW w:w="851" w:type="dxa"/>
            <w:shd w:val="clear" w:color="auto" w:fill="auto"/>
            <w:tcMar>
              <w:left w:w="57" w:type="dxa"/>
              <w:right w:w="57" w:type="dxa"/>
            </w:tcMar>
            <w:vAlign w:val="center"/>
          </w:tcPr>
          <w:p w14:paraId="00362E2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重要湿地</w:t>
            </w:r>
          </w:p>
        </w:tc>
        <w:tc>
          <w:tcPr>
            <w:tcW w:w="7085" w:type="dxa"/>
            <w:gridSpan w:val="5"/>
            <w:shd w:val="clear" w:color="auto" w:fill="auto"/>
            <w:tcMar>
              <w:left w:w="57" w:type="dxa"/>
              <w:right w:w="57" w:type="dxa"/>
            </w:tcMar>
            <w:vAlign w:val="center"/>
          </w:tcPr>
          <w:p w14:paraId="0A49998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不涉及重要湿地</w:t>
            </w:r>
          </w:p>
        </w:tc>
      </w:tr>
      <w:tr w14:paraId="39E949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vMerge w:val="continue"/>
            <w:shd w:val="clear" w:color="auto" w:fill="auto"/>
            <w:tcMar>
              <w:left w:w="57" w:type="dxa"/>
              <w:right w:w="57" w:type="dxa"/>
            </w:tcMar>
            <w:vAlign w:val="center"/>
          </w:tcPr>
          <w:p w14:paraId="214E42E4">
            <w:pPr>
              <w:pStyle w:val="105"/>
              <w:jc w:val="center"/>
              <w:rPr>
                <w:color w:val="000000" w:themeColor="text1"/>
                <w14:textFill>
                  <w14:solidFill>
                    <w14:schemeClr w14:val="tx1"/>
                  </w14:solidFill>
                </w14:textFill>
              </w:rPr>
            </w:pPr>
          </w:p>
        </w:tc>
        <w:tc>
          <w:tcPr>
            <w:tcW w:w="851" w:type="dxa"/>
            <w:shd w:val="clear" w:color="auto" w:fill="auto"/>
            <w:tcMar>
              <w:left w:w="57" w:type="dxa"/>
              <w:right w:w="57" w:type="dxa"/>
            </w:tcMar>
            <w:vAlign w:val="center"/>
          </w:tcPr>
          <w:p w14:paraId="01AE616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一般湿地</w:t>
            </w:r>
          </w:p>
        </w:tc>
        <w:tc>
          <w:tcPr>
            <w:tcW w:w="1984" w:type="dxa"/>
            <w:shd w:val="clear" w:color="auto" w:fill="auto"/>
            <w:tcMar>
              <w:left w:w="57" w:type="dxa"/>
              <w:right w:w="57" w:type="dxa"/>
            </w:tcMar>
            <w:vAlign w:val="center"/>
          </w:tcPr>
          <w:p w14:paraId="2FE7163F">
            <w:pPr>
              <w:pStyle w:val="105"/>
              <w:jc w:val="center"/>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占用一般湿地面积9060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（其中：一般湿地名录面积697</w:t>
            </w:r>
            <w:r>
              <w:rPr>
                <w:rFonts w:hint="eastAsia" w:cs="Times New Roman"/>
                <w:color w:val="000000" w:themeColor="text1"/>
                <w:kern w:val="0"/>
                <w:szCs w:val="24"/>
                <w:lang w:val="zh-CN"/>
                <w14:textFill>
                  <w14:solidFill>
                    <w14:schemeClr w14:val="tx1"/>
                  </w14:solidFill>
                </w14:textFill>
              </w:rPr>
              <w:t xml:space="preserve"> 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w:t>
            </w:r>
          </w:p>
        </w:tc>
        <w:tc>
          <w:tcPr>
            <w:tcW w:w="1134" w:type="dxa"/>
            <w:shd w:val="clear" w:color="auto" w:fill="auto"/>
            <w:tcMar>
              <w:left w:w="57" w:type="dxa"/>
              <w:right w:w="57" w:type="dxa"/>
            </w:tcMar>
            <w:vAlign w:val="center"/>
          </w:tcPr>
          <w:p w14:paraId="76D2CA5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_Ref192516652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p>
        </w:tc>
        <w:tc>
          <w:tcPr>
            <w:tcW w:w="1276" w:type="dxa"/>
            <w:shd w:val="clear" w:color="auto" w:fill="auto"/>
            <w:tcMar>
              <w:left w:w="57" w:type="dxa"/>
              <w:right w:w="57" w:type="dxa"/>
            </w:tcMar>
            <w:vAlign w:val="center"/>
          </w:tcPr>
          <w:p w14:paraId="6327F8B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采取改河、涵洞、桥梁等形式跨越河道，保持河道连通</w:t>
            </w:r>
          </w:p>
        </w:tc>
        <w:tc>
          <w:tcPr>
            <w:tcW w:w="1712" w:type="dxa"/>
            <w:shd w:val="clear" w:color="auto" w:fill="auto"/>
            <w:tcMar>
              <w:left w:w="57" w:type="dxa"/>
              <w:right w:w="57" w:type="dxa"/>
            </w:tcMar>
            <w:vAlign w:val="center"/>
          </w:tcPr>
          <w:p w14:paraId="6EBEAF4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_Ref192516652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p>
        </w:tc>
        <w:tc>
          <w:tcPr>
            <w:tcW w:w="979" w:type="dxa"/>
            <w:shd w:val="clear" w:color="auto" w:fill="auto"/>
            <w:tcMar>
              <w:left w:w="57" w:type="dxa"/>
              <w:right w:w="57" w:type="dxa"/>
            </w:tcMar>
            <w:vAlign w:val="center"/>
          </w:tcPr>
          <w:p w14:paraId="2A01474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CA2C3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shd w:val="clear" w:color="auto" w:fill="auto"/>
            <w:tcMar>
              <w:left w:w="57" w:type="dxa"/>
              <w:right w:w="57" w:type="dxa"/>
            </w:tcMar>
            <w:vAlign w:val="center"/>
          </w:tcPr>
          <w:p w14:paraId="1232136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自然植被</w:t>
            </w:r>
          </w:p>
        </w:tc>
        <w:tc>
          <w:tcPr>
            <w:tcW w:w="7936" w:type="dxa"/>
            <w:gridSpan w:val="6"/>
            <w:shd w:val="clear" w:color="auto" w:fill="auto"/>
            <w:tcMar>
              <w:left w:w="57" w:type="dxa"/>
              <w:right w:w="57" w:type="dxa"/>
            </w:tcMar>
            <w:vAlign w:val="center"/>
          </w:tcPr>
          <w:p w14:paraId="1CB9020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公路沿线均有分布，</w:t>
            </w:r>
            <w:r>
              <w:rPr>
                <w:rFonts w:cs="Times New Roman"/>
                <w:color w:val="000000" w:themeColor="text1"/>
                <w:spacing w:val="-7"/>
                <w14:textFill>
                  <w14:solidFill>
                    <w14:schemeClr w14:val="tx1"/>
                  </w14:solidFill>
                </w14:textFill>
              </w:rPr>
              <w:t>沿线以</w:t>
            </w:r>
            <w:r>
              <w:rPr>
                <w:rFonts w:hint="eastAsia" w:cs="Times New Roman"/>
                <w:color w:val="000000" w:themeColor="text1"/>
                <w:spacing w:val="-7"/>
                <w14:textFill>
                  <w14:solidFill>
                    <w14:schemeClr w14:val="tx1"/>
                  </w14:solidFill>
                </w14:textFill>
              </w:rPr>
              <w:t>耕地</w:t>
            </w:r>
            <w:r>
              <w:rPr>
                <w:rFonts w:cs="Times New Roman"/>
                <w:color w:val="000000" w:themeColor="text1"/>
                <w:spacing w:val="-7"/>
                <w14:textFill>
                  <w14:solidFill>
                    <w14:schemeClr w14:val="tx1"/>
                  </w14:solidFill>
                </w14:textFill>
              </w:rPr>
              <w:t>为主，部分为园地、</w:t>
            </w:r>
            <w:r>
              <w:rPr>
                <w:rFonts w:hint="eastAsia" w:cs="Times New Roman"/>
                <w:color w:val="000000" w:themeColor="text1"/>
                <w:spacing w:val="-7"/>
                <w14:textFill>
                  <w14:solidFill>
                    <w14:schemeClr w14:val="tx1"/>
                  </w14:solidFill>
                </w14:textFill>
              </w:rPr>
              <w:t>林地、</w:t>
            </w:r>
            <w:r>
              <w:rPr>
                <w:rFonts w:cs="Times New Roman"/>
                <w:color w:val="000000" w:themeColor="text1"/>
                <w:spacing w:val="-7"/>
                <w14:textFill>
                  <w14:solidFill>
                    <w14:schemeClr w14:val="tx1"/>
                  </w14:solidFill>
                </w14:textFill>
              </w:rPr>
              <w:t>荒地，主要涉及植被为</w:t>
            </w:r>
            <w:r>
              <w:rPr>
                <w:rFonts w:hint="eastAsia" w:cs="Times New Roman"/>
                <w:color w:val="000000" w:themeColor="text1"/>
                <w:spacing w:val="-7"/>
                <w14:textFill>
                  <w14:solidFill>
                    <w14:schemeClr w14:val="tx1"/>
                  </w14:solidFill>
                </w14:textFill>
              </w:rPr>
              <w:t>桉树、马尾松、龙眼林</w:t>
            </w:r>
            <w:r>
              <w:rPr>
                <w:rFonts w:cs="Times New Roman"/>
                <w:color w:val="000000" w:themeColor="text1"/>
                <w:spacing w:val="-7"/>
                <w14:textFill>
                  <w14:solidFill>
                    <w14:schemeClr w14:val="tx1"/>
                  </w14:solidFill>
                </w14:textFill>
              </w:rPr>
              <w:t>，其次为</w:t>
            </w:r>
            <w:r>
              <w:rPr>
                <w:rFonts w:hint="eastAsia" w:cs="Times New Roman"/>
                <w:color w:val="000000" w:themeColor="text1"/>
                <w:spacing w:val="-7"/>
                <w14:textFill>
                  <w14:solidFill>
                    <w14:schemeClr w14:val="tx1"/>
                  </w14:solidFill>
                </w14:textFill>
              </w:rPr>
              <w:t>菜园（萝卜）</w:t>
            </w:r>
            <w:r>
              <w:rPr>
                <w:rFonts w:cs="Times New Roman"/>
                <w:color w:val="000000" w:themeColor="text1"/>
                <w:spacing w:val="-7"/>
                <w14:textFill>
                  <w14:solidFill>
                    <w14:schemeClr w14:val="tx1"/>
                  </w14:solidFill>
                </w14:textFill>
              </w:rPr>
              <w:t>、</w:t>
            </w:r>
            <w:r>
              <w:rPr>
                <w:rFonts w:hint="eastAsia" w:cs="Times New Roman"/>
                <w:color w:val="000000" w:themeColor="text1"/>
                <w:spacing w:val="-7"/>
                <w14:textFill>
                  <w14:solidFill>
                    <w14:schemeClr w14:val="tx1"/>
                  </w14:solidFill>
                </w14:textFill>
              </w:rPr>
              <w:t>蔬菜。</w:t>
            </w:r>
          </w:p>
        </w:tc>
      </w:tr>
      <w:tr w14:paraId="4F2EA7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shd w:val="clear" w:color="auto" w:fill="auto"/>
            <w:tcMar>
              <w:left w:w="57" w:type="dxa"/>
              <w:right w:w="57" w:type="dxa"/>
            </w:tcMar>
            <w:vAlign w:val="center"/>
          </w:tcPr>
          <w:p w14:paraId="6078326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耕地</w:t>
            </w:r>
          </w:p>
        </w:tc>
        <w:tc>
          <w:tcPr>
            <w:tcW w:w="7936" w:type="dxa"/>
            <w:gridSpan w:val="6"/>
            <w:shd w:val="clear" w:color="auto" w:fill="auto"/>
            <w:tcMar>
              <w:left w:w="57" w:type="dxa"/>
              <w:right w:w="57" w:type="dxa"/>
            </w:tcMar>
            <w:vAlign w:val="center"/>
          </w:tcPr>
          <w:p w14:paraId="2E2AB36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m评价范围沿线均有分布，但项目不涉及占用基本农田</w:t>
            </w:r>
          </w:p>
        </w:tc>
      </w:tr>
      <w:tr w14:paraId="06B03D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134" w:type="dxa"/>
            <w:shd w:val="clear" w:color="auto" w:fill="auto"/>
            <w:tcMar>
              <w:left w:w="57" w:type="dxa"/>
              <w:right w:w="57" w:type="dxa"/>
            </w:tcMar>
            <w:vAlign w:val="center"/>
          </w:tcPr>
          <w:p w14:paraId="5FAF07F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野生动物</w:t>
            </w:r>
          </w:p>
        </w:tc>
        <w:tc>
          <w:tcPr>
            <w:tcW w:w="7936" w:type="dxa"/>
            <w:gridSpan w:val="6"/>
            <w:shd w:val="clear" w:color="auto" w:fill="auto"/>
            <w:tcMar>
              <w:left w:w="57" w:type="dxa"/>
              <w:right w:w="57" w:type="dxa"/>
            </w:tcMar>
            <w:vAlign w:val="center"/>
          </w:tcPr>
          <w:p w14:paraId="6C1CAA7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公路沿线均有分布，无明显的重点保护野生动物栖息地。</w:t>
            </w:r>
          </w:p>
        </w:tc>
      </w:tr>
      <w:bookmarkEnd w:id="186"/>
    </w:tbl>
    <w:p w14:paraId="70744D13">
      <w:pPr>
        <w:ind w:firstLine="480"/>
        <w:rPr>
          <w:color w:val="000000" w:themeColor="text1"/>
          <w14:textFill>
            <w14:solidFill>
              <w14:schemeClr w14:val="tx1"/>
            </w14:solidFill>
          </w14:textFill>
        </w:rPr>
      </w:pPr>
      <w:bookmarkStart w:id="199" w:name="_Hlk192060282"/>
      <w:bookmarkStart w:id="200" w:name="_Ref192060509"/>
    </w:p>
    <w:bookmarkEnd w:id="199"/>
    <w:bookmarkEnd w:id="200"/>
    <w:p w14:paraId="66D82F85">
      <w:pPr>
        <w:ind w:firstLine="480"/>
        <w:rPr>
          <w:color w:val="000000" w:themeColor="text1"/>
          <w14:textFill>
            <w14:solidFill>
              <w14:schemeClr w14:val="tx1"/>
            </w14:solidFill>
          </w14:textFill>
        </w:rPr>
        <w:sectPr>
          <w:pgSz w:w="11906" w:h="16838"/>
          <w:pgMar w:top="1418" w:right="1418" w:bottom="1418" w:left="1418" w:header="851" w:footer="851" w:gutter="0"/>
          <w:cols w:space="425" w:num="1"/>
          <w:docGrid w:linePitch="326" w:charSpace="0"/>
        </w:sectPr>
      </w:pPr>
    </w:p>
    <w:p w14:paraId="6580AEF9">
      <w:pPr>
        <w:pStyle w:val="114"/>
        <w:rPr>
          <w:color w:val="000000" w:themeColor="text1"/>
          <w14:textFill>
            <w14:solidFill>
              <w14:schemeClr w14:val="tx1"/>
            </w14:solidFill>
          </w14:textFill>
        </w:rPr>
      </w:pPr>
      <w:bookmarkStart w:id="201" w:name="1.3评价工作等级和评价重点"/>
      <w:bookmarkEnd w:id="201"/>
      <w:bookmarkStart w:id="202" w:name="1.5相关规划及环境功能区划"/>
      <w:bookmarkEnd w:id="202"/>
      <w:bookmarkStart w:id="203" w:name="1.4评价范围及环境保护目标"/>
      <w:bookmarkEnd w:id="203"/>
      <w:bookmarkStart w:id="204" w:name="2建设项目工程分析"/>
      <w:bookmarkEnd w:id="204"/>
      <w:bookmarkStart w:id="205" w:name="_Toc193912364"/>
      <w:bookmarkStart w:id="206" w:name="_Toc31925"/>
      <w:bookmarkStart w:id="207" w:name="_Toc159405458"/>
      <w:r>
        <w:rPr>
          <w:color w:val="000000" w:themeColor="text1"/>
          <w14:textFill>
            <w14:solidFill>
              <w14:schemeClr w14:val="tx1"/>
            </w14:solidFill>
          </w14:textFill>
        </w:rPr>
        <w:t>建设项目工程分析</w:t>
      </w:r>
      <w:bookmarkEnd w:id="205"/>
      <w:bookmarkEnd w:id="206"/>
      <w:bookmarkEnd w:id="207"/>
    </w:p>
    <w:p w14:paraId="26E43C2C">
      <w:pPr>
        <w:pStyle w:val="116"/>
        <w:rPr>
          <w:color w:val="000000" w:themeColor="text1"/>
          <w14:textFill>
            <w14:solidFill>
              <w14:schemeClr w14:val="tx1"/>
            </w14:solidFill>
          </w14:textFill>
        </w:rPr>
      </w:pPr>
      <w:bookmarkStart w:id="208" w:name="_Toc154668025"/>
      <w:bookmarkStart w:id="209" w:name="_Toc159405459"/>
      <w:bookmarkStart w:id="210" w:name="_Toc193912365"/>
      <w:r>
        <w:rPr>
          <w:rFonts w:hint="eastAsia"/>
          <w:color w:val="000000" w:themeColor="text1"/>
          <w14:textFill>
            <w14:solidFill>
              <w14:schemeClr w14:val="tx1"/>
            </w14:solidFill>
          </w14:textFill>
        </w:rPr>
        <w:t>路线方案</w:t>
      </w:r>
      <w:bookmarkEnd w:id="208"/>
      <w:bookmarkEnd w:id="209"/>
      <w:r>
        <w:rPr>
          <w:rFonts w:hint="eastAsia"/>
          <w:color w:val="000000" w:themeColor="text1"/>
          <w14:textFill>
            <w14:solidFill>
              <w14:schemeClr w14:val="tx1"/>
            </w14:solidFill>
          </w14:textFill>
        </w:rPr>
        <w:t>环境比选</w:t>
      </w:r>
      <w:bookmarkEnd w:id="210"/>
    </w:p>
    <w:p w14:paraId="1E331AC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根据路线所经区域的总体规划，综合考虑路线的主要控制因素，结合沿线地形、地貌、水文、地质等因素。设计阶段提出</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段比选方案，比选方案一览表详见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_Ref150155536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1FCC2AF0">
      <w:pPr>
        <w:pStyle w:val="87"/>
        <w:spacing w:before="120"/>
        <w:rPr>
          <w:color w:val="000000" w:themeColor="text1"/>
          <w14:textFill>
            <w14:solidFill>
              <w14:schemeClr w14:val="tx1"/>
            </w14:solidFill>
          </w14:textFill>
        </w:rPr>
      </w:pPr>
      <w:bookmarkStart w:id="211" w:name="_Ref150155536"/>
      <w:r>
        <w:rPr>
          <w:rFonts w:hint="eastAsia"/>
          <w:color w:val="000000" w:themeColor="text1"/>
          <w14:textFill>
            <w14:solidFill>
              <w14:schemeClr w14:val="tx1"/>
            </w14:solidFill>
          </w14:textFill>
        </w:rPr>
        <w:t>比选方案一览表</w:t>
      </w:r>
      <w:bookmarkEnd w:id="211"/>
      <w:r>
        <w:rPr>
          <w:rFonts w:hint="eastAsia"/>
          <w:color w:val="000000" w:themeColor="text1"/>
          <w14:textFill>
            <w14:solidFill>
              <w14:schemeClr w14:val="tx1"/>
            </w14:solidFill>
          </w14:textFill>
        </w:rPr>
        <w:t xml:space="preserve">  </w:t>
      </w:r>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5"/>
        <w:gridCol w:w="1161"/>
        <w:gridCol w:w="3050"/>
        <w:gridCol w:w="1162"/>
        <w:gridCol w:w="1108"/>
        <w:gridCol w:w="1214"/>
      </w:tblGrid>
      <w:tr w14:paraId="52AA6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Align w:val="center"/>
          </w:tcPr>
          <w:p w14:paraId="4880733A">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比选路段</w:t>
            </w:r>
          </w:p>
        </w:tc>
        <w:tc>
          <w:tcPr>
            <w:tcW w:w="625" w:type="pct"/>
            <w:vAlign w:val="center"/>
          </w:tcPr>
          <w:p w14:paraId="5D7161D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方案</w:t>
            </w:r>
          </w:p>
        </w:tc>
        <w:tc>
          <w:tcPr>
            <w:tcW w:w="1641" w:type="pct"/>
            <w:vAlign w:val="center"/>
          </w:tcPr>
          <w:p w14:paraId="32993F9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比较路段起讫桩号</w:t>
            </w:r>
          </w:p>
        </w:tc>
        <w:tc>
          <w:tcPr>
            <w:tcW w:w="625" w:type="pct"/>
            <w:vAlign w:val="center"/>
          </w:tcPr>
          <w:p w14:paraId="420F406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线路全长（m）</w:t>
            </w:r>
          </w:p>
        </w:tc>
        <w:tc>
          <w:tcPr>
            <w:tcW w:w="596" w:type="pct"/>
            <w:vAlign w:val="center"/>
          </w:tcPr>
          <w:p w14:paraId="1D151CBA">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隧道（m/座）</w:t>
            </w:r>
          </w:p>
        </w:tc>
        <w:tc>
          <w:tcPr>
            <w:tcW w:w="653" w:type="pct"/>
            <w:vAlign w:val="center"/>
          </w:tcPr>
          <w:p w14:paraId="558B485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桥梁（m/座）</w:t>
            </w:r>
          </w:p>
        </w:tc>
      </w:tr>
      <w:tr w14:paraId="0F408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Merge w:val="restart"/>
            <w:vAlign w:val="center"/>
          </w:tcPr>
          <w:p w14:paraId="70AB803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起点至林泉段方案比选</w:t>
            </w:r>
          </w:p>
        </w:tc>
        <w:tc>
          <w:tcPr>
            <w:tcW w:w="625" w:type="pct"/>
            <w:vAlign w:val="center"/>
          </w:tcPr>
          <w:p w14:paraId="4DF4FE62">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 线方案</w:t>
            </w:r>
          </w:p>
        </w:tc>
        <w:tc>
          <w:tcPr>
            <w:tcW w:w="1641" w:type="pct"/>
            <w:vAlign w:val="center"/>
          </w:tcPr>
          <w:p w14:paraId="6C7864ED">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起点K0+</w:t>
            </w:r>
            <w:bookmarkStart w:id="212" w:name="hmcheck_bcb2984311d140d399c7f8e26c8fc727"/>
            <w:r>
              <w:rPr>
                <w:rFonts w:hint="eastAsia"/>
                <w:snapToGrid w:val="0"/>
                <w:color w:val="000000" w:themeColor="text1"/>
                <w:shd w:val="clear" w:fill="FFAFAA"/>
                <w14:textFill>
                  <w14:solidFill>
                    <w14:schemeClr w14:val="tx1"/>
                  </w14:solidFill>
                </w14:textFill>
              </w:rPr>
              <w:t>000</w:t>
            </w:r>
            <w:r>
              <w:rPr>
                <w:snapToGrid w:val="0"/>
                <w:color w:val="000000" w:themeColor="text1"/>
                <w:shd w:val="clear" w:fill="FFAFAA"/>
                <w14:textFill>
                  <w14:solidFill>
                    <w14:schemeClr w14:val="tx1"/>
                  </w14:solidFill>
                </w14:textFill>
              </w:rPr>
              <w:t>~</w:t>
            </w:r>
            <w:bookmarkEnd w:id="212"/>
            <w:r>
              <w:rPr>
                <w:snapToGrid w:val="0"/>
                <w:color w:val="000000" w:themeColor="text1"/>
                <w14:textFill>
                  <w14:solidFill>
                    <w14:schemeClr w14:val="tx1"/>
                  </w14:solidFill>
                </w14:textFill>
              </w:rPr>
              <w:t xml:space="preserve"> K0+619.766</w:t>
            </w:r>
          </w:p>
        </w:tc>
        <w:tc>
          <w:tcPr>
            <w:tcW w:w="625" w:type="pct"/>
            <w:vAlign w:val="center"/>
          </w:tcPr>
          <w:p w14:paraId="00576BA8">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619.766</w:t>
            </w:r>
          </w:p>
        </w:tc>
        <w:tc>
          <w:tcPr>
            <w:tcW w:w="596" w:type="pct"/>
            <w:vAlign w:val="center"/>
          </w:tcPr>
          <w:p w14:paraId="49AAC859">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653" w:type="pct"/>
            <w:vAlign w:val="center"/>
          </w:tcPr>
          <w:p w14:paraId="77D14643">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r>
      <w:tr w14:paraId="52B8FD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Merge w:val="continue"/>
            <w:vAlign w:val="center"/>
          </w:tcPr>
          <w:p w14:paraId="30F3A38C">
            <w:pPr>
              <w:pStyle w:val="105"/>
              <w:jc w:val="center"/>
              <w:rPr>
                <w:snapToGrid w:val="0"/>
                <w:color w:val="000000" w:themeColor="text1"/>
                <w14:textFill>
                  <w14:solidFill>
                    <w14:schemeClr w14:val="tx1"/>
                  </w14:solidFill>
                </w14:textFill>
              </w:rPr>
            </w:pPr>
          </w:p>
        </w:tc>
        <w:tc>
          <w:tcPr>
            <w:tcW w:w="625" w:type="pct"/>
            <w:vAlign w:val="center"/>
          </w:tcPr>
          <w:p w14:paraId="21F86CF2">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A 线方案</w:t>
            </w:r>
          </w:p>
        </w:tc>
        <w:tc>
          <w:tcPr>
            <w:tcW w:w="1641" w:type="pct"/>
            <w:vAlign w:val="center"/>
          </w:tcPr>
          <w:p w14:paraId="158A052D">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起点</w:t>
            </w:r>
            <w:r>
              <w:rPr>
                <w:snapToGrid w:val="0"/>
                <w:color w:val="000000" w:themeColor="text1"/>
                <w14:textFill>
                  <w14:solidFill>
                    <w14:schemeClr w14:val="tx1"/>
                  </w14:solidFill>
                </w14:textFill>
              </w:rPr>
              <w:t>AK0+</w:t>
            </w:r>
            <w:bookmarkStart w:id="213" w:name="hmcheck_ecd21fd0cd404d6eb08b438bab5484b8"/>
            <w:r>
              <w:rPr>
                <w:snapToGrid w:val="0"/>
                <w:color w:val="000000" w:themeColor="text1"/>
                <w:shd w:val="clear" w:fill="FFAFAA"/>
                <w14:textFill>
                  <w14:solidFill>
                    <w14:schemeClr w14:val="tx1"/>
                  </w14:solidFill>
                </w14:textFill>
              </w:rPr>
              <w:t>000~</w:t>
            </w:r>
            <w:bookmarkEnd w:id="213"/>
            <w:r>
              <w:rPr>
                <w:snapToGrid w:val="0"/>
                <w:color w:val="000000" w:themeColor="text1"/>
                <w14:textFill>
                  <w14:solidFill>
                    <w14:schemeClr w14:val="tx1"/>
                  </w14:solidFill>
                </w14:textFill>
              </w:rPr>
              <w:t xml:space="preserve"> K0+569.633</w:t>
            </w:r>
          </w:p>
        </w:tc>
        <w:tc>
          <w:tcPr>
            <w:tcW w:w="625" w:type="pct"/>
            <w:vAlign w:val="center"/>
          </w:tcPr>
          <w:p w14:paraId="6AAA64C6">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569.633</w:t>
            </w:r>
          </w:p>
        </w:tc>
        <w:tc>
          <w:tcPr>
            <w:tcW w:w="596" w:type="pct"/>
            <w:vAlign w:val="center"/>
          </w:tcPr>
          <w:p w14:paraId="2F17DD23">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653" w:type="pct"/>
            <w:vAlign w:val="center"/>
          </w:tcPr>
          <w:p w14:paraId="625C168F">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50/1</w:t>
            </w:r>
          </w:p>
        </w:tc>
      </w:tr>
      <w:tr w14:paraId="6F4251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Merge w:val="restart"/>
            <w:vAlign w:val="center"/>
          </w:tcPr>
          <w:p w14:paraId="35705845">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木厝洋至终点段方案比选</w:t>
            </w:r>
          </w:p>
        </w:tc>
        <w:tc>
          <w:tcPr>
            <w:tcW w:w="625" w:type="pct"/>
            <w:vAlign w:val="center"/>
          </w:tcPr>
          <w:p w14:paraId="745C6A3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 线方案</w:t>
            </w:r>
          </w:p>
        </w:tc>
        <w:tc>
          <w:tcPr>
            <w:tcW w:w="1641" w:type="pct"/>
            <w:vAlign w:val="center"/>
          </w:tcPr>
          <w:p w14:paraId="117D5867">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K3+100~K5+110</w:t>
            </w:r>
            <w:r>
              <w:rPr>
                <w:rFonts w:hint="eastAsia"/>
                <w:snapToGrid w:val="0"/>
                <w:color w:val="000000" w:themeColor="text1"/>
                <w14:textFill>
                  <w14:solidFill>
                    <w14:schemeClr w14:val="tx1"/>
                  </w14:solidFill>
                </w14:textFill>
              </w:rPr>
              <w:t>终点</w:t>
            </w:r>
          </w:p>
        </w:tc>
        <w:tc>
          <w:tcPr>
            <w:tcW w:w="625" w:type="pct"/>
            <w:vAlign w:val="center"/>
          </w:tcPr>
          <w:p w14:paraId="7A4EB3A3">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2010</w:t>
            </w:r>
          </w:p>
        </w:tc>
        <w:tc>
          <w:tcPr>
            <w:tcW w:w="596" w:type="pct"/>
            <w:vAlign w:val="center"/>
          </w:tcPr>
          <w:p w14:paraId="691DF6C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653" w:type="pct"/>
            <w:vAlign w:val="center"/>
          </w:tcPr>
          <w:p w14:paraId="471759A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r>
      <w:tr w14:paraId="51E33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9" w:type="pct"/>
            <w:vMerge w:val="continue"/>
            <w:vAlign w:val="center"/>
          </w:tcPr>
          <w:p w14:paraId="7CFD9C2F">
            <w:pPr>
              <w:pStyle w:val="105"/>
              <w:jc w:val="center"/>
              <w:rPr>
                <w:snapToGrid w:val="0"/>
                <w:color w:val="000000" w:themeColor="text1"/>
                <w14:textFill>
                  <w14:solidFill>
                    <w14:schemeClr w14:val="tx1"/>
                  </w14:solidFill>
                </w14:textFill>
              </w:rPr>
            </w:pPr>
          </w:p>
        </w:tc>
        <w:tc>
          <w:tcPr>
            <w:tcW w:w="625" w:type="pct"/>
            <w:vAlign w:val="center"/>
          </w:tcPr>
          <w:p w14:paraId="5EB9DB2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A 线方案</w:t>
            </w:r>
          </w:p>
        </w:tc>
        <w:tc>
          <w:tcPr>
            <w:tcW w:w="1641" w:type="pct"/>
            <w:vAlign w:val="center"/>
          </w:tcPr>
          <w:p w14:paraId="1601C509">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BK3+100~BK5+220</w:t>
            </w:r>
          </w:p>
        </w:tc>
        <w:tc>
          <w:tcPr>
            <w:tcW w:w="625" w:type="pct"/>
            <w:vAlign w:val="center"/>
          </w:tcPr>
          <w:p w14:paraId="2EE17C34">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2120</w:t>
            </w:r>
          </w:p>
        </w:tc>
        <w:tc>
          <w:tcPr>
            <w:tcW w:w="596" w:type="pct"/>
            <w:vAlign w:val="center"/>
          </w:tcPr>
          <w:p w14:paraId="353B95B9">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c>
          <w:tcPr>
            <w:tcW w:w="653" w:type="pct"/>
            <w:vAlign w:val="center"/>
          </w:tcPr>
          <w:p w14:paraId="0326339A">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w:t>
            </w:r>
          </w:p>
        </w:tc>
      </w:tr>
    </w:tbl>
    <w:p w14:paraId="2F93DDEF">
      <w:pPr>
        <w:pStyle w:val="120"/>
        <w:numPr>
          <w:ilvl w:val="2"/>
          <w:numId w:val="17"/>
        </w:numPr>
        <w:spacing w:before="240"/>
        <w:rPr>
          <w:color w:val="000000" w:themeColor="text1"/>
          <w14:textFill>
            <w14:solidFill>
              <w14:schemeClr w14:val="tx1"/>
            </w14:solidFill>
          </w14:textFill>
        </w:rPr>
      </w:pPr>
      <w:r>
        <w:rPr>
          <w:rFonts w:hint="eastAsia"/>
          <w:color w:val="000000" w:themeColor="text1"/>
          <w14:textFill>
            <w14:solidFill>
              <w14:schemeClr w14:val="tx1"/>
            </w14:solidFill>
          </w14:textFill>
        </w:rPr>
        <w:t>起点至林泉段方案比选</w:t>
      </w:r>
    </w:p>
    <w:p w14:paraId="6674F8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K线：K线路线起于上迳镇牌边村（村落中部），起点（K0+000）与G324平交，自东向西以路堑穿越山体，终点（K0+619.766）至林泉，路线里程约0.620km，建安费约3773万元。</w:t>
      </w:r>
    </w:p>
    <w:p w14:paraId="414324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A线：A线路线起于上迳镇牌边村（村落南部现状中桥附近），起点（AK0+000）与G324平交，自东向西沿山展线，终点（K0+569.633）至林泉，路线里程约0.570km，建安费约2955万元。A线方案需拼宽G324现状桥梁，G324交通量大，施工期间交通组织困难，实施难度较大。</w:t>
      </w:r>
    </w:p>
    <w:p w14:paraId="1E45201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工程方案比选</w:t>
      </w:r>
    </w:p>
    <w:p w14:paraId="15173D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主要工程数量比</w:t>
      </w:r>
      <w:bookmarkStart w:id="214" w:name="hmcheck_85f61c4fdb3a433296ab8706828bdfb8"/>
      <w:r>
        <w:rPr>
          <w:rFonts w:hint="eastAsia"/>
          <w:color w:val="000000" w:themeColor="text1"/>
          <w:shd w:val="clear" w:fill="FFAFAA"/>
          <w14:textFill>
            <w14:solidFill>
              <w14:schemeClr w14:val="tx1"/>
            </w14:solidFill>
          </w14:textFill>
        </w:rPr>
        <w:t>较见</w:t>
      </w:r>
      <w:bookmarkEnd w:id="214"/>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_Ref152838207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，方案比选见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_Ref177714367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表3.1-3</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，方案比选线路图详见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_Ref193467784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000C086E">
      <w:pPr>
        <w:pStyle w:val="87"/>
        <w:spacing w:before="120"/>
        <w:ind w:left="480" w:firstLine="480"/>
        <w:rPr>
          <w:color w:val="000000" w:themeColor="text1"/>
          <w14:textFill>
            <w14:solidFill>
              <w14:schemeClr w14:val="tx1"/>
            </w14:solidFill>
          </w14:textFill>
        </w:rPr>
      </w:pPr>
      <w:bookmarkStart w:id="215" w:name="_Ref152838207"/>
      <w:r>
        <w:rPr>
          <w:rFonts w:hint="eastAsia"/>
          <w:color w:val="000000" w:themeColor="text1"/>
          <w14:textFill>
            <w14:solidFill>
              <w14:schemeClr w14:val="tx1"/>
            </w14:solidFill>
          </w14:textFill>
        </w:rPr>
        <w:t>比选方案主要工程数量及指标比较表</w:t>
      </w:r>
      <w:bookmarkEnd w:id="215"/>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780"/>
        <w:gridCol w:w="2249"/>
        <w:gridCol w:w="1097"/>
        <w:gridCol w:w="1740"/>
        <w:gridCol w:w="1740"/>
        <w:gridCol w:w="1684"/>
      </w:tblGrid>
      <w:tr w14:paraId="35A8ED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blHeader/>
        </w:trPr>
        <w:tc>
          <w:tcPr>
            <w:tcW w:w="420" w:type="pct"/>
            <w:tcBorders>
              <w:top w:val="single" w:color="auto" w:sz="12" w:space="0"/>
              <w:left w:val="nil"/>
              <w:bottom w:val="nil"/>
              <w:right w:val="single" w:color="auto" w:sz="6" w:space="0"/>
              <w:insideH w:val="nil"/>
              <w:insideV w:val="single" w:sz="6" w:space="0"/>
              <w:tl2br w:val="nil"/>
              <w:tr2bl w:val="nil"/>
            </w:tcBorders>
            <w:vAlign w:val="center"/>
          </w:tcPr>
          <w:p w14:paraId="162545A8">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序号</w:t>
            </w:r>
          </w:p>
        </w:tc>
        <w:tc>
          <w:tcPr>
            <w:tcW w:w="1210" w:type="pct"/>
            <w:tcBorders>
              <w:top w:val="single" w:color="auto" w:sz="12" w:space="0"/>
              <w:bottom w:val="nil"/>
              <w:right w:val="single" w:color="auto" w:sz="6" w:space="0"/>
              <w:insideH w:val="nil"/>
              <w:insideV w:val="single" w:sz="6" w:space="0"/>
              <w:tl2br w:val="nil"/>
              <w:tr2bl w:val="nil"/>
            </w:tcBorders>
            <w:vAlign w:val="center"/>
          </w:tcPr>
          <w:p w14:paraId="5E1FD3FB">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6"/>
                <w14:textFill>
                  <w14:solidFill>
                    <w14:schemeClr w14:val="tx1"/>
                  </w14:solidFill>
                </w14:textFill>
              </w:rPr>
              <w:t>工程项目</w:t>
            </w:r>
          </w:p>
        </w:tc>
        <w:tc>
          <w:tcPr>
            <w:tcW w:w="590" w:type="pct"/>
            <w:tcBorders>
              <w:top w:val="single" w:color="auto" w:sz="12" w:space="0"/>
              <w:bottom w:val="nil"/>
              <w:right w:val="single" w:color="auto" w:sz="6" w:space="0"/>
              <w:insideH w:val="nil"/>
              <w:insideV w:val="single" w:sz="6" w:space="0"/>
              <w:tl2br w:val="nil"/>
              <w:tr2bl w:val="nil"/>
            </w:tcBorders>
            <w:vAlign w:val="center"/>
          </w:tcPr>
          <w:p w14:paraId="7607D819">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3"/>
                <w14:textFill>
                  <w14:solidFill>
                    <w14:schemeClr w14:val="tx1"/>
                  </w14:solidFill>
                </w14:textFill>
              </w:rPr>
              <w:t>单位</w:t>
            </w:r>
          </w:p>
        </w:tc>
        <w:tc>
          <w:tcPr>
            <w:tcW w:w="936" w:type="pct"/>
            <w:tcBorders>
              <w:top w:val="single" w:color="auto" w:sz="12" w:space="0"/>
              <w:bottom w:val="nil"/>
              <w:right w:val="single" w:color="auto" w:sz="6" w:space="0"/>
              <w:insideH w:val="nil"/>
              <w:insideV w:val="single" w:sz="6" w:space="0"/>
              <w:tl2br w:val="nil"/>
              <w:tr2bl w:val="nil"/>
            </w:tcBorders>
            <w:vAlign w:val="center"/>
          </w:tcPr>
          <w:p w14:paraId="4A5BC155">
            <w:pPr>
              <w:pStyle w:val="105"/>
              <w:widowControl w:val="0"/>
              <w:jc w:val="center"/>
              <w:rPr>
                <w:rFonts w:eastAsia="New York"/>
                <w:color w:val="000000" w:themeColor="text1"/>
                <w14:textFill>
                  <w14:solidFill>
                    <w14:schemeClr w14:val="tx1"/>
                  </w14:solidFill>
                </w14:textFill>
              </w:rPr>
            </w:pPr>
            <w:r>
              <w:rPr>
                <w:rFonts w:eastAsia="New York"/>
                <w:color w:val="000000" w:themeColor="text1"/>
                <w:spacing w:val="4"/>
                <w14:textFill>
                  <w14:solidFill>
                    <w14:schemeClr w14:val="tx1"/>
                  </w14:solidFill>
                </w14:textFill>
              </w:rPr>
              <w:t>K</w:t>
            </w:r>
            <w:r>
              <w:rPr>
                <w:rFonts w:hint="eastAsia" w:ascii="宋体" w:hAnsi="宋体" w:eastAsia="宋体"/>
                <w:color w:val="000000" w:themeColor="text1"/>
                <w:spacing w:val="4"/>
                <w14:textFill>
                  <w14:solidFill>
                    <w14:schemeClr w14:val="tx1"/>
                  </w14:solidFill>
                </w14:textFill>
              </w:rPr>
              <w:t>线方案</w:t>
            </w:r>
          </w:p>
        </w:tc>
        <w:tc>
          <w:tcPr>
            <w:tcW w:w="936" w:type="pct"/>
            <w:tcBorders>
              <w:top w:val="single" w:color="auto" w:sz="12" w:space="0"/>
              <w:bottom w:val="nil"/>
              <w:right w:val="single" w:color="auto" w:sz="6" w:space="0"/>
              <w:insideH w:val="nil"/>
              <w:insideV w:val="single" w:sz="6" w:space="0"/>
              <w:tl2br w:val="nil"/>
              <w:tr2bl w:val="nil"/>
            </w:tcBorders>
            <w:vAlign w:val="center"/>
          </w:tcPr>
          <w:p w14:paraId="419CCA92">
            <w:pPr>
              <w:pStyle w:val="105"/>
              <w:widowControl w:val="0"/>
              <w:jc w:val="center"/>
              <w:rPr>
                <w:rFonts w:eastAsia="New York"/>
                <w:color w:val="000000" w:themeColor="text1"/>
                <w14:textFill>
                  <w14:solidFill>
                    <w14:schemeClr w14:val="tx1"/>
                  </w14:solidFill>
                </w14:textFill>
              </w:rPr>
            </w:pPr>
            <w:r>
              <w:rPr>
                <w:rFonts w:eastAsia="New York"/>
                <w:color w:val="000000" w:themeColor="text1"/>
                <w14:textFill>
                  <w14:solidFill>
                    <w14:schemeClr w14:val="tx1"/>
                  </w14:solidFill>
                </w14:textFill>
              </w:rPr>
              <w:t>A</w:t>
            </w:r>
            <w:r>
              <w:rPr>
                <w:rFonts w:hint="eastAsia" w:ascii="宋体" w:hAnsi="宋体" w:eastAsia="宋体"/>
                <w:color w:val="000000" w:themeColor="text1"/>
                <w14:textFill>
                  <w14:solidFill>
                    <w14:schemeClr w14:val="tx1"/>
                  </w14:solidFill>
                </w14:textFill>
              </w:rPr>
              <w:t>线方案</w:t>
            </w:r>
          </w:p>
        </w:tc>
        <w:tc>
          <w:tcPr>
            <w:tcW w:w="906" w:type="pct"/>
            <w:tcBorders>
              <w:top w:val="single" w:color="auto" w:sz="12" w:space="0"/>
              <w:bottom w:val="nil"/>
              <w:right w:val="nil"/>
              <w:insideH w:val="nil"/>
              <w:insideV w:val="single" w:sz="6" w:space="0"/>
              <w:tl2br w:val="nil"/>
              <w:tr2bl w:val="nil"/>
            </w:tcBorders>
            <w:vAlign w:val="center"/>
          </w:tcPr>
          <w:p w14:paraId="2A12C00B">
            <w:pPr>
              <w:pStyle w:val="105"/>
              <w:widowControl w:val="0"/>
              <w:jc w:val="center"/>
              <w:rPr>
                <w:rFonts w:eastAsia="New York"/>
                <w:color w:val="000000" w:themeColor="text1"/>
                <w14:textFill>
                  <w14:solidFill>
                    <w14:schemeClr w14:val="tx1"/>
                  </w14:solidFill>
                </w14:textFill>
              </w:rPr>
            </w:pPr>
            <w:r>
              <w:rPr>
                <w:rFonts w:eastAsia="New York"/>
                <w:color w:val="000000" w:themeColor="text1"/>
                <w14:textFill>
                  <w14:solidFill>
                    <w14:schemeClr w14:val="tx1"/>
                  </w14:solidFill>
                </w14:textFill>
              </w:rPr>
              <w:t>A-K</w:t>
            </w:r>
            <w:r>
              <w:rPr>
                <w:rFonts w:hint="eastAsia" w:ascii="宋体" w:hAnsi="宋体" w:eastAsia="宋体"/>
                <w:color w:val="000000" w:themeColor="text1"/>
                <w14:textFill>
                  <w14:solidFill>
                    <w14:schemeClr w14:val="tx1"/>
                  </w14:solidFill>
                </w14:textFill>
              </w:rPr>
              <w:t>线方案</w:t>
            </w:r>
          </w:p>
        </w:tc>
      </w:tr>
      <w:tr w14:paraId="7E9579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4FAFB0F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1210" w:type="pct"/>
            <w:vAlign w:val="center"/>
          </w:tcPr>
          <w:p w14:paraId="2B721E6F">
            <w:pPr>
              <w:pStyle w:val="105"/>
              <w:widowControl w:val="0"/>
              <w:jc w:val="center"/>
              <w:rPr>
                <w:color w:val="000000" w:themeColor="text1"/>
                <w14:textFill>
                  <w14:solidFill>
                    <w14:schemeClr w14:val="tx1"/>
                  </w14:solidFill>
                </w14:textFill>
              </w:rPr>
            </w:pPr>
            <w:r>
              <w:rPr>
                <w:color w:val="000000" w:themeColor="text1"/>
                <w:spacing w:val="6"/>
                <w14:textFill>
                  <w14:solidFill>
                    <w14:schemeClr w14:val="tx1"/>
                  </w14:solidFill>
                </w14:textFill>
              </w:rPr>
              <w:t>路线长度</w:t>
            </w:r>
          </w:p>
        </w:tc>
        <w:tc>
          <w:tcPr>
            <w:tcW w:w="590" w:type="pct"/>
            <w:vAlign w:val="center"/>
          </w:tcPr>
          <w:p w14:paraId="0859350A">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公里</w:t>
            </w:r>
          </w:p>
        </w:tc>
        <w:tc>
          <w:tcPr>
            <w:tcW w:w="936" w:type="pct"/>
            <w:vAlign w:val="center"/>
          </w:tcPr>
          <w:p w14:paraId="0C8A3265">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0.620</w:t>
            </w:r>
          </w:p>
        </w:tc>
        <w:tc>
          <w:tcPr>
            <w:tcW w:w="936" w:type="pct"/>
            <w:vAlign w:val="center"/>
          </w:tcPr>
          <w:p w14:paraId="5AD2A907">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0.570</w:t>
            </w:r>
          </w:p>
        </w:tc>
        <w:tc>
          <w:tcPr>
            <w:tcW w:w="906" w:type="pct"/>
            <w:vAlign w:val="center"/>
          </w:tcPr>
          <w:p w14:paraId="6501D235">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-0.05</w:t>
            </w:r>
          </w:p>
        </w:tc>
      </w:tr>
      <w:tr w14:paraId="2FEE07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325C21B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1210" w:type="pct"/>
            <w:vAlign w:val="center"/>
          </w:tcPr>
          <w:p w14:paraId="72C29228">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路基土石方</w:t>
            </w:r>
          </w:p>
        </w:tc>
        <w:tc>
          <w:tcPr>
            <w:tcW w:w="590" w:type="pct"/>
            <w:vAlign w:val="center"/>
          </w:tcPr>
          <w:p w14:paraId="1B8220AA">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10"/>
                <w:sz w:val="10"/>
                <w:szCs w:val="10"/>
                <w14:textFill>
                  <w14:solidFill>
                    <w14:schemeClr w14:val="tx1"/>
                  </w14:solidFill>
                </w14:textFill>
              </w:rPr>
              <w:t>3</w:t>
            </w:r>
          </w:p>
        </w:tc>
        <w:tc>
          <w:tcPr>
            <w:tcW w:w="936" w:type="pct"/>
            <w:vAlign w:val="center"/>
          </w:tcPr>
          <w:p w14:paraId="03146E2E">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359</w:t>
            </w:r>
          </w:p>
        </w:tc>
        <w:tc>
          <w:tcPr>
            <w:tcW w:w="936" w:type="pct"/>
            <w:vAlign w:val="center"/>
          </w:tcPr>
          <w:p w14:paraId="7CFB4AEE">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113.058</w:t>
            </w:r>
          </w:p>
        </w:tc>
        <w:tc>
          <w:tcPr>
            <w:tcW w:w="906" w:type="pct"/>
            <w:vAlign w:val="center"/>
          </w:tcPr>
          <w:p w14:paraId="350EC963">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-245.942</w:t>
            </w:r>
          </w:p>
        </w:tc>
      </w:tr>
      <w:tr w14:paraId="0BA627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0C5AAB1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1210" w:type="pct"/>
            <w:vAlign w:val="center"/>
          </w:tcPr>
          <w:p w14:paraId="67EFC076">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土方</w:t>
            </w:r>
          </w:p>
        </w:tc>
        <w:tc>
          <w:tcPr>
            <w:tcW w:w="590" w:type="pct"/>
            <w:vAlign w:val="center"/>
          </w:tcPr>
          <w:p w14:paraId="10B6AEC6">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10"/>
                <w:sz w:val="10"/>
                <w:szCs w:val="10"/>
                <w14:textFill>
                  <w14:solidFill>
                    <w14:schemeClr w14:val="tx1"/>
                  </w14:solidFill>
                </w14:textFill>
              </w:rPr>
              <w:t>3</w:t>
            </w:r>
          </w:p>
        </w:tc>
        <w:tc>
          <w:tcPr>
            <w:tcW w:w="936" w:type="pct"/>
            <w:vAlign w:val="center"/>
          </w:tcPr>
          <w:p w14:paraId="4ED2CA64">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251</w:t>
            </w:r>
          </w:p>
        </w:tc>
        <w:tc>
          <w:tcPr>
            <w:tcW w:w="936" w:type="pct"/>
            <w:vAlign w:val="center"/>
          </w:tcPr>
          <w:p w14:paraId="517FDD57">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79.141</w:t>
            </w:r>
          </w:p>
        </w:tc>
        <w:tc>
          <w:tcPr>
            <w:tcW w:w="906" w:type="pct"/>
            <w:vAlign w:val="center"/>
          </w:tcPr>
          <w:p w14:paraId="23B4A9F4">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-171.859</w:t>
            </w:r>
          </w:p>
        </w:tc>
      </w:tr>
      <w:tr w14:paraId="725CAA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0D1ED34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1210" w:type="pct"/>
            <w:vAlign w:val="center"/>
          </w:tcPr>
          <w:p w14:paraId="660409D7">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石方</w:t>
            </w:r>
          </w:p>
        </w:tc>
        <w:tc>
          <w:tcPr>
            <w:tcW w:w="590" w:type="pct"/>
            <w:vAlign w:val="center"/>
          </w:tcPr>
          <w:p w14:paraId="1F8716BF">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9"/>
                <w:sz w:val="10"/>
                <w:szCs w:val="10"/>
                <w14:textFill>
                  <w14:solidFill>
                    <w14:schemeClr w14:val="tx1"/>
                  </w14:solidFill>
                </w14:textFill>
              </w:rPr>
              <w:t>3</w:t>
            </w:r>
          </w:p>
        </w:tc>
        <w:tc>
          <w:tcPr>
            <w:tcW w:w="936" w:type="pct"/>
            <w:vAlign w:val="center"/>
          </w:tcPr>
          <w:p w14:paraId="6CB3647D">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108</w:t>
            </w:r>
          </w:p>
        </w:tc>
        <w:tc>
          <w:tcPr>
            <w:tcW w:w="936" w:type="pct"/>
            <w:vAlign w:val="center"/>
          </w:tcPr>
          <w:p w14:paraId="006A6B2D">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33.917</w:t>
            </w:r>
          </w:p>
        </w:tc>
        <w:tc>
          <w:tcPr>
            <w:tcW w:w="906" w:type="pct"/>
            <w:vAlign w:val="center"/>
          </w:tcPr>
          <w:p w14:paraId="4E7A65AE">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-74.083</w:t>
            </w:r>
          </w:p>
        </w:tc>
      </w:tr>
      <w:tr w14:paraId="2C60FA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3B59356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210" w:type="pct"/>
            <w:vAlign w:val="center"/>
          </w:tcPr>
          <w:p w14:paraId="3751AB2B">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排水与防护</w:t>
            </w:r>
          </w:p>
        </w:tc>
        <w:tc>
          <w:tcPr>
            <w:tcW w:w="590" w:type="pct"/>
            <w:vAlign w:val="center"/>
          </w:tcPr>
          <w:p w14:paraId="1559639C">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9"/>
                <w:sz w:val="10"/>
                <w:szCs w:val="10"/>
                <w14:textFill>
                  <w14:solidFill>
                    <w14:schemeClr w14:val="tx1"/>
                  </w14:solidFill>
                </w14:textFill>
              </w:rPr>
              <w:t>3</w:t>
            </w:r>
          </w:p>
        </w:tc>
        <w:tc>
          <w:tcPr>
            <w:tcW w:w="936" w:type="pct"/>
            <w:vAlign w:val="center"/>
          </w:tcPr>
          <w:p w14:paraId="2553AD1D">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5.2</w:t>
            </w:r>
          </w:p>
        </w:tc>
        <w:tc>
          <w:tcPr>
            <w:tcW w:w="936" w:type="pct"/>
            <w:vAlign w:val="center"/>
          </w:tcPr>
          <w:p w14:paraId="2B5CC62E">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4.9</w:t>
            </w:r>
          </w:p>
        </w:tc>
        <w:tc>
          <w:tcPr>
            <w:tcW w:w="906" w:type="pct"/>
            <w:vAlign w:val="center"/>
          </w:tcPr>
          <w:p w14:paraId="6E137A56">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-0.3</w:t>
            </w:r>
          </w:p>
        </w:tc>
      </w:tr>
      <w:tr w14:paraId="6A83B4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040564E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6</w:t>
            </w:r>
          </w:p>
        </w:tc>
        <w:tc>
          <w:tcPr>
            <w:tcW w:w="1210" w:type="pct"/>
            <w:vAlign w:val="center"/>
          </w:tcPr>
          <w:p w14:paraId="30F4AFBC">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沥青砼路面</w:t>
            </w:r>
          </w:p>
        </w:tc>
        <w:tc>
          <w:tcPr>
            <w:tcW w:w="590" w:type="pct"/>
            <w:vAlign w:val="center"/>
          </w:tcPr>
          <w:p w14:paraId="3C283A4E">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10"/>
                <w:sz w:val="10"/>
                <w:szCs w:val="10"/>
                <w14:textFill>
                  <w14:solidFill>
                    <w14:schemeClr w14:val="tx1"/>
                  </w14:solidFill>
                </w14:textFill>
              </w:rPr>
              <w:t>2</w:t>
            </w:r>
          </w:p>
        </w:tc>
        <w:tc>
          <w:tcPr>
            <w:tcW w:w="936" w:type="pct"/>
            <w:vAlign w:val="center"/>
          </w:tcPr>
          <w:p w14:paraId="2512E03F">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8.6</w:t>
            </w:r>
          </w:p>
        </w:tc>
        <w:tc>
          <w:tcPr>
            <w:tcW w:w="936" w:type="pct"/>
            <w:vAlign w:val="center"/>
          </w:tcPr>
          <w:p w14:paraId="7559E9B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7.9</w:t>
            </w:r>
          </w:p>
        </w:tc>
        <w:tc>
          <w:tcPr>
            <w:tcW w:w="906" w:type="pct"/>
            <w:vAlign w:val="center"/>
          </w:tcPr>
          <w:p w14:paraId="49A4A26C">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-0.7</w:t>
            </w:r>
          </w:p>
        </w:tc>
      </w:tr>
      <w:tr w14:paraId="7B437B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515F667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7</w:t>
            </w:r>
          </w:p>
        </w:tc>
        <w:tc>
          <w:tcPr>
            <w:tcW w:w="1210" w:type="pct"/>
            <w:vAlign w:val="center"/>
          </w:tcPr>
          <w:p w14:paraId="7CBEBD2C">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桥梁</w:t>
            </w:r>
          </w:p>
        </w:tc>
        <w:tc>
          <w:tcPr>
            <w:tcW w:w="590" w:type="pct"/>
            <w:vAlign w:val="center"/>
          </w:tcPr>
          <w:p w14:paraId="3D6BD9F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m/座</w:t>
            </w:r>
          </w:p>
        </w:tc>
        <w:tc>
          <w:tcPr>
            <w:tcW w:w="936" w:type="pct"/>
            <w:vAlign w:val="center"/>
          </w:tcPr>
          <w:p w14:paraId="2BE2521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936" w:type="pct"/>
            <w:vAlign w:val="center"/>
          </w:tcPr>
          <w:p w14:paraId="564B2ED1">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50/1</w:t>
            </w:r>
          </w:p>
        </w:tc>
        <w:tc>
          <w:tcPr>
            <w:tcW w:w="906" w:type="pct"/>
            <w:vAlign w:val="center"/>
          </w:tcPr>
          <w:p w14:paraId="3A66423F">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50</w:t>
            </w:r>
          </w:p>
        </w:tc>
      </w:tr>
      <w:tr w14:paraId="4CC1F3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041DEF4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8</w:t>
            </w:r>
          </w:p>
        </w:tc>
        <w:tc>
          <w:tcPr>
            <w:tcW w:w="1210" w:type="pct"/>
            <w:vAlign w:val="center"/>
          </w:tcPr>
          <w:p w14:paraId="3A51588B">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涵洞</w:t>
            </w:r>
          </w:p>
        </w:tc>
        <w:tc>
          <w:tcPr>
            <w:tcW w:w="590" w:type="pct"/>
            <w:vAlign w:val="center"/>
          </w:tcPr>
          <w:p w14:paraId="7CB9A28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m/道</w:t>
            </w:r>
          </w:p>
        </w:tc>
        <w:tc>
          <w:tcPr>
            <w:tcW w:w="936" w:type="pct"/>
            <w:vAlign w:val="center"/>
          </w:tcPr>
          <w:p w14:paraId="48A8AE5F">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17/1</w:t>
            </w:r>
          </w:p>
        </w:tc>
        <w:tc>
          <w:tcPr>
            <w:tcW w:w="936" w:type="pct"/>
            <w:vAlign w:val="center"/>
          </w:tcPr>
          <w:p w14:paraId="083B302E">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17/1</w:t>
            </w:r>
          </w:p>
        </w:tc>
        <w:tc>
          <w:tcPr>
            <w:tcW w:w="906" w:type="pct"/>
            <w:vAlign w:val="center"/>
          </w:tcPr>
          <w:p w14:paraId="161A16E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0</w:t>
            </w:r>
          </w:p>
        </w:tc>
      </w:tr>
      <w:tr w14:paraId="69B81F9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0934D9E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9</w:t>
            </w:r>
          </w:p>
        </w:tc>
        <w:tc>
          <w:tcPr>
            <w:tcW w:w="1210" w:type="pct"/>
            <w:vAlign w:val="center"/>
          </w:tcPr>
          <w:p w14:paraId="6CB7C955">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渡槽</w:t>
            </w:r>
          </w:p>
        </w:tc>
        <w:tc>
          <w:tcPr>
            <w:tcW w:w="590" w:type="pct"/>
            <w:vAlign w:val="center"/>
          </w:tcPr>
          <w:p w14:paraId="3F60D44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m/道</w:t>
            </w:r>
          </w:p>
        </w:tc>
        <w:tc>
          <w:tcPr>
            <w:tcW w:w="936" w:type="pct"/>
            <w:vAlign w:val="center"/>
          </w:tcPr>
          <w:p w14:paraId="10BD3C42">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40/1</w:t>
            </w:r>
          </w:p>
        </w:tc>
        <w:tc>
          <w:tcPr>
            <w:tcW w:w="936" w:type="pct"/>
            <w:vAlign w:val="center"/>
          </w:tcPr>
          <w:p w14:paraId="14E4C679">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40/1</w:t>
            </w:r>
          </w:p>
        </w:tc>
        <w:tc>
          <w:tcPr>
            <w:tcW w:w="906" w:type="pct"/>
            <w:vAlign w:val="center"/>
          </w:tcPr>
          <w:p w14:paraId="5134779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0</w:t>
            </w:r>
          </w:p>
        </w:tc>
      </w:tr>
      <w:tr w14:paraId="38AD44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0C77E51B">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10</w:t>
            </w:r>
          </w:p>
        </w:tc>
        <w:tc>
          <w:tcPr>
            <w:tcW w:w="1210" w:type="pct"/>
            <w:vAlign w:val="center"/>
          </w:tcPr>
          <w:p w14:paraId="14B064D5">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改路</w:t>
            </w:r>
          </w:p>
        </w:tc>
        <w:tc>
          <w:tcPr>
            <w:tcW w:w="590" w:type="pct"/>
            <w:vAlign w:val="center"/>
          </w:tcPr>
          <w:p w14:paraId="6ADA48F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米</w:t>
            </w:r>
          </w:p>
        </w:tc>
        <w:tc>
          <w:tcPr>
            <w:tcW w:w="936" w:type="pct"/>
            <w:vAlign w:val="center"/>
          </w:tcPr>
          <w:p w14:paraId="6237F0EB">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247</w:t>
            </w:r>
          </w:p>
        </w:tc>
        <w:tc>
          <w:tcPr>
            <w:tcW w:w="936" w:type="pct"/>
            <w:vAlign w:val="center"/>
          </w:tcPr>
          <w:p w14:paraId="58289963">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223</w:t>
            </w:r>
          </w:p>
        </w:tc>
        <w:tc>
          <w:tcPr>
            <w:tcW w:w="906" w:type="pct"/>
            <w:vAlign w:val="center"/>
          </w:tcPr>
          <w:p w14:paraId="2949FC6C">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-24</w:t>
            </w:r>
          </w:p>
        </w:tc>
      </w:tr>
      <w:tr w14:paraId="0F5CA0F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25DAD3BE">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11</w:t>
            </w:r>
          </w:p>
        </w:tc>
        <w:tc>
          <w:tcPr>
            <w:tcW w:w="1210" w:type="pct"/>
            <w:vAlign w:val="center"/>
          </w:tcPr>
          <w:p w14:paraId="5D92D48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改河、渠</w:t>
            </w:r>
          </w:p>
        </w:tc>
        <w:tc>
          <w:tcPr>
            <w:tcW w:w="590" w:type="pct"/>
            <w:vAlign w:val="center"/>
          </w:tcPr>
          <w:p w14:paraId="4C98E92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米</w:t>
            </w:r>
          </w:p>
        </w:tc>
        <w:tc>
          <w:tcPr>
            <w:tcW w:w="936" w:type="pct"/>
            <w:vAlign w:val="center"/>
          </w:tcPr>
          <w:p w14:paraId="1D8060DA">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260</w:t>
            </w:r>
          </w:p>
        </w:tc>
        <w:tc>
          <w:tcPr>
            <w:tcW w:w="936" w:type="pct"/>
            <w:vAlign w:val="center"/>
          </w:tcPr>
          <w:p w14:paraId="23A033B0">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534</w:t>
            </w:r>
          </w:p>
        </w:tc>
        <w:tc>
          <w:tcPr>
            <w:tcW w:w="906" w:type="pct"/>
            <w:vAlign w:val="center"/>
          </w:tcPr>
          <w:p w14:paraId="6ACF1C42">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274</w:t>
            </w:r>
          </w:p>
        </w:tc>
      </w:tr>
      <w:tr w14:paraId="217430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66180AD6">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12</w:t>
            </w:r>
          </w:p>
        </w:tc>
        <w:tc>
          <w:tcPr>
            <w:tcW w:w="1210" w:type="pct"/>
            <w:vAlign w:val="center"/>
          </w:tcPr>
          <w:p w14:paraId="54CA404C">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拆迁房屋</w:t>
            </w:r>
          </w:p>
        </w:tc>
        <w:tc>
          <w:tcPr>
            <w:tcW w:w="590" w:type="pct"/>
            <w:vAlign w:val="center"/>
          </w:tcPr>
          <w:p w14:paraId="22E264B4">
            <w:pPr>
              <w:pStyle w:val="105"/>
              <w:widowControl w:val="0"/>
              <w:jc w:val="center"/>
              <w:rPr>
                <w:color w:val="000000" w:themeColor="text1"/>
                <w:sz w:val="10"/>
                <w:szCs w:val="10"/>
                <w14:textFill>
                  <w14:solidFill>
                    <w14:schemeClr w14:val="tx1"/>
                  </w14:solidFill>
                </w14:textFill>
              </w:rPr>
            </w:pPr>
            <w:r>
              <w:rPr>
                <w:color w:val="000000" w:themeColor="text1"/>
                <w:spacing w:val="1"/>
                <w:position w:val="-1"/>
                <w14:textFill>
                  <w14:solidFill>
                    <w14:schemeClr w14:val="tx1"/>
                  </w14:solidFill>
                </w14:textFill>
              </w:rPr>
              <w:t>m</w:t>
            </w:r>
            <w:r>
              <w:rPr>
                <w:color w:val="000000" w:themeColor="text1"/>
                <w:spacing w:val="1"/>
                <w:position w:val="9"/>
                <w:sz w:val="10"/>
                <w:szCs w:val="10"/>
                <w14:textFill>
                  <w14:solidFill>
                    <w14:schemeClr w14:val="tx1"/>
                  </w14:solidFill>
                </w14:textFill>
              </w:rPr>
              <w:t>2</w:t>
            </w:r>
          </w:p>
        </w:tc>
        <w:tc>
          <w:tcPr>
            <w:tcW w:w="936" w:type="pct"/>
            <w:vAlign w:val="center"/>
          </w:tcPr>
          <w:p w14:paraId="55E23EE5">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1162/2栋</w:t>
            </w:r>
          </w:p>
        </w:tc>
        <w:tc>
          <w:tcPr>
            <w:tcW w:w="936" w:type="pct"/>
            <w:vAlign w:val="center"/>
          </w:tcPr>
          <w:p w14:paraId="25F2C75A">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755/2栋</w:t>
            </w:r>
          </w:p>
        </w:tc>
        <w:tc>
          <w:tcPr>
            <w:tcW w:w="906" w:type="pct"/>
            <w:vAlign w:val="center"/>
          </w:tcPr>
          <w:p w14:paraId="3346940D">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-407</w:t>
            </w:r>
          </w:p>
        </w:tc>
      </w:tr>
      <w:tr w14:paraId="3C559A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24DA207C">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13</w:t>
            </w:r>
          </w:p>
        </w:tc>
        <w:tc>
          <w:tcPr>
            <w:tcW w:w="1210" w:type="pct"/>
            <w:vAlign w:val="center"/>
          </w:tcPr>
          <w:p w14:paraId="6DE3D991">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拆迁电杆</w:t>
            </w:r>
          </w:p>
        </w:tc>
        <w:tc>
          <w:tcPr>
            <w:tcW w:w="590" w:type="pct"/>
            <w:vAlign w:val="center"/>
          </w:tcPr>
          <w:p w14:paraId="13016137">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公里</w:t>
            </w:r>
          </w:p>
        </w:tc>
        <w:tc>
          <w:tcPr>
            <w:tcW w:w="936" w:type="pct"/>
            <w:vAlign w:val="center"/>
          </w:tcPr>
          <w:p w14:paraId="70F5D262">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0.6</w:t>
            </w:r>
          </w:p>
        </w:tc>
        <w:tc>
          <w:tcPr>
            <w:tcW w:w="936" w:type="pct"/>
            <w:vAlign w:val="center"/>
          </w:tcPr>
          <w:p w14:paraId="0D7EA4AD">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0.6</w:t>
            </w:r>
          </w:p>
        </w:tc>
        <w:tc>
          <w:tcPr>
            <w:tcW w:w="906" w:type="pct"/>
            <w:vAlign w:val="center"/>
          </w:tcPr>
          <w:p w14:paraId="40E2213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0</w:t>
            </w:r>
          </w:p>
        </w:tc>
      </w:tr>
      <w:tr w14:paraId="12EDB1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63DB5641">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14</w:t>
            </w:r>
          </w:p>
        </w:tc>
        <w:tc>
          <w:tcPr>
            <w:tcW w:w="1210" w:type="pct"/>
            <w:vAlign w:val="center"/>
          </w:tcPr>
          <w:p w14:paraId="0B946097">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征地</w:t>
            </w:r>
          </w:p>
        </w:tc>
        <w:tc>
          <w:tcPr>
            <w:tcW w:w="590" w:type="pct"/>
            <w:vAlign w:val="center"/>
          </w:tcPr>
          <w:p w14:paraId="79FA13B5">
            <w:pPr>
              <w:pStyle w:val="105"/>
              <w:widowControl w:val="0"/>
              <w:jc w:val="center"/>
              <w:rPr>
                <w:color w:val="000000" w:themeColor="text1"/>
                <w14:textFill>
                  <w14:solidFill>
                    <w14:schemeClr w14:val="tx1"/>
                  </w14:solidFill>
                </w14:textFill>
              </w:rPr>
            </w:pPr>
            <w:r>
              <w:rPr>
                <w:rFonts w:hint="eastAsia"/>
                <w:color w:val="000000" w:themeColor="text1"/>
                <w:spacing w:val="1"/>
                <w:position w:val="-1"/>
                <w14:textFill>
                  <w14:solidFill>
                    <w14:schemeClr w14:val="tx1"/>
                  </w14:solidFill>
                </w14:textFill>
              </w:rPr>
              <w:t>h</w:t>
            </w:r>
            <w:r>
              <w:rPr>
                <w:color w:val="000000" w:themeColor="text1"/>
                <w:spacing w:val="1"/>
                <w:position w:val="-1"/>
                <w14:textFill>
                  <w14:solidFill>
                    <w14:schemeClr w14:val="tx1"/>
                  </w14:solidFill>
                </w14:textFill>
              </w:rPr>
              <w:t>m</w:t>
            </w:r>
            <w:r>
              <w:rPr>
                <w:color w:val="000000" w:themeColor="text1"/>
                <w:spacing w:val="1"/>
                <w:position w:val="9"/>
                <w:sz w:val="10"/>
                <w:szCs w:val="10"/>
                <w14:textFill>
                  <w14:solidFill>
                    <w14:schemeClr w14:val="tx1"/>
                  </w14:solidFill>
                </w14:textFill>
              </w:rPr>
              <w:t>2</w:t>
            </w:r>
          </w:p>
        </w:tc>
        <w:tc>
          <w:tcPr>
            <w:tcW w:w="936" w:type="pct"/>
            <w:vAlign w:val="center"/>
          </w:tcPr>
          <w:p w14:paraId="73A9415C">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2.31</w:t>
            </w:r>
          </w:p>
        </w:tc>
        <w:tc>
          <w:tcPr>
            <w:tcW w:w="936" w:type="pct"/>
            <w:vAlign w:val="center"/>
          </w:tcPr>
          <w:p w14:paraId="46BD35EB">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2.12</w:t>
            </w:r>
          </w:p>
        </w:tc>
        <w:tc>
          <w:tcPr>
            <w:tcW w:w="906" w:type="pct"/>
            <w:vAlign w:val="center"/>
          </w:tcPr>
          <w:p w14:paraId="4EF8CB5D">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-0.19</w:t>
            </w:r>
          </w:p>
        </w:tc>
      </w:tr>
      <w:tr w14:paraId="5B85BB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3544FC10">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15</w:t>
            </w:r>
          </w:p>
        </w:tc>
        <w:tc>
          <w:tcPr>
            <w:tcW w:w="1210" w:type="pct"/>
            <w:vAlign w:val="center"/>
          </w:tcPr>
          <w:p w14:paraId="24B990F4">
            <w:pPr>
              <w:pStyle w:val="105"/>
              <w:widowControl w:val="0"/>
              <w:jc w:val="center"/>
              <w:rPr>
                <w:color w:val="000000" w:themeColor="text1"/>
                <w14:textFill>
                  <w14:solidFill>
                    <w14:schemeClr w14:val="tx1"/>
                  </w14:solidFill>
                </w14:textFill>
              </w:rPr>
            </w:pPr>
            <w:r>
              <w:rPr>
                <w:color w:val="000000" w:themeColor="text1"/>
                <w:spacing w:val="6"/>
                <w14:textFill>
                  <w14:solidFill>
                    <w14:schemeClr w14:val="tx1"/>
                  </w14:solidFill>
                </w14:textFill>
              </w:rPr>
              <w:t>建安费</w:t>
            </w:r>
          </w:p>
        </w:tc>
        <w:tc>
          <w:tcPr>
            <w:tcW w:w="590" w:type="pct"/>
            <w:vAlign w:val="center"/>
          </w:tcPr>
          <w:p w14:paraId="609644AB">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936" w:type="pct"/>
            <w:vAlign w:val="center"/>
          </w:tcPr>
          <w:p w14:paraId="3D86091F">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3773.2575</w:t>
            </w:r>
          </w:p>
        </w:tc>
        <w:tc>
          <w:tcPr>
            <w:tcW w:w="936" w:type="pct"/>
            <w:vAlign w:val="center"/>
          </w:tcPr>
          <w:p w14:paraId="15DFF0E1">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2954.9017</w:t>
            </w:r>
          </w:p>
        </w:tc>
        <w:tc>
          <w:tcPr>
            <w:tcW w:w="906" w:type="pct"/>
            <w:vAlign w:val="center"/>
          </w:tcPr>
          <w:p w14:paraId="3CC4D026">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-818.3558</w:t>
            </w:r>
          </w:p>
        </w:tc>
      </w:tr>
      <w:tr w14:paraId="28757B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12CFACD9">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16</w:t>
            </w:r>
          </w:p>
        </w:tc>
        <w:tc>
          <w:tcPr>
            <w:tcW w:w="1210" w:type="pct"/>
            <w:vAlign w:val="center"/>
          </w:tcPr>
          <w:p w14:paraId="366A9528">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平均每公里建安费</w:t>
            </w:r>
          </w:p>
        </w:tc>
        <w:tc>
          <w:tcPr>
            <w:tcW w:w="590" w:type="pct"/>
            <w:vAlign w:val="center"/>
          </w:tcPr>
          <w:p w14:paraId="13A397D0">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936" w:type="pct"/>
            <w:vAlign w:val="center"/>
          </w:tcPr>
          <w:p w14:paraId="4AF37F24">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6085.8992</w:t>
            </w:r>
          </w:p>
        </w:tc>
        <w:tc>
          <w:tcPr>
            <w:tcW w:w="936" w:type="pct"/>
            <w:vAlign w:val="center"/>
          </w:tcPr>
          <w:p w14:paraId="40A16A22">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5184.0381</w:t>
            </w:r>
          </w:p>
        </w:tc>
        <w:tc>
          <w:tcPr>
            <w:tcW w:w="906" w:type="pct"/>
            <w:vAlign w:val="center"/>
          </w:tcPr>
          <w:p w14:paraId="59E00461">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-901.8611</w:t>
            </w:r>
          </w:p>
        </w:tc>
      </w:tr>
      <w:tr w14:paraId="729F45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18CC4637">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17</w:t>
            </w:r>
          </w:p>
        </w:tc>
        <w:tc>
          <w:tcPr>
            <w:tcW w:w="1210" w:type="pct"/>
            <w:vAlign w:val="center"/>
          </w:tcPr>
          <w:p w14:paraId="46C36B3F">
            <w:pPr>
              <w:pStyle w:val="105"/>
              <w:widowControl w:val="0"/>
              <w:jc w:val="center"/>
              <w:rPr>
                <w:color w:val="000000" w:themeColor="text1"/>
                <w14:textFill>
                  <w14:solidFill>
                    <w14:schemeClr w14:val="tx1"/>
                  </w14:solidFill>
                </w14:textFill>
              </w:rPr>
            </w:pPr>
            <w:r>
              <w:rPr>
                <w:color w:val="000000" w:themeColor="text1"/>
                <w:spacing w:val="6"/>
                <w14:textFill>
                  <w14:solidFill>
                    <w14:schemeClr w14:val="tx1"/>
                  </w14:solidFill>
                </w14:textFill>
              </w:rPr>
              <w:t>投资估算</w:t>
            </w:r>
          </w:p>
        </w:tc>
        <w:tc>
          <w:tcPr>
            <w:tcW w:w="590" w:type="pct"/>
            <w:vAlign w:val="center"/>
          </w:tcPr>
          <w:p w14:paraId="69D2587E">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936" w:type="pct"/>
            <w:vAlign w:val="center"/>
          </w:tcPr>
          <w:p w14:paraId="45682A98">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6043.0829</w:t>
            </w:r>
          </w:p>
        </w:tc>
        <w:tc>
          <w:tcPr>
            <w:tcW w:w="936" w:type="pct"/>
            <w:vAlign w:val="center"/>
          </w:tcPr>
          <w:p w14:paraId="212907A4">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4803.1517</w:t>
            </w:r>
          </w:p>
        </w:tc>
        <w:tc>
          <w:tcPr>
            <w:tcW w:w="906" w:type="pct"/>
            <w:vAlign w:val="center"/>
          </w:tcPr>
          <w:p w14:paraId="52122C2B">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-1239.9312</w:t>
            </w:r>
          </w:p>
        </w:tc>
      </w:tr>
      <w:tr w14:paraId="7B28D7B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20" w:type="pct"/>
            <w:vAlign w:val="center"/>
          </w:tcPr>
          <w:p w14:paraId="4B620933">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18</w:t>
            </w:r>
          </w:p>
        </w:tc>
        <w:tc>
          <w:tcPr>
            <w:tcW w:w="1210" w:type="pct"/>
            <w:vAlign w:val="center"/>
          </w:tcPr>
          <w:p w14:paraId="1761FE12">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平均每公里造价</w:t>
            </w:r>
          </w:p>
        </w:tc>
        <w:tc>
          <w:tcPr>
            <w:tcW w:w="590" w:type="pct"/>
            <w:vAlign w:val="center"/>
          </w:tcPr>
          <w:p w14:paraId="0890BD91">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936" w:type="pct"/>
            <w:vAlign w:val="center"/>
          </w:tcPr>
          <w:p w14:paraId="52006E54">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9746.9080</w:t>
            </w:r>
          </w:p>
        </w:tc>
        <w:tc>
          <w:tcPr>
            <w:tcW w:w="936" w:type="pct"/>
            <w:vAlign w:val="center"/>
          </w:tcPr>
          <w:p w14:paraId="4F930637">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8426.5819</w:t>
            </w:r>
          </w:p>
        </w:tc>
        <w:tc>
          <w:tcPr>
            <w:tcW w:w="906" w:type="pct"/>
            <w:vAlign w:val="center"/>
          </w:tcPr>
          <w:p w14:paraId="66CE6C21">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-1320.3261</w:t>
            </w:r>
          </w:p>
        </w:tc>
      </w:tr>
    </w:tbl>
    <w:p w14:paraId="3E92AC41">
      <w:pPr>
        <w:pStyle w:val="87"/>
        <w:spacing w:before="120"/>
        <w:ind w:left="480" w:firstLine="480"/>
        <w:rPr>
          <w:color w:val="000000" w:themeColor="text1"/>
          <w14:textFill>
            <w14:solidFill>
              <w14:schemeClr w14:val="tx1"/>
            </w14:solidFill>
          </w14:textFill>
        </w:rPr>
      </w:pPr>
      <w:bookmarkStart w:id="216" w:name="_Ref177714367"/>
      <w:bookmarkStart w:id="217" w:name="_Ref152838211"/>
      <w:r>
        <w:rPr>
          <w:rFonts w:hint="eastAsia"/>
          <w:color w:val="000000" w:themeColor="text1"/>
          <w14:textFill>
            <w14:solidFill>
              <w14:schemeClr w14:val="tx1"/>
            </w14:solidFill>
          </w14:textFill>
        </w:rPr>
        <w:t>方案工程比选一览表</w:t>
      </w:r>
      <w:bookmarkEnd w:id="216"/>
      <w:bookmarkEnd w:id="217"/>
    </w:p>
    <w:tbl>
      <w:tblPr>
        <w:tblStyle w:val="1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851"/>
        <w:gridCol w:w="2835"/>
        <w:gridCol w:w="4665"/>
      </w:tblGrid>
      <w:tr w14:paraId="2DD449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4CA97ED3">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序号</w:t>
            </w:r>
          </w:p>
        </w:tc>
        <w:tc>
          <w:tcPr>
            <w:tcW w:w="851" w:type="dxa"/>
            <w:vAlign w:val="center"/>
          </w:tcPr>
          <w:p w14:paraId="4287736E">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优缺点</w:t>
            </w:r>
          </w:p>
        </w:tc>
        <w:tc>
          <w:tcPr>
            <w:tcW w:w="2835" w:type="dxa"/>
            <w:vAlign w:val="center"/>
          </w:tcPr>
          <w:p w14:paraId="323FC57F">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K线方案</w:t>
            </w:r>
          </w:p>
        </w:tc>
        <w:tc>
          <w:tcPr>
            <w:tcW w:w="4665" w:type="dxa"/>
            <w:vAlign w:val="center"/>
          </w:tcPr>
          <w:p w14:paraId="03B2D246">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A线</w:t>
            </w:r>
          </w:p>
        </w:tc>
      </w:tr>
      <w:tr w14:paraId="41AECA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2" w:hRule="atLeast"/>
          <w:jc w:val="center"/>
        </w:trPr>
        <w:tc>
          <w:tcPr>
            <w:tcW w:w="709" w:type="dxa"/>
            <w:vAlign w:val="center"/>
          </w:tcPr>
          <w:p w14:paraId="30C5F910">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1</w:t>
            </w:r>
          </w:p>
        </w:tc>
        <w:tc>
          <w:tcPr>
            <w:tcW w:w="851" w:type="dxa"/>
            <w:vAlign w:val="center"/>
          </w:tcPr>
          <w:p w14:paraId="79CC1C2F">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优点</w:t>
            </w:r>
          </w:p>
        </w:tc>
        <w:tc>
          <w:tcPr>
            <w:tcW w:w="2835" w:type="dxa"/>
            <w:vAlign w:val="center"/>
          </w:tcPr>
          <w:p w14:paraId="02DCB162">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①</w:t>
            </w:r>
            <w:r>
              <w:rPr>
                <w:snapToGrid w:val="0"/>
                <w:color w:val="000000" w:themeColor="text1"/>
                <w:spacing w:val="-19"/>
                <w:sz w:val="18"/>
                <w:szCs w:val="18"/>
                <w14:textFill>
                  <w14:solidFill>
                    <w14:schemeClr w14:val="tx1"/>
                  </w14:solidFill>
                </w14:textFill>
              </w:rPr>
              <w:t xml:space="preserve"> </w:t>
            </w:r>
            <w:r>
              <w:rPr>
                <w:snapToGrid w:val="0"/>
                <w:color w:val="000000" w:themeColor="text1"/>
                <w:sz w:val="18"/>
                <w:szCs w:val="18"/>
                <w14:textFill>
                  <w14:solidFill>
                    <w14:schemeClr w14:val="tx1"/>
                  </w14:solidFill>
                </w14:textFill>
              </w:rPr>
              <w:t>符合地方主管部门的意见；</w:t>
            </w:r>
          </w:p>
          <w:p w14:paraId="68A01E65">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②</w:t>
            </w:r>
            <w:r>
              <w:rPr>
                <w:snapToGrid w:val="0"/>
                <w:color w:val="000000" w:themeColor="text1"/>
                <w:sz w:val="18"/>
                <w:szCs w:val="18"/>
                <w14:textFill>
                  <w14:solidFill>
                    <w14:schemeClr w14:val="tx1"/>
                  </w14:solidFill>
                </w14:textFill>
              </w:rPr>
              <w:t>路线线形指标较好（R=350</w:t>
            </w:r>
            <w:r>
              <w:rPr>
                <w:snapToGrid w:val="0"/>
                <w:color w:val="000000" w:themeColor="text1"/>
                <w:spacing w:val="1"/>
                <w:sz w:val="18"/>
                <w:szCs w:val="18"/>
                <w14:textFill>
                  <w14:solidFill>
                    <w14:schemeClr w14:val="tx1"/>
                  </w14:solidFill>
                </w14:textFill>
              </w:rPr>
              <w:t>）；</w:t>
            </w:r>
          </w:p>
          <w:p w14:paraId="7108078A">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③</w:t>
            </w:r>
            <w:r>
              <w:rPr>
                <w:snapToGrid w:val="0"/>
                <w:color w:val="000000" w:themeColor="text1"/>
                <w:sz w:val="18"/>
                <w:szCs w:val="18"/>
                <w14:textFill>
                  <w14:solidFill>
                    <w14:schemeClr w14:val="tx1"/>
                  </w14:solidFill>
                </w14:textFill>
              </w:rPr>
              <w:t>对现状排洪渠影响较小，仅需新建渡槽跨越本项目；</w:t>
            </w:r>
          </w:p>
        </w:tc>
        <w:tc>
          <w:tcPr>
            <w:tcW w:w="4665" w:type="dxa"/>
            <w:vAlign w:val="center"/>
          </w:tcPr>
          <w:p w14:paraId="7A134E95">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①沿山展线，工程规模较小；</w:t>
            </w:r>
          </w:p>
          <w:p w14:paraId="34F17F4F">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②对东张福渠影响范围较小（约 210m）；</w:t>
            </w:r>
          </w:p>
          <w:p w14:paraId="2110248F">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③造价较低，建安费约 2955 万元</w:t>
            </w:r>
          </w:p>
          <w:p w14:paraId="797D9122">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④ 需对泄洪道进行改线，难度极大。</w:t>
            </w:r>
          </w:p>
        </w:tc>
      </w:tr>
      <w:tr w14:paraId="3F603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7C79C44C">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2</w:t>
            </w:r>
          </w:p>
        </w:tc>
        <w:tc>
          <w:tcPr>
            <w:tcW w:w="851" w:type="dxa"/>
            <w:vAlign w:val="center"/>
          </w:tcPr>
          <w:p w14:paraId="3B5115A4">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缺点</w:t>
            </w:r>
          </w:p>
        </w:tc>
        <w:tc>
          <w:tcPr>
            <w:tcW w:w="2835" w:type="dxa"/>
            <w:vAlign w:val="center"/>
          </w:tcPr>
          <w:p w14:paraId="38D4F474">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①</w:t>
            </w:r>
            <w:r>
              <w:rPr>
                <w:snapToGrid w:val="0"/>
                <w:color w:val="000000" w:themeColor="text1"/>
                <w:sz w:val="18"/>
                <w:szCs w:val="18"/>
                <w14:textFill>
                  <w14:solidFill>
                    <w14:schemeClr w14:val="tx1"/>
                  </w14:solidFill>
                </w14:textFill>
              </w:rPr>
              <w:t>工程规模较大，挖方量较大；</w:t>
            </w:r>
          </w:p>
          <w:p w14:paraId="085CA993">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②</w:t>
            </w:r>
            <w:r>
              <w:rPr>
                <w:snapToGrid w:val="0"/>
                <w:color w:val="000000" w:themeColor="text1"/>
                <w:spacing w:val="-23"/>
                <w:sz w:val="18"/>
                <w:szCs w:val="18"/>
                <w14:textFill>
                  <w14:solidFill>
                    <w14:schemeClr w14:val="tx1"/>
                  </w14:solidFill>
                </w14:textFill>
              </w:rPr>
              <w:t xml:space="preserve"> </w:t>
            </w:r>
            <w:r>
              <w:rPr>
                <w:snapToGrid w:val="0"/>
                <w:color w:val="000000" w:themeColor="text1"/>
                <w:sz w:val="18"/>
                <w:szCs w:val="18"/>
                <w14:textFill>
                  <w14:solidFill>
                    <w14:schemeClr w14:val="tx1"/>
                  </w14:solidFill>
                </w14:textFill>
              </w:rPr>
              <w:t>对东张福渠影响范围更大（约</w:t>
            </w:r>
            <w:r>
              <w:rPr>
                <w:snapToGrid w:val="0"/>
                <w:color w:val="000000" w:themeColor="text1"/>
                <w:spacing w:val="-34"/>
                <w:sz w:val="18"/>
                <w:szCs w:val="18"/>
                <w14:textFill>
                  <w14:solidFill>
                    <w14:schemeClr w14:val="tx1"/>
                  </w14:solidFill>
                </w14:textFill>
              </w:rPr>
              <w:t xml:space="preserve"> </w:t>
            </w:r>
            <w:r>
              <w:rPr>
                <w:snapToGrid w:val="0"/>
                <w:color w:val="000000" w:themeColor="text1"/>
                <w:sz w:val="18"/>
                <w:szCs w:val="18"/>
                <w14:textFill>
                  <w14:solidFill>
                    <w14:schemeClr w14:val="tx1"/>
                  </w14:solidFill>
                </w14:textFill>
              </w:rPr>
              <w:t>228m</w:t>
            </w:r>
            <w:r>
              <w:rPr>
                <w:snapToGrid w:val="0"/>
                <w:color w:val="000000" w:themeColor="text1"/>
                <w:spacing w:val="5"/>
                <w:sz w:val="18"/>
                <w:szCs w:val="18"/>
                <w14:textFill>
                  <w14:solidFill>
                    <w14:schemeClr w14:val="tx1"/>
                  </w14:solidFill>
                </w14:textFill>
              </w:rPr>
              <w:t>）；</w:t>
            </w:r>
          </w:p>
          <w:p w14:paraId="399650C6">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pacing w:val="4"/>
                <w:sz w:val="18"/>
                <w:szCs w:val="18"/>
                <w14:textFill>
                  <w14:solidFill>
                    <w14:schemeClr w14:val="tx1"/>
                  </w14:solidFill>
                </w14:textFill>
              </w:rPr>
              <w:t>③</w:t>
            </w:r>
            <w:r>
              <w:rPr>
                <w:snapToGrid w:val="0"/>
                <w:color w:val="000000" w:themeColor="text1"/>
                <w:spacing w:val="4"/>
                <w:sz w:val="18"/>
                <w:szCs w:val="18"/>
                <w14:textFill>
                  <w14:solidFill>
                    <w14:schemeClr w14:val="tx1"/>
                  </w14:solidFill>
                </w14:textFill>
              </w:rPr>
              <w:t>造价较高，建安费约</w:t>
            </w:r>
            <w:r>
              <w:rPr>
                <w:snapToGrid w:val="0"/>
                <w:color w:val="000000" w:themeColor="text1"/>
                <w:spacing w:val="-33"/>
                <w:sz w:val="18"/>
                <w:szCs w:val="18"/>
                <w14:textFill>
                  <w14:solidFill>
                    <w14:schemeClr w14:val="tx1"/>
                  </w14:solidFill>
                </w14:textFill>
              </w:rPr>
              <w:t xml:space="preserve"> </w:t>
            </w:r>
            <w:r>
              <w:rPr>
                <w:snapToGrid w:val="0"/>
                <w:color w:val="000000" w:themeColor="text1"/>
                <w:spacing w:val="4"/>
                <w:sz w:val="18"/>
                <w:szCs w:val="18"/>
                <w14:textFill>
                  <w14:solidFill>
                    <w14:schemeClr w14:val="tx1"/>
                  </w14:solidFill>
                </w14:textFill>
              </w:rPr>
              <w:t>3773</w:t>
            </w:r>
            <w:r>
              <w:rPr>
                <w:snapToGrid w:val="0"/>
                <w:color w:val="000000" w:themeColor="text1"/>
                <w:spacing w:val="-33"/>
                <w:sz w:val="18"/>
                <w:szCs w:val="18"/>
                <w14:textFill>
                  <w14:solidFill>
                    <w14:schemeClr w14:val="tx1"/>
                  </w14:solidFill>
                </w14:textFill>
              </w:rPr>
              <w:t xml:space="preserve"> </w:t>
            </w:r>
            <w:r>
              <w:rPr>
                <w:snapToGrid w:val="0"/>
                <w:color w:val="000000" w:themeColor="text1"/>
                <w:spacing w:val="4"/>
                <w:sz w:val="18"/>
                <w:szCs w:val="18"/>
                <w14:textFill>
                  <w14:solidFill>
                    <w14:schemeClr w14:val="tx1"/>
                  </w14:solidFill>
                </w14:textFill>
              </w:rPr>
              <w:t>万元。</w:t>
            </w:r>
          </w:p>
        </w:tc>
        <w:tc>
          <w:tcPr>
            <w:tcW w:w="4665" w:type="dxa"/>
            <w:vAlign w:val="center"/>
          </w:tcPr>
          <w:p w14:paraId="5C010759">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①路线线形指标较差（R=200）；</w:t>
            </w:r>
          </w:p>
          <w:p w14:paraId="0B2D5356">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②因交叉口展宽需要，需拼宽现状桥梁；</w:t>
            </w:r>
          </w:p>
          <w:p w14:paraId="3E56A358">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③对现状排洪渠影响较大，需改渠处理， 协调难度大；</w:t>
            </w:r>
          </w:p>
          <w:p w14:paraId="31D2E319">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④ 距离双莲寺较近，施工时对寺庙产生一 定影响。</w:t>
            </w:r>
          </w:p>
        </w:tc>
      </w:tr>
      <w:tr w14:paraId="19E435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0" w:type="dxa"/>
            <w:gridSpan w:val="4"/>
            <w:vAlign w:val="center"/>
          </w:tcPr>
          <w:p w14:paraId="19C0FAB0">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比选结论：</w:t>
            </w:r>
            <w:r>
              <w:rPr>
                <w:rFonts w:ascii="宋体" w:hAnsi="宋体"/>
                <w:snapToGrid w:val="0"/>
                <w:color w:val="000000" w:themeColor="text1"/>
                <w:spacing w:val="-4"/>
                <w:sz w:val="18"/>
                <w:szCs w:val="18"/>
                <w14:textFill>
                  <w14:solidFill>
                    <w14:schemeClr w14:val="tx1"/>
                  </w14:solidFill>
                </w14:textFill>
              </w:rPr>
              <w:t>综上，K</w:t>
            </w:r>
            <w:r>
              <w:rPr>
                <w:rFonts w:ascii="宋体" w:hAnsi="宋体"/>
                <w:snapToGrid w:val="0"/>
                <w:color w:val="000000" w:themeColor="text1"/>
                <w:spacing w:val="-30"/>
                <w:sz w:val="18"/>
                <w:szCs w:val="18"/>
                <w14:textFill>
                  <w14:solidFill>
                    <w14:schemeClr w14:val="tx1"/>
                  </w14:solidFill>
                </w14:textFill>
              </w:rPr>
              <w:t xml:space="preserve"> </w:t>
            </w:r>
            <w:r>
              <w:rPr>
                <w:rFonts w:ascii="宋体" w:hAnsi="宋体"/>
                <w:snapToGrid w:val="0"/>
                <w:color w:val="000000" w:themeColor="text1"/>
                <w:spacing w:val="-4"/>
                <w:sz w:val="18"/>
                <w:szCs w:val="18"/>
                <w14:textFill>
                  <w14:solidFill>
                    <w14:schemeClr w14:val="tx1"/>
                  </w14:solidFill>
                </w14:textFill>
              </w:rPr>
              <w:t>线方案虽然造价略高于</w:t>
            </w:r>
            <w:r>
              <w:rPr>
                <w:rFonts w:ascii="宋体" w:hAnsi="宋体"/>
                <w:snapToGrid w:val="0"/>
                <w:color w:val="000000" w:themeColor="text1"/>
                <w:spacing w:val="-58"/>
                <w:sz w:val="18"/>
                <w:szCs w:val="18"/>
                <w14:textFill>
                  <w14:solidFill>
                    <w14:schemeClr w14:val="tx1"/>
                  </w14:solidFill>
                </w14:textFill>
              </w:rPr>
              <w:t xml:space="preserve"> </w:t>
            </w:r>
            <w:r>
              <w:rPr>
                <w:rFonts w:ascii="宋体" w:hAnsi="宋体"/>
                <w:snapToGrid w:val="0"/>
                <w:color w:val="000000" w:themeColor="text1"/>
                <w:spacing w:val="-4"/>
                <w:sz w:val="18"/>
                <w:szCs w:val="18"/>
                <w14:textFill>
                  <w14:solidFill>
                    <w14:schemeClr w14:val="tx1"/>
                  </w14:solidFill>
                </w14:textFill>
              </w:rPr>
              <w:t>A</w:t>
            </w:r>
            <w:r>
              <w:rPr>
                <w:rFonts w:ascii="宋体" w:hAnsi="宋体"/>
                <w:snapToGrid w:val="0"/>
                <w:color w:val="000000" w:themeColor="text1"/>
                <w:spacing w:val="-48"/>
                <w:sz w:val="18"/>
                <w:szCs w:val="18"/>
                <w14:textFill>
                  <w14:solidFill>
                    <w14:schemeClr w14:val="tx1"/>
                  </w14:solidFill>
                </w14:textFill>
              </w:rPr>
              <w:t xml:space="preserve"> </w:t>
            </w:r>
            <w:r>
              <w:rPr>
                <w:rFonts w:ascii="宋体" w:hAnsi="宋体"/>
                <w:snapToGrid w:val="0"/>
                <w:color w:val="000000" w:themeColor="text1"/>
                <w:spacing w:val="-4"/>
                <w:sz w:val="18"/>
                <w:szCs w:val="18"/>
                <w14:textFill>
                  <w14:solidFill>
                    <w14:schemeClr w14:val="tx1"/>
                  </w14:solidFill>
                </w14:textFill>
              </w:rPr>
              <w:t>线方案，但其线形较好，能够完全避开寺庙，对排洪渠</w:t>
            </w:r>
            <w:r>
              <w:rPr>
                <w:rFonts w:ascii="宋体" w:hAnsi="宋体"/>
                <w:snapToGrid w:val="0"/>
                <w:color w:val="000000" w:themeColor="text1"/>
                <w:spacing w:val="-3"/>
                <w:sz w:val="18"/>
                <w:szCs w:val="18"/>
                <w14:textFill>
                  <w14:solidFill>
                    <w14:schemeClr w14:val="tx1"/>
                  </w14:solidFill>
                </w14:textFill>
              </w:rPr>
              <w:t>影响较小，且交叉口展宽段避开现状桥梁无需拼宽处理，可实施性更强，因此推荐</w:t>
            </w:r>
            <w:r>
              <w:rPr>
                <w:rFonts w:ascii="宋体" w:hAnsi="宋体"/>
                <w:snapToGrid w:val="0"/>
                <w:color w:val="000000" w:themeColor="text1"/>
                <w:spacing w:val="-37"/>
                <w:sz w:val="18"/>
                <w:szCs w:val="18"/>
                <w14:textFill>
                  <w14:solidFill>
                    <w14:schemeClr w14:val="tx1"/>
                  </w14:solidFill>
                </w14:textFill>
              </w:rPr>
              <w:t xml:space="preserve"> </w:t>
            </w:r>
            <w:r>
              <w:rPr>
                <w:rFonts w:ascii="宋体" w:hAnsi="宋体"/>
                <w:snapToGrid w:val="0"/>
                <w:color w:val="000000" w:themeColor="text1"/>
                <w:spacing w:val="-3"/>
                <w:sz w:val="18"/>
                <w:szCs w:val="18"/>
                <w14:textFill>
                  <w14:solidFill>
                    <w14:schemeClr w14:val="tx1"/>
                  </w14:solidFill>
                </w14:textFill>
              </w:rPr>
              <w:t>K</w:t>
            </w:r>
            <w:r>
              <w:rPr>
                <w:rFonts w:ascii="宋体" w:hAnsi="宋体"/>
                <w:snapToGrid w:val="0"/>
                <w:color w:val="000000" w:themeColor="text1"/>
                <w:spacing w:val="-48"/>
                <w:sz w:val="18"/>
                <w:szCs w:val="18"/>
                <w14:textFill>
                  <w14:solidFill>
                    <w14:schemeClr w14:val="tx1"/>
                  </w14:solidFill>
                </w14:textFill>
              </w:rPr>
              <w:t xml:space="preserve"> </w:t>
            </w:r>
            <w:r>
              <w:rPr>
                <w:rFonts w:ascii="宋体" w:hAnsi="宋体"/>
                <w:snapToGrid w:val="0"/>
                <w:color w:val="000000" w:themeColor="text1"/>
                <w:spacing w:val="-3"/>
                <w:sz w:val="18"/>
                <w:szCs w:val="18"/>
                <w14:textFill>
                  <w14:solidFill>
                    <w14:schemeClr w14:val="tx1"/>
                  </w14:solidFill>
                </w14:textFill>
              </w:rPr>
              <w:t>线方案</w:t>
            </w:r>
            <w:r>
              <w:rPr>
                <w:rFonts w:hint="eastAsia"/>
                <w:snapToGrid w:val="0"/>
                <w:color w:val="000000" w:themeColor="text1"/>
                <w:sz w:val="18"/>
                <w:szCs w:val="18"/>
                <w14:textFill>
                  <w14:solidFill>
                    <w14:schemeClr w14:val="tx1"/>
                  </w14:solidFill>
                </w14:textFill>
              </w:rPr>
              <w:t>。</w:t>
            </w:r>
          </w:p>
        </w:tc>
      </w:tr>
    </w:tbl>
    <w:p w14:paraId="70379908">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环境比选</w:t>
      </w:r>
    </w:p>
    <w:p w14:paraId="6B2C5E6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推荐线K线和比较线</w:t>
      </w:r>
      <w:r>
        <w:rPr>
          <w:color w:val="000000" w:themeColor="text1"/>
          <w14:textFill>
            <w14:solidFill>
              <w14:schemeClr w14:val="tx1"/>
            </w14:solidFill>
          </w14:textFill>
        </w:rPr>
        <w:t>A</w:t>
      </w:r>
      <w:r>
        <w:rPr>
          <w:color w:val="000000" w:themeColor="text1"/>
          <w14:textFill>
            <w14:solidFill>
              <w14:schemeClr w14:val="tx1"/>
            </w14:solidFill>
          </w14:textFill>
        </w:rPr>
        <w:tab/>
      </w:r>
      <w:r>
        <w:rPr>
          <w:rFonts w:hint="eastAsia"/>
          <w:color w:val="000000" w:themeColor="text1"/>
          <w14:textFill>
            <w14:solidFill>
              <w14:schemeClr w14:val="tx1"/>
            </w14:solidFill>
          </w14:textFill>
        </w:rPr>
        <w:t>线的环境保护比选情</w:t>
      </w:r>
      <w:bookmarkStart w:id="218" w:name="hmcheck_1e2f5e7f810644d7832fba94b5cb4ec0"/>
      <w:r>
        <w:rPr>
          <w:rFonts w:hint="eastAsia"/>
          <w:color w:val="000000" w:themeColor="text1"/>
          <w:shd w:val="clear" w:fill="FFAFAA"/>
          <w14:textFill>
            <w14:solidFill>
              <w14:schemeClr w14:val="tx1"/>
            </w14:solidFill>
          </w14:textFill>
        </w:rPr>
        <w:t>况</w:t>
      </w:r>
      <w:bookmarkEnd w:id="218"/>
      <w:r>
        <w:rPr>
          <w:rFonts w:hint="eastAsia"/>
          <w:color w:val="000000" w:themeColor="text1"/>
          <w14:textFill>
            <w14:solidFill>
              <w14:schemeClr w14:val="tx1"/>
            </w14:solidFill>
          </w14:textFill>
        </w:rPr>
        <w:t>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_Ref150159384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68BDBECE">
      <w:pPr>
        <w:pStyle w:val="87"/>
        <w:spacing w:before="120"/>
        <w:ind w:left="480" w:firstLine="480"/>
        <w:rPr>
          <w:color w:val="000000" w:themeColor="text1"/>
          <w14:textFill>
            <w14:solidFill>
              <w14:schemeClr w14:val="tx1"/>
            </w14:solidFill>
          </w14:textFill>
        </w:rPr>
      </w:pPr>
      <w:bookmarkStart w:id="219" w:name="_Ref150159384"/>
      <w:r>
        <w:rPr>
          <w:rFonts w:hint="eastAsia"/>
          <w:color w:val="000000" w:themeColor="text1"/>
          <w14:textFill>
            <w14:solidFill>
              <w14:schemeClr w14:val="tx1"/>
            </w14:solidFill>
          </w14:textFill>
        </w:rPr>
        <w:t>推荐线和比较线环境保护比较表</w:t>
      </w:r>
      <w:bookmarkEnd w:id="219"/>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178"/>
        <w:gridCol w:w="2614"/>
        <w:gridCol w:w="2612"/>
        <w:gridCol w:w="2321"/>
      </w:tblGrid>
      <w:tr w14:paraId="6BDA68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8" w:type="pct"/>
            <w:gridSpan w:val="2"/>
            <w:vAlign w:val="center"/>
          </w:tcPr>
          <w:p w14:paraId="19B1F581">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方案\指标</w:t>
            </w:r>
          </w:p>
        </w:tc>
        <w:tc>
          <w:tcPr>
            <w:tcW w:w="1407" w:type="pct"/>
            <w:vAlign w:val="center"/>
          </w:tcPr>
          <w:p w14:paraId="23D3E538">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K线（实际实施线路）</w:t>
            </w:r>
          </w:p>
        </w:tc>
        <w:tc>
          <w:tcPr>
            <w:tcW w:w="1406" w:type="pct"/>
            <w:vAlign w:val="center"/>
          </w:tcPr>
          <w:p w14:paraId="564F06C2">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线方案</w:t>
            </w:r>
          </w:p>
        </w:tc>
        <w:tc>
          <w:tcPr>
            <w:tcW w:w="1249" w:type="pct"/>
            <w:vAlign w:val="center"/>
          </w:tcPr>
          <w:p w14:paraId="215242C4">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比选情况</w:t>
            </w:r>
          </w:p>
        </w:tc>
      </w:tr>
      <w:tr w14:paraId="5D217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8" w:type="pct"/>
            <w:gridSpan w:val="2"/>
            <w:vAlign w:val="center"/>
          </w:tcPr>
          <w:p w14:paraId="11532B23">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起终点</w:t>
            </w:r>
          </w:p>
        </w:tc>
        <w:tc>
          <w:tcPr>
            <w:tcW w:w="1407" w:type="pct"/>
            <w:vAlign w:val="center"/>
          </w:tcPr>
          <w:p w14:paraId="1A011922">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w:t>
            </w:r>
            <w:r>
              <w:rPr>
                <w:snapToGrid w:val="0"/>
                <w:color w:val="000000" w:themeColor="text1"/>
                <w14:textFill>
                  <w14:solidFill>
                    <w14:schemeClr w14:val="tx1"/>
                  </w14:solidFill>
                </w14:textFill>
              </w:rPr>
              <w:t>0</w:t>
            </w:r>
            <w:r>
              <w:rPr>
                <w:rFonts w:hint="eastAsia"/>
                <w:snapToGrid w:val="0"/>
                <w:color w:val="000000" w:themeColor="text1"/>
                <w14:textFill>
                  <w14:solidFill>
                    <w14:schemeClr w14:val="tx1"/>
                  </w14:solidFill>
                </w14:textFill>
              </w:rPr>
              <w:t>+</w:t>
            </w:r>
            <w:bookmarkStart w:id="220" w:name="hmcheck_acd0691fc17b4339b7d686d9d8dceccb"/>
            <w:r>
              <w:rPr>
                <w:snapToGrid w:val="0"/>
                <w:color w:val="000000" w:themeColor="text1"/>
                <w:shd w:val="clear" w:fill="FFAFAA"/>
                <w14:textFill>
                  <w14:solidFill>
                    <w14:schemeClr w14:val="tx1"/>
                  </w14:solidFill>
                </w14:textFill>
              </w:rPr>
              <w:t>0</w:t>
            </w:r>
            <w:r>
              <w:rPr>
                <w:rFonts w:hint="eastAsia"/>
                <w:snapToGrid w:val="0"/>
                <w:color w:val="000000" w:themeColor="text1"/>
                <w:shd w:val="clear" w:fill="FFAFAA"/>
                <w14:textFill>
                  <w14:solidFill>
                    <w14:schemeClr w14:val="tx1"/>
                  </w14:solidFill>
                </w14:textFill>
              </w:rPr>
              <w:t>00~</w:t>
            </w:r>
            <w:bookmarkEnd w:id="220"/>
            <w:r>
              <w:rPr>
                <w:rFonts w:hint="eastAsia"/>
                <w:snapToGrid w:val="0"/>
                <w:color w:val="000000" w:themeColor="text1"/>
                <w14:textFill>
                  <w14:solidFill>
                    <w14:schemeClr w14:val="tx1"/>
                  </w14:solidFill>
                </w14:textFill>
              </w:rPr>
              <w:t>K</w:t>
            </w:r>
            <w:r>
              <w:rPr>
                <w:snapToGrid w:val="0"/>
                <w:color w:val="000000" w:themeColor="text1"/>
                <w14:textFill>
                  <w14:solidFill>
                    <w14:schemeClr w14:val="tx1"/>
                  </w14:solidFill>
                </w14:textFill>
              </w:rPr>
              <w:t>0</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62</w:t>
            </w:r>
            <w:r>
              <w:rPr>
                <w:rFonts w:hint="eastAsia"/>
                <w:snapToGrid w:val="0"/>
                <w:color w:val="000000" w:themeColor="text1"/>
                <w14:textFill>
                  <w14:solidFill>
                    <w14:schemeClr w14:val="tx1"/>
                  </w14:solidFill>
                </w14:textFill>
              </w:rPr>
              <w:t>0</w:t>
            </w:r>
          </w:p>
        </w:tc>
        <w:tc>
          <w:tcPr>
            <w:tcW w:w="1406" w:type="pct"/>
            <w:vAlign w:val="center"/>
          </w:tcPr>
          <w:p w14:paraId="6BB63EDD">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AK</w:t>
            </w:r>
            <w:r>
              <w:rPr>
                <w:snapToGrid w:val="0"/>
                <w:color w:val="000000" w:themeColor="text1"/>
                <w14:textFill>
                  <w14:solidFill>
                    <w14:schemeClr w14:val="tx1"/>
                  </w14:solidFill>
                </w14:textFill>
              </w:rPr>
              <w:t>0</w:t>
            </w:r>
            <w:r>
              <w:rPr>
                <w:rFonts w:hint="eastAsia"/>
                <w:snapToGrid w:val="0"/>
                <w:color w:val="000000" w:themeColor="text1"/>
                <w14:textFill>
                  <w14:solidFill>
                    <w14:schemeClr w14:val="tx1"/>
                  </w14:solidFill>
                </w14:textFill>
              </w:rPr>
              <w:t>+</w:t>
            </w:r>
            <w:bookmarkStart w:id="221" w:name="hmcheck_1fe08abacc8a40e5971cff7c3da53dba"/>
            <w:r>
              <w:rPr>
                <w:snapToGrid w:val="0"/>
                <w:color w:val="000000" w:themeColor="text1"/>
                <w:shd w:val="clear" w:fill="FFAFAA"/>
                <w14:textFill>
                  <w14:solidFill>
                    <w14:schemeClr w14:val="tx1"/>
                  </w14:solidFill>
                </w14:textFill>
              </w:rPr>
              <w:t>0</w:t>
            </w:r>
            <w:r>
              <w:rPr>
                <w:rFonts w:hint="eastAsia"/>
                <w:snapToGrid w:val="0"/>
                <w:color w:val="000000" w:themeColor="text1"/>
                <w:shd w:val="clear" w:fill="FFAFAA"/>
                <w14:textFill>
                  <w14:solidFill>
                    <w14:schemeClr w14:val="tx1"/>
                  </w14:solidFill>
                </w14:textFill>
              </w:rPr>
              <w:t>00~</w:t>
            </w:r>
            <w:bookmarkEnd w:id="221"/>
            <w:r>
              <w:rPr>
                <w:rFonts w:hint="eastAsia"/>
                <w:snapToGrid w:val="0"/>
                <w:color w:val="000000" w:themeColor="text1"/>
                <w14:textFill>
                  <w14:solidFill>
                    <w14:schemeClr w14:val="tx1"/>
                  </w14:solidFill>
                </w14:textFill>
              </w:rPr>
              <w:t>AK</w:t>
            </w:r>
            <w:r>
              <w:rPr>
                <w:snapToGrid w:val="0"/>
                <w:color w:val="000000" w:themeColor="text1"/>
                <w14:textFill>
                  <w14:solidFill>
                    <w14:schemeClr w14:val="tx1"/>
                  </w14:solidFill>
                </w14:textFill>
              </w:rPr>
              <w:t>0</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570</w:t>
            </w:r>
          </w:p>
        </w:tc>
        <w:tc>
          <w:tcPr>
            <w:tcW w:w="1249" w:type="pct"/>
            <w:vAlign w:val="center"/>
          </w:tcPr>
          <w:p w14:paraId="1EEF3DA0">
            <w:pPr>
              <w:pStyle w:val="105"/>
              <w:jc w:val="center"/>
              <w:rPr>
                <w:snapToGrid w:val="0"/>
                <w:color w:val="000000" w:themeColor="text1"/>
                <w14:textFill>
                  <w14:solidFill>
                    <w14:schemeClr w14:val="tx1"/>
                  </w14:solidFill>
                </w14:textFill>
              </w:rPr>
            </w:pPr>
          </w:p>
        </w:tc>
      </w:tr>
      <w:tr w14:paraId="15B4C9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8" w:type="pct"/>
            <w:gridSpan w:val="2"/>
            <w:vAlign w:val="center"/>
          </w:tcPr>
          <w:p w14:paraId="429DCCD5">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线路长度</w:t>
            </w:r>
          </w:p>
        </w:tc>
        <w:tc>
          <w:tcPr>
            <w:tcW w:w="1407" w:type="pct"/>
            <w:vAlign w:val="center"/>
          </w:tcPr>
          <w:p w14:paraId="17D1D0E1">
            <w:pPr>
              <w:pStyle w:val="105"/>
              <w:jc w:val="center"/>
              <w:rPr>
                <w:snapToGrid w:val="0"/>
                <w:color w:val="000000" w:themeColor="text1"/>
                <w14:textFill>
                  <w14:solidFill>
                    <w14:schemeClr w14:val="tx1"/>
                  </w14:solidFill>
                </w14:textFill>
              </w:rPr>
            </w:pPr>
            <w:r>
              <w:rPr>
                <w:snapToGrid w:val="0"/>
                <w:color w:val="000000" w:themeColor="text1"/>
                <w:spacing w:val="2"/>
                <w14:textFill>
                  <w14:solidFill>
                    <w14:schemeClr w14:val="tx1"/>
                  </w14:solidFill>
                </w14:textFill>
              </w:rPr>
              <w:t>0.620</w:t>
            </w:r>
          </w:p>
        </w:tc>
        <w:tc>
          <w:tcPr>
            <w:tcW w:w="1406" w:type="pct"/>
            <w:vAlign w:val="center"/>
          </w:tcPr>
          <w:p w14:paraId="1B108996">
            <w:pPr>
              <w:pStyle w:val="105"/>
              <w:jc w:val="center"/>
              <w:rPr>
                <w:snapToGrid w:val="0"/>
                <w:color w:val="000000" w:themeColor="text1"/>
                <w14:textFill>
                  <w14:solidFill>
                    <w14:schemeClr w14:val="tx1"/>
                  </w14:solidFill>
                </w14:textFill>
              </w:rPr>
            </w:pPr>
            <w:r>
              <w:rPr>
                <w:snapToGrid w:val="0"/>
                <w:color w:val="000000" w:themeColor="text1"/>
                <w:spacing w:val="2"/>
                <w14:textFill>
                  <w14:solidFill>
                    <w14:schemeClr w14:val="tx1"/>
                  </w14:solidFill>
                </w14:textFill>
              </w:rPr>
              <w:t>0.570</w:t>
            </w:r>
          </w:p>
        </w:tc>
        <w:tc>
          <w:tcPr>
            <w:tcW w:w="1249" w:type="pct"/>
            <w:vAlign w:val="center"/>
          </w:tcPr>
          <w:p w14:paraId="607DD19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相当</w:t>
            </w:r>
          </w:p>
        </w:tc>
      </w:tr>
      <w:tr w14:paraId="15F7D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304" w:type="pct"/>
            <w:vMerge w:val="restart"/>
            <w:vAlign w:val="center"/>
          </w:tcPr>
          <w:p w14:paraId="0723D1A4">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生态</w:t>
            </w:r>
          </w:p>
          <w:p w14:paraId="0B38BDC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环境</w:t>
            </w:r>
          </w:p>
        </w:tc>
        <w:tc>
          <w:tcPr>
            <w:tcW w:w="634" w:type="pct"/>
            <w:vAlign w:val="center"/>
          </w:tcPr>
          <w:p w14:paraId="0FD9516E">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生态敏感目标</w:t>
            </w:r>
          </w:p>
        </w:tc>
        <w:tc>
          <w:tcPr>
            <w:tcW w:w="1407" w:type="pct"/>
            <w:vAlign w:val="center"/>
          </w:tcPr>
          <w:p w14:paraId="36CF57A1">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①线路不涉及占用生态保护红线和基本农田。</w:t>
            </w:r>
          </w:p>
          <w:p w14:paraId="13A98146">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②线路占用林地约</w:t>
            </w:r>
            <w:r>
              <w:rPr>
                <w:snapToGrid w:val="0"/>
                <w:color w:val="000000" w:themeColor="text1"/>
                <w14:textFill>
                  <w14:solidFill>
                    <w14:schemeClr w14:val="tx1"/>
                  </w14:solidFill>
                </w14:textFill>
              </w:rPr>
              <w:t>0.98</w:t>
            </w:r>
            <w:r>
              <w:rPr>
                <w:rFonts w:hint="eastAsia"/>
                <w:snapToGrid w:val="0"/>
                <w:color w:val="000000" w:themeColor="text1"/>
                <w14:textFill>
                  <w14:solidFill>
                    <w14:schemeClr w14:val="tx1"/>
                  </w14:solidFill>
                </w14:textFill>
              </w:rPr>
              <w:t>hm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，其中国家二级生态公益林</w:t>
            </w:r>
            <w:r>
              <w:rPr>
                <w:snapToGrid w:val="0"/>
                <w:color w:val="000000" w:themeColor="text1"/>
                <w14:textFill>
                  <w14:solidFill>
                    <w14:schemeClr w14:val="tx1"/>
                  </w14:solidFill>
                </w14:textFill>
              </w:rPr>
              <w:t>0.5538</w:t>
            </w:r>
            <w:r>
              <w:rPr>
                <w:rFonts w:hint="eastAsia"/>
                <w:snapToGrid w:val="0"/>
                <w:color w:val="000000" w:themeColor="text1"/>
                <w14:textFill>
                  <w14:solidFill>
                    <w14:schemeClr w14:val="tx1"/>
                  </w14:solidFill>
                </w14:textFill>
              </w:rPr>
              <w:t>hm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58C02AFA">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③不涉及占用一般湿地。</w:t>
            </w:r>
          </w:p>
        </w:tc>
        <w:tc>
          <w:tcPr>
            <w:tcW w:w="1406" w:type="pct"/>
            <w:vAlign w:val="center"/>
          </w:tcPr>
          <w:p w14:paraId="415F7BF1">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①线路不涉及占用生态保护红线和基本农田。</w:t>
            </w:r>
          </w:p>
          <w:p w14:paraId="3ED0EB8E">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②线路占用林地约1</w:t>
            </w:r>
            <w:r>
              <w:rPr>
                <w:snapToGrid w:val="0"/>
                <w:color w:val="000000" w:themeColor="text1"/>
                <w14:textFill>
                  <w14:solidFill>
                    <w14:schemeClr w14:val="tx1"/>
                  </w14:solidFill>
                </w14:textFill>
              </w:rPr>
              <w:t>.11</w:t>
            </w:r>
            <w:r>
              <w:rPr>
                <w:rFonts w:hint="eastAsia"/>
                <w:snapToGrid w:val="0"/>
                <w:color w:val="000000" w:themeColor="text1"/>
                <w14:textFill>
                  <w14:solidFill>
                    <w14:schemeClr w14:val="tx1"/>
                  </w14:solidFill>
                </w14:textFill>
              </w:rPr>
              <w:t>hm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，其中国家二级生态公益林</w:t>
            </w:r>
            <w:r>
              <w:rPr>
                <w:snapToGrid w:val="0"/>
                <w:color w:val="000000" w:themeColor="text1"/>
                <w14:textFill>
                  <w14:solidFill>
                    <w14:schemeClr w14:val="tx1"/>
                  </w14:solidFill>
                </w14:textFill>
              </w:rPr>
              <w:t>0.1338</w:t>
            </w:r>
            <w:r>
              <w:rPr>
                <w:rFonts w:hint="eastAsia"/>
                <w:snapToGrid w:val="0"/>
                <w:color w:val="000000" w:themeColor="text1"/>
                <w14:textFill>
                  <w14:solidFill>
                    <w14:schemeClr w14:val="tx1"/>
                  </w14:solidFill>
                </w14:textFill>
              </w:rPr>
              <w:t>hm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w:t>
            </w:r>
          </w:p>
          <w:p w14:paraId="2964FCEA">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③不涉及占用一般湿地。</w:t>
            </w:r>
          </w:p>
        </w:tc>
        <w:tc>
          <w:tcPr>
            <w:tcW w:w="1249" w:type="pct"/>
            <w:vAlign w:val="center"/>
          </w:tcPr>
          <w:p w14:paraId="25EB3B58">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相当，K线占用林地面积较少，但涉及生态公益林面积略多，总体相当</w:t>
            </w:r>
          </w:p>
        </w:tc>
      </w:tr>
      <w:tr w14:paraId="24B1D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Merge w:val="continue"/>
            <w:vAlign w:val="center"/>
          </w:tcPr>
          <w:p w14:paraId="02B6FF9A">
            <w:pPr>
              <w:pStyle w:val="105"/>
              <w:jc w:val="center"/>
              <w:rPr>
                <w:snapToGrid w:val="0"/>
                <w:color w:val="000000" w:themeColor="text1"/>
                <w14:textFill>
                  <w14:solidFill>
                    <w14:schemeClr w14:val="tx1"/>
                  </w14:solidFill>
                </w14:textFill>
              </w:rPr>
            </w:pPr>
          </w:p>
        </w:tc>
        <w:tc>
          <w:tcPr>
            <w:tcW w:w="634" w:type="pct"/>
            <w:vAlign w:val="center"/>
          </w:tcPr>
          <w:p w14:paraId="364DDA08">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占地情况</w:t>
            </w:r>
          </w:p>
        </w:tc>
        <w:tc>
          <w:tcPr>
            <w:tcW w:w="1407" w:type="pct"/>
            <w:vAlign w:val="center"/>
          </w:tcPr>
          <w:p w14:paraId="603A61F2">
            <w:pPr>
              <w:pStyle w:val="105"/>
              <w:jc w:val="center"/>
              <w:rPr>
                <w:snapToGrid w:val="0"/>
                <w:color w:val="000000" w:themeColor="text1"/>
                <w14:textFill>
                  <w14:solidFill>
                    <w14:schemeClr w14:val="tx1"/>
                  </w14:solidFill>
                </w14:textFill>
              </w:rPr>
            </w:pPr>
            <w:r>
              <w:rPr>
                <w:snapToGrid w:val="0"/>
                <w:color w:val="000000" w:themeColor="text1"/>
                <w:spacing w:val="1"/>
                <w14:textFill>
                  <w14:solidFill>
                    <w14:schemeClr w14:val="tx1"/>
                  </w14:solidFill>
                </w14:textFill>
              </w:rPr>
              <w:t>2.31</w:t>
            </w:r>
            <w:r>
              <w:rPr>
                <w:rFonts w:hint="eastAsia"/>
                <w:snapToGrid w:val="0"/>
                <w:color w:val="000000" w:themeColor="text1"/>
                <w:spacing w:val="1"/>
                <w14:textFill>
                  <w14:solidFill>
                    <w14:schemeClr w14:val="tx1"/>
                  </w14:solidFill>
                </w14:textFill>
              </w:rPr>
              <w:t>hm</w:t>
            </w:r>
            <w:r>
              <w:rPr>
                <w:snapToGrid w:val="0"/>
                <w:color w:val="000000" w:themeColor="text1"/>
                <w:spacing w:val="1"/>
                <w:vertAlign w:val="superscript"/>
                <w14:textFill>
                  <w14:solidFill>
                    <w14:schemeClr w14:val="tx1"/>
                  </w14:solidFill>
                </w14:textFill>
              </w:rPr>
              <w:t>2</w:t>
            </w:r>
          </w:p>
        </w:tc>
        <w:tc>
          <w:tcPr>
            <w:tcW w:w="1406" w:type="pct"/>
            <w:vAlign w:val="center"/>
          </w:tcPr>
          <w:p w14:paraId="23F5A3AD">
            <w:pPr>
              <w:pStyle w:val="105"/>
              <w:jc w:val="center"/>
              <w:rPr>
                <w:snapToGrid w:val="0"/>
                <w:color w:val="000000" w:themeColor="text1"/>
                <w14:textFill>
                  <w14:solidFill>
                    <w14:schemeClr w14:val="tx1"/>
                  </w14:solidFill>
                </w14:textFill>
              </w:rPr>
            </w:pPr>
            <w:r>
              <w:rPr>
                <w:snapToGrid w:val="0"/>
                <w:color w:val="000000" w:themeColor="text1"/>
                <w:spacing w:val="1"/>
                <w14:textFill>
                  <w14:solidFill>
                    <w14:schemeClr w14:val="tx1"/>
                  </w14:solidFill>
                </w14:textFill>
              </w:rPr>
              <w:t>2.12</w:t>
            </w:r>
            <w:r>
              <w:rPr>
                <w:rFonts w:hint="eastAsia"/>
                <w:snapToGrid w:val="0"/>
                <w:color w:val="000000" w:themeColor="text1"/>
                <w:spacing w:val="1"/>
                <w14:textFill>
                  <w14:solidFill>
                    <w14:schemeClr w14:val="tx1"/>
                  </w14:solidFill>
                </w14:textFill>
              </w:rPr>
              <w:t xml:space="preserve"> hm</w:t>
            </w:r>
            <w:r>
              <w:rPr>
                <w:snapToGrid w:val="0"/>
                <w:color w:val="000000" w:themeColor="text1"/>
                <w:spacing w:val="1"/>
                <w:vertAlign w:val="superscript"/>
                <w14:textFill>
                  <w14:solidFill>
                    <w14:schemeClr w14:val="tx1"/>
                  </w14:solidFill>
                </w14:textFill>
              </w:rPr>
              <w:t>2</w:t>
            </w:r>
          </w:p>
        </w:tc>
        <w:tc>
          <w:tcPr>
            <w:tcW w:w="1249" w:type="pct"/>
            <w:vAlign w:val="center"/>
          </w:tcPr>
          <w:p w14:paraId="70C6C1D7">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相当</w:t>
            </w:r>
          </w:p>
        </w:tc>
      </w:tr>
      <w:tr w14:paraId="2A8CE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Merge w:val="continue"/>
            <w:vAlign w:val="center"/>
          </w:tcPr>
          <w:p w14:paraId="418C4018">
            <w:pPr>
              <w:pStyle w:val="105"/>
              <w:jc w:val="center"/>
              <w:rPr>
                <w:snapToGrid w:val="0"/>
                <w:color w:val="000000" w:themeColor="text1"/>
                <w14:textFill>
                  <w14:solidFill>
                    <w14:schemeClr w14:val="tx1"/>
                  </w14:solidFill>
                </w14:textFill>
              </w:rPr>
            </w:pPr>
          </w:p>
        </w:tc>
        <w:tc>
          <w:tcPr>
            <w:tcW w:w="634" w:type="pct"/>
            <w:vAlign w:val="center"/>
          </w:tcPr>
          <w:p w14:paraId="4D0E7E5A">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土石方量</w:t>
            </w:r>
          </w:p>
        </w:tc>
        <w:tc>
          <w:tcPr>
            <w:tcW w:w="1407" w:type="pct"/>
            <w:vAlign w:val="center"/>
          </w:tcPr>
          <w:p w14:paraId="4860AC25">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359</w:t>
            </w:r>
            <w:r>
              <w:rPr>
                <w:rFonts w:hint="eastAsia"/>
                <w:snapToGrid w:val="0"/>
                <w:color w:val="000000" w:themeColor="text1"/>
                <w14:textFill>
                  <w14:solidFill>
                    <w14:schemeClr w14:val="tx1"/>
                  </w14:solidFill>
                </w14:textFill>
              </w:rPr>
              <w:t>万m</w:t>
            </w:r>
            <w:r>
              <w:rPr>
                <w:snapToGrid w:val="0"/>
                <w:color w:val="000000" w:themeColor="text1"/>
                <w:vertAlign w:val="superscript"/>
                <w14:textFill>
                  <w14:solidFill>
                    <w14:schemeClr w14:val="tx1"/>
                  </w14:solidFill>
                </w14:textFill>
              </w:rPr>
              <w:t>3</w:t>
            </w:r>
          </w:p>
        </w:tc>
        <w:tc>
          <w:tcPr>
            <w:tcW w:w="1406" w:type="pct"/>
            <w:vAlign w:val="center"/>
          </w:tcPr>
          <w:p w14:paraId="66917F77">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113.058</w:t>
            </w:r>
            <w:r>
              <w:rPr>
                <w:rFonts w:hint="eastAsia"/>
                <w:snapToGrid w:val="0"/>
                <w:color w:val="000000" w:themeColor="text1"/>
                <w14:textFill>
                  <w14:solidFill>
                    <w14:schemeClr w14:val="tx1"/>
                  </w14:solidFill>
                </w14:textFill>
              </w:rPr>
              <w:t>万m</w:t>
            </w:r>
            <w:r>
              <w:rPr>
                <w:snapToGrid w:val="0"/>
                <w:color w:val="000000" w:themeColor="text1"/>
                <w:vertAlign w:val="superscript"/>
                <w14:textFill>
                  <w14:solidFill>
                    <w14:schemeClr w14:val="tx1"/>
                  </w14:solidFill>
                </w14:textFill>
              </w:rPr>
              <w:t>3</w:t>
            </w:r>
          </w:p>
        </w:tc>
        <w:tc>
          <w:tcPr>
            <w:tcW w:w="1249" w:type="pct"/>
            <w:vAlign w:val="center"/>
          </w:tcPr>
          <w:p w14:paraId="7074291B">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线略优</w:t>
            </w:r>
          </w:p>
        </w:tc>
      </w:tr>
      <w:tr w14:paraId="2EF58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Merge w:val="continue"/>
            <w:vAlign w:val="center"/>
          </w:tcPr>
          <w:p w14:paraId="12B72E47">
            <w:pPr>
              <w:pStyle w:val="105"/>
              <w:jc w:val="center"/>
              <w:rPr>
                <w:snapToGrid w:val="0"/>
                <w:color w:val="000000" w:themeColor="text1"/>
                <w14:textFill>
                  <w14:solidFill>
                    <w14:schemeClr w14:val="tx1"/>
                  </w14:solidFill>
                </w14:textFill>
              </w:rPr>
            </w:pPr>
          </w:p>
        </w:tc>
        <w:tc>
          <w:tcPr>
            <w:tcW w:w="634" w:type="pct"/>
            <w:vAlign w:val="center"/>
          </w:tcPr>
          <w:p w14:paraId="51E4F019">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生态环境影响方面</w:t>
            </w:r>
          </w:p>
        </w:tc>
        <w:tc>
          <w:tcPr>
            <w:tcW w:w="4062" w:type="pct"/>
            <w:gridSpan w:val="3"/>
            <w:vAlign w:val="center"/>
          </w:tcPr>
          <w:p w14:paraId="176538C8">
            <w:pPr>
              <w:pStyle w:val="105"/>
              <w:jc w:val="left"/>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工程占地：</w:t>
            </w:r>
            <w:r>
              <w:rPr>
                <w:rFonts w:hint="eastAsia"/>
                <w:snapToGrid w:val="0"/>
                <w:color w:val="000000" w:themeColor="text1"/>
                <w14:textFill>
                  <w14:solidFill>
                    <w14:schemeClr w14:val="tx1"/>
                  </w14:solidFill>
                </w14:textFill>
              </w:rPr>
              <w:t>K线和</w:t>
            </w: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线影响基本相当；</w:t>
            </w:r>
          </w:p>
          <w:p w14:paraId="4BBF3209">
            <w:pPr>
              <w:pStyle w:val="105"/>
              <w:jc w:val="left"/>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生态系统：</w:t>
            </w:r>
            <w:r>
              <w:rPr>
                <w:rFonts w:hint="eastAsia"/>
                <w:snapToGrid w:val="0"/>
                <w:color w:val="000000" w:themeColor="text1"/>
                <w14:textFill>
                  <w14:solidFill>
                    <w14:schemeClr w14:val="tx1"/>
                  </w14:solidFill>
                </w14:textFill>
              </w:rPr>
              <w:t>K线和</w:t>
            </w:r>
            <w:r>
              <w:rPr>
                <w:snapToGrid w:val="0"/>
                <w:color w:val="000000" w:themeColor="text1"/>
                <w14:textFill>
                  <w14:solidFill>
                    <w14:schemeClr w14:val="tx1"/>
                  </w14:solidFill>
                </w14:textFill>
              </w:rPr>
              <w:t>A</w:t>
            </w:r>
            <w:bookmarkStart w:id="222" w:name="hmcheck_58495a3abe8847d6affbad2255a6159b"/>
            <w:r>
              <w:rPr>
                <w:rFonts w:hint="eastAsia"/>
                <w:snapToGrid w:val="0"/>
                <w:color w:val="000000" w:themeColor="text1"/>
                <w:shd w:val="clear" w:fill="FFAFAA"/>
                <w14:textFill>
                  <w14:solidFill>
                    <w14:schemeClr w14:val="tx1"/>
                  </w14:solidFill>
                </w14:textFill>
              </w:rPr>
              <w:t>线线</w:t>
            </w:r>
            <w:bookmarkEnd w:id="222"/>
            <w:r>
              <w:rPr>
                <w:rFonts w:hint="eastAsia"/>
                <w:snapToGrid w:val="0"/>
                <w:color w:val="000000" w:themeColor="text1"/>
                <w14:textFill>
                  <w14:solidFill>
                    <w14:schemeClr w14:val="tx1"/>
                  </w14:solidFill>
                </w14:textFill>
              </w:rPr>
              <w:t>位相近，区域生态系统主要类型为森林生态系统，主要植被类型为桉树和相思树林，K线和A线公路的建设均不会对林地生态系统的稳定性产生影响。</w:t>
            </w:r>
          </w:p>
          <w:p w14:paraId="7586B8B7">
            <w:pPr>
              <w:pStyle w:val="105"/>
              <w:jc w:val="left"/>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植被的影响：</w:t>
            </w:r>
            <w:r>
              <w:rPr>
                <w:rFonts w:hint="eastAsia"/>
                <w:snapToGrid w:val="0"/>
                <w:color w:val="000000" w:themeColor="text1"/>
                <w14:textFill>
                  <w14:solidFill>
                    <w14:schemeClr w14:val="tx1"/>
                  </w14:solidFill>
                </w14:textFill>
              </w:rPr>
              <w:t>K线和</w:t>
            </w: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线涉及植被主要为针叶林和经济林（桉树和相思树林），主体工程占地导致植物生物量损失量小，对区域总体的植物资源物种多样性和群落多样性影响不大。</w:t>
            </w:r>
          </w:p>
          <w:p w14:paraId="209693F1">
            <w:pPr>
              <w:pStyle w:val="105"/>
              <w:jc w:val="center"/>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水土流失：</w:t>
            </w:r>
            <w:r>
              <w:rPr>
                <w:rFonts w:cs="Times New Roman"/>
                <w:snapToGrid w:val="0"/>
                <w:color w:val="000000" w:themeColor="text1"/>
                <w:spacing w:val="-4"/>
                <w14:textFill>
                  <w14:solidFill>
                    <w14:schemeClr w14:val="tx1"/>
                  </w14:solidFill>
                </w14:textFill>
              </w:rPr>
              <w:t>工程水土流失主要集中在公路工程场地平整、开挖回填和路基处理等</w:t>
            </w:r>
            <w:r>
              <w:rPr>
                <w:rFonts w:hint="eastAsia"/>
                <w:snapToGrid w:val="0"/>
                <w:color w:val="000000" w:themeColor="text1"/>
                <w14:textFill>
                  <w14:solidFill>
                    <w14:schemeClr w14:val="tx1"/>
                  </w14:solidFill>
                </w14:textFill>
              </w:rPr>
              <w:t xml:space="preserve">， </w:t>
            </w: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线土石方量少，水土流失略小于</w:t>
            </w:r>
            <w:r>
              <w:rPr>
                <w:snapToGrid w:val="0"/>
                <w:color w:val="000000" w:themeColor="text1"/>
                <w14:textFill>
                  <w14:solidFill>
                    <w14:schemeClr w14:val="tx1"/>
                  </w14:solidFill>
                </w14:textFill>
              </w:rPr>
              <w:t>K</w:t>
            </w:r>
            <w:r>
              <w:rPr>
                <w:rFonts w:hint="eastAsia"/>
                <w:snapToGrid w:val="0"/>
                <w:color w:val="000000" w:themeColor="text1"/>
                <w14:textFill>
                  <w14:solidFill>
                    <w14:schemeClr w14:val="tx1"/>
                  </w14:solidFill>
                </w14:textFill>
              </w:rPr>
              <w:t>线，</w:t>
            </w: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线</w:t>
            </w:r>
            <w:bookmarkStart w:id="223" w:name="hmcheck_9ee2feec86904c6e936f87a5dccab0bc"/>
            <w:r>
              <w:rPr>
                <w:rFonts w:hint="eastAsia"/>
                <w:snapToGrid w:val="0"/>
                <w:color w:val="000000" w:themeColor="text1"/>
                <w:shd w:val="clear" w:fill="FFAFAA"/>
                <w14:textFill>
                  <w14:solidFill>
                    <w14:schemeClr w14:val="tx1"/>
                  </w14:solidFill>
                </w14:textFill>
              </w:rPr>
              <w:t>略优</w:t>
            </w:r>
            <w:bookmarkEnd w:id="223"/>
            <w:r>
              <w:rPr>
                <w:rFonts w:hint="eastAsia"/>
                <w:snapToGrid w:val="0"/>
                <w:color w:val="000000" w:themeColor="text1"/>
                <w14:textFill>
                  <w14:solidFill>
                    <w14:schemeClr w14:val="tx1"/>
                  </w14:solidFill>
                </w14:textFill>
              </w:rPr>
              <w:t>。</w:t>
            </w:r>
          </w:p>
        </w:tc>
      </w:tr>
      <w:tr w14:paraId="2A9A07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8" w:type="pct"/>
            <w:gridSpan w:val="2"/>
            <w:vAlign w:val="center"/>
          </w:tcPr>
          <w:p w14:paraId="211E7469">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地表水环境</w:t>
            </w:r>
          </w:p>
        </w:tc>
        <w:tc>
          <w:tcPr>
            <w:tcW w:w="1407" w:type="pct"/>
            <w:vAlign w:val="center"/>
          </w:tcPr>
          <w:p w14:paraId="3F5033CF">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涉及福渠改渠，需要改渠</w:t>
            </w:r>
          </w:p>
        </w:tc>
        <w:tc>
          <w:tcPr>
            <w:tcW w:w="1406" w:type="pct"/>
            <w:vAlign w:val="center"/>
          </w:tcPr>
          <w:p w14:paraId="5F43626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涉及福渠支渠，影响较大</w:t>
            </w:r>
          </w:p>
        </w:tc>
        <w:tc>
          <w:tcPr>
            <w:tcW w:w="1249" w:type="pct"/>
            <w:vAlign w:val="center"/>
          </w:tcPr>
          <w:p w14:paraId="56607E8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方案相当，影响相当</w:t>
            </w:r>
          </w:p>
        </w:tc>
      </w:tr>
      <w:tr w14:paraId="310C57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8" w:type="pct"/>
            <w:gridSpan w:val="2"/>
            <w:vAlign w:val="center"/>
          </w:tcPr>
          <w:p w14:paraId="1E591CD1">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声环境和环境空气</w:t>
            </w:r>
          </w:p>
        </w:tc>
        <w:tc>
          <w:tcPr>
            <w:tcW w:w="1407" w:type="pct"/>
            <w:vAlign w:val="center"/>
          </w:tcPr>
          <w:p w14:paraId="16D420AF">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K线路段2</w:t>
            </w:r>
            <w:r>
              <w:rPr>
                <w:snapToGrid w:val="0"/>
                <w:color w:val="000000" w:themeColor="text1"/>
                <w14:textFill>
                  <w14:solidFill>
                    <w14:schemeClr w14:val="tx1"/>
                  </w14:solidFill>
                </w14:textFill>
              </w:rPr>
              <w:t>00</w:t>
            </w:r>
            <w:r>
              <w:rPr>
                <w:rFonts w:hint="eastAsia"/>
                <w:snapToGrid w:val="0"/>
                <w:color w:val="000000" w:themeColor="text1"/>
                <w14:textFill>
                  <w14:solidFill>
                    <w14:schemeClr w14:val="tx1"/>
                  </w14:solidFill>
                </w14:textFill>
              </w:rPr>
              <w:t>m评价范围敏感目标分别为新桥（两侧</w:t>
            </w:r>
            <w:r>
              <w:rPr>
                <w:snapToGrid w:val="0"/>
                <w:color w:val="000000" w:themeColor="text1"/>
                <w14:textFill>
                  <w14:solidFill>
                    <w14:schemeClr w14:val="tx1"/>
                  </w14:solidFill>
                </w14:textFill>
              </w:rPr>
              <w:t>13</w:t>
            </w:r>
            <w:r>
              <w:rPr>
                <w:rFonts w:hint="eastAsia"/>
                <w:snapToGrid w:val="0"/>
                <w:color w:val="000000" w:themeColor="text1"/>
                <w14:textFill>
                  <w14:solidFill>
                    <w14:schemeClr w14:val="tx1"/>
                  </w14:solidFill>
                </w14:textFill>
              </w:rPr>
              <w:t>m）、林泉（路左4</w:t>
            </w:r>
            <w:r>
              <w:rPr>
                <w:snapToGrid w:val="0"/>
                <w:color w:val="000000" w:themeColor="text1"/>
                <w14:textFill>
                  <w14:solidFill>
                    <w14:schemeClr w14:val="tx1"/>
                  </w14:solidFill>
                </w14:textFill>
              </w:rPr>
              <w:t>0</w:t>
            </w:r>
            <w:r>
              <w:rPr>
                <w:rFonts w:hint="eastAsia"/>
                <w:snapToGrid w:val="0"/>
                <w:color w:val="000000" w:themeColor="text1"/>
                <w14:textFill>
                  <w14:solidFill>
                    <w14:schemeClr w14:val="tx1"/>
                  </w14:solidFill>
                </w14:textFill>
              </w:rPr>
              <w:t>m）等敏感目标分布。</w:t>
            </w:r>
          </w:p>
        </w:tc>
        <w:tc>
          <w:tcPr>
            <w:tcW w:w="1406" w:type="pct"/>
            <w:vAlign w:val="center"/>
          </w:tcPr>
          <w:p w14:paraId="739512FE">
            <w:pPr>
              <w:pStyle w:val="105"/>
              <w:jc w:val="left"/>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A</w:t>
            </w:r>
            <w:r>
              <w:rPr>
                <w:rFonts w:hint="eastAsia"/>
                <w:snapToGrid w:val="0"/>
                <w:color w:val="000000" w:themeColor="text1"/>
                <w14:textFill>
                  <w14:solidFill>
                    <w14:schemeClr w14:val="tx1"/>
                  </w14:solidFill>
                </w14:textFill>
              </w:rPr>
              <w:t>线路段2</w:t>
            </w:r>
            <w:r>
              <w:rPr>
                <w:snapToGrid w:val="0"/>
                <w:color w:val="000000" w:themeColor="text1"/>
                <w14:textFill>
                  <w14:solidFill>
                    <w14:schemeClr w14:val="tx1"/>
                  </w14:solidFill>
                </w14:textFill>
              </w:rPr>
              <w:t>00</w:t>
            </w:r>
            <w:r>
              <w:rPr>
                <w:rFonts w:hint="eastAsia"/>
                <w:snapToGrid w:val="0"/>
                <w:color w:val="000000" w:themeColor="text1"/>
                <w14:textFill>
                  <w14:solidFill>
                    <w14:schemeClr w14:val="tx1"/>
                  </w14:solidFill>
                </w14:textFill>
              </w:rPr>
              <w:t>m评价范围敏感目标分别为新桥、林泉（路左</w:t>
            </w:r>
            <w:r>
              <w:rPr>
                <w:snapToGrid w:val="0"/>
                <w:color w:val="000000" w:themeColor="text1"/>
                <w14:textFill>
                  <w14:solidFill>
                    <w14:schemeClr w14:val="tx1"/>
                  </w14:solidFill>
                </w14:textFill>
              </w:rPr>
              <w:t>26</w:t>
            </w:r>
            <w:r>
              <w:rPr>
                <w:rFonts w:hint="eastAsia"/>
                <w:snapToGrid w:val="0"/>
                <w:color w:val="000000" w:themeColor="text1"/>
                <w14:textFill>
                  <w14:solidFill>
                    <w14:schemeClr w14:val="tx1"/>
                  </w14:solidFill>
                </w14:textFill>
              </w:rPr>
              <w:t>m）等敏感目标分布。</w:t>
            </w:r>
          </w:p>
        </w:tc>
        <w:tc>
          <w:tcPr>
            <w:tcW w:w="1249" w:type="pct"/>
            <w:vAlign w:val="center"/>
          </w:tcPr>
          <w:p w14:paraId="4EEDF4D0">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影响相当</w:t>
            </w:r>
          </w:p>
        </w:tc>
      </w:tr>
    </w:tbl>
    <w:p w14:paraId="330AB973">
      <w:pPr>
        <w:pStyle w:val="124"/>
        <w:rPr>
          <w:color w:val="000000" w:themeColor="text1"/>
          <w14:textFill>
            <w14:solidFill>
              <w14:schemeClr w14:val="tx1"/>
            </w14:solidFill>
          </w14:textFill>
        </w:rPr>
      </w:pPr>
      <w:r>
        <w:rPr>
          <w:rFonts w:hint="eastAsia"/>
          <w:color w:val="000000" w:themeColor="text1"/>
          <w14:textFill>
            <w14:solidFill>
              <w14:schemeClr w14:val="tx1"/>
            </w14:solidFill>
          </w14:textFill>
        </w:rPr>
        <w:t>从环境比选角度分析：K线和A线均不涉及生态保护红线和基本农田，沿线生态环境相当，项目实施对环境影响在采取相应措施后，对环境影响可控，因此从生态保护角度分析，K线和A线均可行。</w:t>
      </w:r>
    </w:p>
    <w:p w14:paraId="4D743FD1">
      <w:pPr>
        <w:pStyle w:val="120"/>
        <w:numPr>
          <w:ilvl w:val="2"/>
          <w:numId w:val="17"/>
        </w:numPr>
        <w:rPr>
          <w:color w:val="000000" w:themeColor="text1"/>
          <w14:textFill>
            <w14:solidFill>
              <w14:schemeClr w14:val="tx1"/>
            </w14:solidFill>
          </w14:textFill>
        </w:rPr>
      </w:pPr>
      <w:bookmarkStart w:id="224" w:name="_Hlk192519954"/>
      <w:r>
        <w:rPr>
          <w:rFonts w:hint="eastAsia"/>
          <w:color w:val="000000" w:themeColor="text1"/>
          <w14:textFill>
            <w14:solidFill>
              <w14:schemeClr w14:val="tx1"/>
            </w14:solidFill>
          </w14:textFill>
        </w:rPr>
        <w:t>木厝洋段</w:t>
      </w:r>
      <w:bookmarkEnd w:id="224"/>
      <w:r>
        <w:rPr>
          <w:rFonts w:hint="eastAsia"/>
          <w:color w:val="000000" w:themeColor="text1"/>
          <w14:textFill>
            <w14:solidFill>
              <w14:schemeClr w14:val="tx1"/>
            </w14:solidFill>
          </w14:textFill>
        </w:rPr>
        <w:t>方案比选</w:t>
      </w:r>
    </w:p>
    <w:p w14:paraId="34A103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K线：K线路线起于木厝洋（K3+100），自东南向西北展线，终点（K5+110）至黄檗山万福寺，路线里程约2.010km，总造价约7558万元。</w:t>
      </w:r>
    </w:p>
    <w:p w14:paraId="44153A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A线：B线路线起于木厝洋（BK3+100），自东南向西北展线，终点（BK5+220）至黄檗山万福寺，路线里程约2.120km，总造价约10301万元。</w:t>
      </w:r>
    </w:p>
    <w:p w14:paraId="2BEA4CE6">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工程方案比选</w:t>
      </w:r>
    </w:p>
    <w:p w14:paraId="325C2C6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主要工程数量比</w:t>
      </w:r>
      <w:bookmarkStart w:id="225" w:name="hmcheck_b30e47599007446888852f62f36d9e66"/>
      <w:r>
        <w:rPr>
          <w:rFonts w:hint="eastAsia"/>
          <w:color w:val="000000" w:themeColor="text1"/>
          <w:shd w:val="clear" w:fill="FFAFAA"/>
          <w14:textFill>
            <w14:solidFill>
              <w14:schemeClr w14:val="tx1"/>
            </w14:solidFill>
          </w14:textFill>
        </w:rPr>
        <w:t>较见</w:t>
      </w:r>
      <w:bookmarkEnd w:id="225"/>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_Ref152838207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，方案比选见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_Ref177714367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表3.1-3</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，方案比选线路图详见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_Ref193467812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0817AE8A">
      <w:pPr>
        <w:pStyle w:val="87"/>
        <w:spacing w:before="120"/>
        <w:ind w:left="48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3.1.2  木厝洋段比选方案主要工程数量及指标比较表</w:t>
      </w:r>
    </w:p>
    <w:tbl>
      <w:tblPr>
        <w:tblStyle w:val="399"/>
        <w:tblW w:w="9291"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28" w:type="dxa"/>
          <w:left w:w="108" w:type="dxa"/>
          <w:bottom w:w="28" w:type="dxa"/>
          <w:right w:w="108" w:type="dxa"/>
        </w:tblCellMar>
      </w:tblPr>
      <w:tblGrid>
        <w:gridCol w:w="687"/>
        <w:gridCol w:w="1980"/>
        <w:gridCol w:w="966"/>
        <w:gridCol w:w="1532"/>
        <w:gridCol w:w="1532"/>
        <w:gridCol w:w="1483"/>
        <w:gridCol w:w="1111"/>
      </w:tblGrid>
      <w:tr w14:paraId="1EE7D7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tcBorders>
              <w:top w:val="single" w:color="auto" w:sz="12" w:space="0"/>
              <w:left w:val="nil"/>
              <w:bottom w:val="nil"/>
              <w:right w:val="single" w:color="auto" w:sz="6" w:space="0"/>
              <w:insideH w:val="nil"/>
              <w:insideV w:val="single" w:sz="6" w:space="0"/>
              <w:tl2br w:val="nil"/>
              <w:tr2bl w:val="nil"/>
            </w:tcBorders>
            <w:vAlign w:val="center"/>
          </w:tcPr>
          <w:p w14:paraId="59D3AB8B">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序号</w:t>
            </w:r>
          </w:p>
        </w:tc>
        <w:tc>
          <w:tcPr>
            <w:tcW w:w="1980" w:type="dxa"/>
            <w:tcBorders>
              <w:top w:val="single" w:color="auto" w:sz="12" w:space="0"/>
              <w:bottom w:val="nil"/>
              <w:right w:val="single" w:color="auto" w:sz="6" w:space="0"/>
              <w:insideH w:val="nil"/>
              <w:insideV w:val="single" w:sz="6" w:space="0"/>
              <w:tl2br w:val="nil"/>
              <w:tr2bl w:val="nil"/>
            </w:tcBorders>
            <w:vAlign w:val="center"/>
          </w:tcPr>
          <w:p w14:paraId="7CB7698C">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6"/>
                <w14:textFill>
                  <w14:solidFill>
                    <w14:schemeClr w14:val="tx1"/>
                  </w14:solidFill>
                </w14:textFill>
              </w:rPr>
              <w:t>工程项目</w:t>
            </w:r>
          </w:p>
        </w:tc>
        <w:tc>
          <w:tcPr>
            <w:tcW w:w="966" w:type="dxa"/>
            <w:tcBorders>
              <w:top w:val="single" w:color="auto" w:sz="12" w:space="0"/>
              <w:bottom w:val="nil"/>
              <w:right w:val="single" w:color="auto" w:sz="6" w:space="0"/>
              <w:insideH w:val="nil"/>
              <w:insideV w:val="single" w:sz="6" w:space="0"/>
              <w:tl2br w:val="nil"/>
              <w:tr2bl w:val="nil"/>
            </w:tcBorders>
            <w:vAlign w:val="center"/>
          </w:tcPr>
          <w:p w14:paraId="7FEB5272">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3"/>
                <w14:textFill>
                  <w14:solidFill>
                    <w14:schemeClr w14:val="tx1"/>
                  </w14:solidFill>
                </w14:textFill>
              </w:rPr>
              <w:t>单位</w:t>
            </w:r>
          </w:p>
        </w:tc>
        <w:tc>
          <w:tcPr>
            <w:tcW w:w="1532" w:type="dxa"/>
            <w:tcBorders>
              <w:top w:val="single" w:color="auto" w:sz="12" w:space="0"/>
              <w:bottom w:val="nil"/>
              <w:right w:val="single" w:color="auto" w:sz="6" w:space="0"/>
              <w:insideH w:val="nil"/>
              <w:insideV w:val="single" w:sz="6" w:space="0"/>
              <w:tl2br w:val="nil"/>
              <w:tr2bl w:val="nil"/>
            </w:tcBorders>
            <w:vAlign w:val="center"/>
          </w:tcPr>
          <w:p w14:paraId="67CA6AE3">
            <w:pPr>
              <w:pStyle w:val="105"/>
              <w:widowControl w:val="0"/>
              <w:jc w:val="center"/>
              <w:rPr>
                <w:rFonts w:eastAsia="New York"/>
                <w:color w:val="000000" w:themeColor="text1"/>
                <w14:textFill>
                  <w14:solidFill>
                    <w14:schemeClr w14:val="tx1"/>
                  </w14:solidFill>
                </w14:textFill>
              </w:rPr>
            </w:pPr>
            <w:r>
              <w:rPr>
                <w:rFonts w:eastAsia="New York"/>
                <w:color w:val="000000" w:themeColor="text1"/>
                <w:spacing w:val="4"/>
                <w14:textFill>
                  <w14:solidFill>
                    <w14:schemeClr w14:val="tx1"/>
                  </w14:solidFill>
                </w14:textFill>
              </w:rPr>
              <w:t>K</w:t>
            </w:r>
            <w:r>
              <w:rPr>
                <w:rFonts w:hint="eastAsia" w:ascii="宋体" w:hAnsi="宋体" w:eastAsia="宋体"/>
                <w:color w:val="000000" w:themeColor="text1"/>
                <w:spacing w:val="4"/>
                <w14:textFill>
                  <w14:solidFill>
                    <w14:schemeClr w14:val="tx1"/>
                  </w14:solidFill>
                </w14:textFill>
              </w:rPr>
              <w:t>线方案</w:t>
            </w:r>
          </w:p>
        </w:tc>
        <w:tc>
          <w:tcPr>
            <w:tcW w:w="1532" w:type="dxa"/>
            <w:tcBorders>
              <w:top w:val="single" w:color="auto" w:sz="12" w:space="0"/>
              <w:bottom w:val="nil"/>
              <w:right w:val="single" w:color="auto" w:sz="6" w:space="0"/>
              <w:insideH w:val="nil"/>
              <w:insideV w:val="single" w:sz="6" w:space="0"/>
              <w:tl2br w:val="nil"/>
              <w:tr2bl w:val="nil"/>
            </w:tcBorders>
            <w:vAlign w:val="center"/>
          </w:tcPr>
          <w:p w14:paraId="3B0E4C93">
            <w:pPr>
              <w:pStyle w:val="105"/>
              <w:widowControl w:val="0"/>
              <w:jc w:val="center"/>
              <w:rPr>
                <w:rFonts w:eastAsia="New York"/>
                <w:color w:val="000000" w:themeColor="text1"/>
                <w14:textFill>
                  <w14:solidFill>
                    <w14:schemeClr w14:val="tx1"/>
                  </w14:solidFill>
                </w14:textFill>
              </w:rPr>
            </w:pPr>
            <w:r>
              <w:rPr>
                <w:rFonts w:eastAsia="New York"/>
                <w:color w:val="000000" w:themeColor="text1"/>
                <w:spacing w:val="4"/>
                <w14:textFill>
                  <w14:solidFill>
                    <w14:schemeClr w14:val="tx1"/>
                  </w14:solidFill>
                </w14:textFill>
              </w:rPr>
              <w:t>B</w:t>
            </w:r>
            <w:r>
              <w:rPr>
                <w:rFonts w:hint="eastAsia" w:ascii="宋体" w:hAnsi="宋体" w:eastAsia="宋体"/>
                <w:color w:val="000000" w:themeColor="text1"/>
                <w:spacing w:val="4"/>
                <w14:textFill>
                  <w14:solidFill>
                    <w14:schemeClr w14:val="tx1"/>
                  </w14:solidFill>
                </w14:textFill>
              </w:rPr>
              <w:t>线方案</w:t>
            </w:r>
          </w:p>
        </w:tc>
        <w:tc>
          <w:tcPr>
            <w:tcW w:w="1483" w:type="dxa"/>
            <w:tcBorders>
              <w:top w:val="single" w:color="auto" w:sz="12" w:space="0"/>
              <w:bottom w:val="nil"/>
              <w:right w:val="single" w:color="auto" w:sz="6" w:space="0"/>
              <w:insideH w:val="nil"/>
              <w:insideV w:val="single" w:sz="6" w:space="0"/>
              <w:tl2br w:val="nil"/>
              <w:tr2bl w:val="nil"/>
            </w:tcBorders>
            <w:vAlign w:val="center"/>
          </w:tcPr>
          <w:p w14:paraId="43A47821">
            <w:pPr>
              <w:pStyle w:val="105"/>
              <w:widowControl w:val="0"/>
              <w:jc w:val="center"/>
              <w:rPr>
                <w:rFonts w:eastAsia="New York"/>
                <w:color w:val="000000" w:themeColor="text1"/>
                <w14:textFill>
                  <w14:solidFill>
                    <w14:schemeClr w14:val="tx1"/>
                  </w14:solidFill>
                </w14:textFill>
              </w:rPr>
            </w:pPr>
            <w:r>
              <w:rPr>
                <w:rFonts w:eastAsia="New York"/>
                <w:color w:val="000000" w:themeColor="text1"/>
                <w14:textFill>
                  <w14:solidFill>
                    <w14:schemeClr w14:val="tx1"/>
                  </w14:solidFill>
                </w14:textFill>
              </w:rPr>
              <w:t>B-K</w:t>
            </w:r>
            <w:r>
              <w:rPr>
                <w:rFonts w:hint="eastAsia" w:ascii="宋体" w:hAnsi="宋体" w:eastAsia="宋体"/>
                <w:color w:val="000000" w:themeColor="text1"/>
                <w14:textFill>
                  <w14:solidFill>
                    <w14:schemeClr w14:val="tx1"/>
                  </w14:solidFill>
                </w14:textFill>
              </w:rPr>
              <w:t>线方案</w:t>
            </w:r>
          </w:p>
        </w:tc>
        <w:tc>
          <w:tcPr>
            <w:tcW w:w="1111" w:type="dxa"/>
            <w:tcBorders>
              <w:top w:val="single" w:color="auto" w:sz="12" w:space="0"/>
              <w:bottom w:val="nil"/>
              <w:right w:val="nil"/>
              <w:insideH w:val="nil"/>
              <w:insideV w:val="single" w:sz="6" w:space="0"/>
              <w:tl2br w:val="nil"/>
              <w:tr2bl w:val="nil"/>
            </w:tcBorders>
            <w:vAlign w:val="center"/>
          </w:tcPr>
          <w:p w14:paraId="36B18C83">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3"/>
                <w14:textFill>
                  <w14:solidFill>
                    <w14:schemeClr w14:val="tx1"/>
                  </w14:solidFill>
                </w14:textFill>
              </w:rPr>
              <w:t>备注</w:t>
            </w:r>
          </w:p>
        </w:tc>
      </w:tr>
      <w:tr w14:paraId="051220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7406CE3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1980" w:type="dxa"/>
            <w:vAlign w:val="center"/>
          </w:tcPr>
          <w:p w14:paraId="20885F31">
            <w:pPr>
              <w:pStyle w:val="105"/>
              <w:widowControl w:val="0"/>
              <w:jc w:val="center"/>
              <w:rPr>
                <w:color w:val="000000" w:themeColor="text1"/>
                <w14:textFill>
                  <w14:solidFill>
                    <w14:schemeClr w14:val="tx1"/>
                  </w14:solidFill>
                </w14:textFill>
              </w:rPr>
            </w:pPr>
            <w:r>
              <w:rPr>
                <w:color w:val="000000" w:themeColor="text1"/>
                <w:spacing w:val="6"/>
                <w14:textFill>
                  <w14:solidFill>
                    <w14:schemeClr w14:val="tx1"/>
                  </w14:solidFill>
                </w14:textFill>
              </w:rPr>
              <w:t>路线长度</w:t>
            </w:r>
          </w:p>
        </w:tc>
        <w:tc>
          <w:tcPr>
            <w:tcW w:w="966" w:type="dxa"/>
            <w:vAlign w:val="center"/>
          </w:tcPr>
          <w:p w14:paraId="31C8DAB9">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公里</w:t>
            </w:r>
          </w:p>
        </w:tc>
        <w:tc>
          <w:tcPr>
            <w:tcW w:w="1532" w:type="dxa"/>
            <w:vAlign w:val="center"/>
          </w:tcPr>
          <w:p w14:paraId="46E9190F">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2.010</w:t>
            </w:r>
          </w:p>
        </w:tc>
        <w:tc>
          <w:tcPr>
            <w:tcW w:w="1532" w:type="dxa"/>
            <w:vAlign w:val="center"/>
          </w:tcPr>
          <w:p w14:paraId="32CEC9C0">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2.120</w:t>
            </w:r>
          </w:p>
        </w:tc>
        <w:tc>
          <w:tcPr>
            <w:tcW w:w="1483" w:type="dxa"/>
            <w:vAlign w:val="center"/>
          </w:tcPr>
          <w:p w14:paraId="55AD8432">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0.110</w:t>
            </w:r>
          </w:p>
        </w:tc>
        <w:tc>
          <w:tcPr>
            <w:tcW w:w="1111" w:type="dxa"/>
            <w:vAlign w:val="center"/>
          </w:tcPr>
          <w:p w14:paraId="4D15B371">
            <w:pPr>
              <w:pStyle w:val="105"/>
              <w:widowControl w:val="0"/>
              <w:jc w:val="center"/>
              <w:rPr>
                <w:color w:val="000000" w:themeColor="text1"/>
                <w14:textFill>
                  <w14:solidFill>
                    <w14:schemeClr w14:val="tx1"/>
                  </w14:solidFill>
                </w14:textFill>
              </w:rPr>
            </w:pPr>
          </w:p>
        </w:tc>
      </w:tr>
      <w:tr w14:paraId="7D9CA1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75FBA81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1980" w:type="dxa"/>
            <w:vAlign w:val="center"/>
          </w:tcPr>
          <w:p w14:paraId="433656D8">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路基土石方</w:t>
            </w:r>
          </w:p>
        </w:tc>
        <w:tc>
          <w:tcPr>
            <w:tcW w:w="966" w:type="dxa"/>
            <w:vAlign w:val="center"/>
          </w:tcPr>
          <w:p w14:paraId="7E6AB4CD">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10"/>
                <w:sz w:val="10"/>
                <w:szCs w:val="10"/>
                <w14:textFill>
                  <w14:solidFill>
                    <w14:schemeClr w14:val="tx1"/>
                  </w14:solidFill>
                </w14:textFill>
              </w:rPr>
              <w:t>3</w:t>
            </w:r>
          </w:p>
        </w:tc>
        <w:tc>
          <w:tcPr>
            <w:tcW w:w="1532" w:type="dxa"/>
            <w:vAlign w:val="center"/>
          </w:tcPr>
          <w:p w14:paraId="77A6CC9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185.3</w:t>
            </w:r>
          </w:p>
        </w:tc>
        <w:tc>
          <w:tcPr>
            <w:tcW w:w="1532" w:type="dxa"/>
            <w:vAlign w:val="center"/>
          </w:tcPr>
          <w:p w14:paraId="07DB629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136.5</w:t>
            </w:r>
          </w:p>
        </w:tc>
        <w:tc>
          <w:tcPr>
            <w:tcW w:w="1483" w:type="dxa"/>
            <w:vAlign w:val="center"/>
          </w:tcPr>
          <w:p w14:paraId="2EB7E723">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-48.8</w:t>
            </w:r>
          </w:p>
        </w:tc>
        <w:tc>
          <w:tcPr>
            <w:tcW w:w="1111" w:type="dxa"/>
            <w:vAlign w:val="center"/>
          </w:tcPr>
          <w:p w14:paraId="672C9FA6">
            <w:pPr>
              <w:pStyle w:val="105"/>
              <w:widowControl w:val="0"/>
              <w:jc w:val="center"/>
              <w:rPr>
                <w:color w:val="000000" w:themeColor="text1"/>
                <w14:textFill>
                  <w14:solidFill>
                    <w14:schemeClr w14:val="tx1"/>
                  </w14:solidFill>
                </w14:textFill>
              </w:rPr>
            </w:pPr>
          </w:p>
        </w:tc>
      </w:tr>
      <w:tr w14:paraId="281E98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63EA7C0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1980" w:type="dxa"/>
            <w:vAlign w:val="center"/>
          </w:tcPr>
          <w:p w14:paraId="5DF2D502">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土方</w:t>
            </w:r>
          </w:p>
        </w:tc>
        <w:tc>
          <w:tcPr>
            <w:tcW w:w="966" w:type="dxa"/>
            <w:vAlign w:val="center"/>
          </w:tcPr>
          <w:p w14:paraId="61CB27F8">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10"/>
                <w:sz w:val="10"/>
                <w:szCs w:val="10"/>
                <w14:textFill>
                  <w14:solidFill>
                    <w14:schemeClr w14:val="tx1"/>
                  </w14:solidFill>
                </w14:textFill>
              </w:rPr>
              <w:t>3</w:t>
            </w:r>
          </w:p>
        </w:tc>
        <w:tc>
          <w:tcPr>
            <w:tcW w:w="1532" w:type="dxa"/>
            <w:vAlign w:val="center"/>
          </w:tcPr>
          <w:p w14:paraId="7A1DC21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129.7</w:t>
            </w:r>
          </w:p>
        </w:tc>
        <w:tc>
          <w:tcPr>
            <w:tcW w:w="1532" w:type="dxa"/>
            <w:vAlign w:val="center"/>
          </w:tcPr>
          <w:p w14:paraId="028E5030">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78.3</w:t>
            </w:r>
          </w:p>
        </w:tc>
        <w:tc>
          <w:tcPr>
            <w:tcW w:w="1483" w:type="dxa"/>
            <w:vAlign w:val="center"/>
          </w:tcPr>
          <w:p w14:paraId="5C98BAC4">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-51.4</w:t>
            </w:r>
          </w:p>
        </w:tc>
        <w:tc>
          <w:tcPr>
            <w:tcW w:w="1111" w:type="dxa"/>
            <w:vAlign w:val="center"/>
          </w:tcPr>
          <w:p w14:paraId="7DD1DDE7">
            <w:pPr>
              <w:pStyle w:val="105"/>
              <w:widowControl w:val="0"/>
              <w:jc w:val="center"/>
              <w:rPr>
                <w:color w:val="000000" w:themeColor="text1"/>
                <w14:textFill>
                  <w14:solidFill>
                    <w14:schemeClr w14:val="tx1"/>
                  </w14:solidFill>
                </w14:textFill>
              </w:rPr>
            </w:pPr>
          </w:p>
        </w:tc>
      </w:tr>
      <w:tr w14:paraId="1F8177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11052D2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1980" w:type="dxa"/>
            <w:vAlign w:val="center"/>
          </w:tcPr>
          <w:p w14:paraId="0AAC11CE">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石方</w:t>
            </w:r>
          </w:p>
        </w:tc>
        <w:tc>
          <w:tcPr>
            <w:tcW w:w="966" w:type="dxa"/>
            <w:vAlign w:val="center"/>
          </w:tcPr>
          <w:p w14:paraId="3D418700">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9"/>
                <w:sz w:val="10"/>
                <w:szCs w:val="10"/>
                <w14:textFill>
                  <w14:solidFill>
                    <w14:schemeClr w14:val="tx1"/>
                  </w14:solidFill>
                </w14:textFill>
              </w:rPr>
              <w:t>3</w:t>
            </w:r>
          </w:p>
        </w:tc>
        <w:tc>
          <w:tcPr>
            <w:tcW w:w="1532" w:type="dxa"/>
            <w:vAlign w:val="center"/>
          </w:tcPr>
          <w:p w14:paraId="23C31D18">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55.6</w:t>
            </w:r>
          </w:p>
        </w:tc>
        <w:tc>
          <w:tcPr>
            <w:tcW w:w="1532" w:type="dxa"/>
            <w:vAlign w:val="center"/>
          </w:tcPr>
          <w:p w14:paraId="47B10434">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58.2</w:t>
            </w:r>
          </w:p>
        </w:tc>
        <w:tc>
          <w:tcPr>
            <w:tcW w:w="1483" w:type="dxa"/>
            <w:vAlign w:val="center"/>
          </w:tcPr>
          <w:p w14:paraId="1B8E1B64">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2.6</w:t>
            </w:r>
          </w:p>
        </w:tc>
        <w:tc>
          <w:tcPr>
            <w:tcW w:w="1111" w:type="dxa"/>
            <w:vAlign w:val="center"/>
          </w:tcPr>
          <w:p w14:paraId="7625794B">
            <w:pPr>
              <w:pStyle w:val="105"/>
              <w:widowControl w:val="0"/>
              <w:jc w:val="center"/>
              <w:rPr>
                <w:color w:val="000000" w:themeColor="text1"/>
                <w14:textFill>
                  <w14:solidFill>
                    <w14:schemeClr w14:val="tx1"/>
                  </w14:solidFill>
                </w14:textFill>
              </w:rPr>
            </w:pPr>
          </w:p>
        </w:tc>
      </w:tr>
      <w:tr w14:paraId="515CCC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0B2BC0F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980" w:type="dxa"/>
            <w:vAlign w:val="center"/>
          </w:tcPr>
          <w:p w14:paraId="4861C4C0">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排水与防护</w:t>
            </w:r>
          </w:p>
        </w:tc>
        <w:tc>
          <w:tcPr>
            <w:tcW w:w="966" w:type="dxa"/>
            <w:vAlign w:val="center"/>
          </w:tcPr>
          <w:p w14:paraId="0EDA261D">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10"/>
                <w:sz w:val="10"/>
                <w:szCs w:val="10"/>
                <w14:textFill>
                  <w14:solidFill>
                    <w14:schemeClr w14:val="tx1"/>
                  </w14:solidFill>
                </w14:textFill>
              </w:rPr>
              <w:t>3</w:t>
            </w:r>
          </w:p>
        </w:tc>
        <w:tc>
          <w:tcPr>
            <w:tcW w:w="1532" w:type="dxa"/>
            <w:vAlign w:val="center"/>
          </w:tcPr>
          <w:p w14:paraId="4BD6C93E">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3.1</w:t>
            </w:r>
          </w:p>
        </w:tc>
        <w:tc>
          <w:tcPr>
            <w:tcW w:w="1532" w:type="dxa"/>
            <w:vAlign w:val="center"/>
          </w:tcPr>
          <w:p w14:paraId="6E862A36">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2.9</w:t>
            </w:r>
          </w:p>
        </w:tc>
        <w:tc>
          <w:tcPr>
            <w:tcW w:w="1483" w:type="dxa"/>
            <w:vAlign w:val="center"/>
          </w:tcPr>
          <w:p w14:paraId="6718EF20">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-0.2</w:t>
            </w:r>
          </w:p>
        </w:tc>
        <w:tc>
          <w:tcPr>
            <w:tcW w:w="1111" w:type="dxa"/>
            <w:vAlign w:val="center"/>
          </w:tcPr>
          <w:p w14:paraId="3196D58C">
            <w:pPr>
              <w:pStyle w:val="105"/>
              <w:widowControl w:val="0"/>
              <w:jc w:val="center"/>
              <w:rPr>
                <w:color w:val="000000" w:themeColor="text1"/>
                <w14:textFill>
                  <w14:solidFill>
                    <w14:schemeClr w14:val="tx1"/>
                  </w14:solidFill>
                </w14:textFill>
              </w:rPr>
            </w:pPr>
          </w:p>
        </w:tc>
      </w:tr>
      <w:tr w14:paraId="66AC52C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22CC35B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6</w:t>
            </w:r>
          </w:p>
        </w:tc>
        <w:tc>
          <w:tcPr>
            <w:tcW w:w="1980" w:type="dxa"/>
            <w:vAlign w:val="center"/>
          </w:tcPr>
          <w:p w14:paraId="55D64BF1">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换填</w:t>
            </w:r>
          </w:p>
        </w:tc>
        <w:tc>
          <w:tcPr>
            <w:tcW w:w="966" w:type="dxa"/>
            <w:vAlign w:val="center"/>
          </w:tcPr>
          <w:p w14:paraId="5F40BDDF">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10"/>
                <w:sz w:val="10"/>
                <w:szCs w:val="10"/>
                <w14:textFill>
                  <w14:solidFill>
                    <w14:schemeClr w14:val="tx1"/>
                  </w14:solidFill>
                </w14:textFill>
              </w:rPr>
              <w:t>3</w:t>
            </w:r>
          </w:p>
        </w:tc>
        <w:tc>
          <w:tcPr>
            <w:tcW w:w="1532" w:type="dxa"/>
            <w:vAlign w:val="center"/>
          </w:tcPr>
          <w:p w14:paraId="35F07EED">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1.96</w:t>
            </w:r>
          </w:p>
        </w:tc>
        <w:tc>
          <w:tcPr>
            <w:tcW w:w="1532" w:type="dxa"/>
            <w:vAlign w:val="center"/>
          </w:tcPr>
          <w:p w14:paraId="25885BFE">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4.28</w:t>
            </w:r>
          </w:p>
        </w:tc>
        <w:tc>
          <w:tcPr>
            <w:tcW w:w="1483" w:type="dxa"/>
            <w:vAlign w:val="center"/>
          </w:tcPr>
          <w:p w14:paraId="072353D3">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2.32</w:t>
            </w:r>
          </w:p>
        </w:tc>
        <w:tc>
          <w:tcPr>
            <w:tcW w:w="1111" w:type="dxa"/>
            <w:vAlign w:val="center"/>
          </w:tcPr>
          <w:p w14:paraId="0C9E67CB">
            <w:pPr>
              <w:pStyle w:val="105"/>
              <w:widowControl w:val="0"/>
              <w:jc w:val="center"/>
              <w:rPr>
                <w:color w:val="000000" w:themeColor="text1"/>
                <w14:textFill>
                  <w14:solidFill>
                    <w14:schemeClr w14:val="tx1"/>
                  </w14:solidFill>
                </w14:textFill>
              </w:rPr>
            </w:pPr>
          </w:p>
        </w:tc>
      </w:tr>
      <w:tr w14:paraId="3B4288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732ADD8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7</w:t>
            </w:r>
          </w:p>
        </w:tc>
        <w:tc>
          <w:tcPr>
            <w:tcW w:w="1980" w:type="dxa"/>
            <w:vAlign w:val="center"/>
          </w:tcPr>
          <w:p w14:paraId="0F998C0D">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碎石桩</w:t>
            </w:r>
          </w:p>
        </w:tc>
        <w:tc>
          <w:tcPr>
            <w:tcW w:w="966" w:type="dxa"/>
            <w:vAlign w:val="center"/>
          </w:tcPr>
          <w:p w14:paraId="490E0AEC">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10m</w:t>
            </w:r>
          </w:p>
        </w:tc>
        <w:tc>
          <w:tcPr>
            <w:tcW w:w="1532" w:type="dxa"/>
            <w:vAlign w:val="center"/>
          </w:tcPr>
          <w:p w14:paraId="40F3B569">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246</w:t>
            </w:r>
          </w:p>
        </w:tc>
        <w:tc>
          <w:tcPr>
            <w:tcW w:w="1532" w:type="dxa"/>
            <w:vAlign w:val="center"/>
          </w:tcPr>
          <w:p w14:paraId="3C1E6D16">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325</w:t>
            </w:r>
          </w:p>
        </w:tc>
        <w:tc>
          <w:tcPr>
            <w:tcW w:w="1483" w:type="dxa"/>
            <w:vAlign w:val="center"/>
          </w:tcPr>
          <w:p w14:paraId="0BF4327D">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79</w:t>
            </w:r>
          </w:p>
        </w:tc>
        <w:tc>
          <w:tcPr>
            <w:tcW w:w="1111" w:type="dxa"/>
            <w:vAlign w:val="center"/>
          </w:tcPr>
          <w:p w14:paraId="5E7EB5A9">
            <w:pPr>
              <w:pStyle w:val="105"/>
              <w:widowControl w:val="0"/>
              <w:jc w:val="center"/>
              <w:rPr>
                <w:color w:val="000000" w:themeColor="text1"/>
                <w14:textFill>
                  <w14:solidFill>
                    <w14:schemeClr w14:val="tx1"/>
                  </w14:solidFill>
                </w14:textFill>
              </w:rPr>
            </w:pPr>
          </w:p>
        </w:tc>
      </w:tr>
      <w:tr w14:paraId="46D66F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50D2148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8</w:t>
            </w:r>
          </w:p>
        </w:tc>
        <w:tc>
          <w:tcPr>
            <w:tcW w:w="1980" w:type="dxa"/>
            <w:vAlign w:val="center"/>
          </w:tcPr>
          <w:p w14:paraId="631C285A">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沥青砼路面</w:t>
            </w:r>
          </w:p>
        </w:tc>
        <w:tc>
          <w:tcPr>
            <w:tcW w:w="966" w:type="dxa"/>
            <w:vAlign w:val="center"/>
          </w:tcPr>
          <w:p w14:paraId="3951C3FF">
            <w:pPr>
              <w:pStyle w:val="105"/>
              <w:widowControl w:val="0"/>
              <w:jc w:val="center"/>
              <w:rPr>
                <w:color w:val="000000" w:themeColor="text1"/>
                <w:sz w:val="10"/>
                <w:szCs w:val="10"/>
                <w14:textFill>
                  <w14:solidFill>
                    <w14:schemeClr w14:val="tx1"/>
                  </w14:solidFill>
                </w14:textFill>
              </w:rPr>
            </w:pPr>
            <w:r>
              <w:rPr>
                <w:color w:val="000000" w:themeColor="text1"/>
                <w14:textFill>
                  <w14:solidFill>
                    <w14:schemeClr w14:val="tx1"/>
                  </w14:solidFill>
                </w14:textFill>
              </w:rPr>
              <w:t>1000m</w:t>
            </w:r>
            <w:r>
              <w:rPr>
                <w:color w:val="000000" w:themeColor="text1"/>
                <w:position w:val="9"/>
                <w:sz w:val="10"/>
                <w:szCs w:val="10"/>
                <w14:textFill>
                  <w14:solidFill>
                    <w14:schemeClr w14:val="tx1"/>
                  </w14:solidFill>
                </w14:textFill>
              </w:rPr>
              <w:t>2</w:t>
            </w:r>
          </w:p>
        </w:tc>
        <w:tc>
          <w:tcPr>
            <w:tcW w:w="1532" w:type="dxa"/>
            <w:vAlign w:val="center"/>
          </w:tcPr>
          <w:p w14:paraId="3F892038">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32.1</w:t>
            </w:r>
          </w:p>
        </w:tc>
        <w:tc>
          <w:tcPr>
            <w:tcW w:w="1532" w:type="dxa"/>
            <w:vAlign w:val="center"/>
          </w:tcPr>
          <w:p w14:paraId="3457327D">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30.8</w:t>
            </w:r>
          </w:p>
        </w:tc>
        <w:tc>
          <w:tcPr>
            <w:tcW w:w="1483" w:type="dxa"/>
            <w:vAlign w:val="center"/>
          </w:tcPr>
          <w:p w14:paraId="57134653">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-1.3</w:t>
            </w:r>
          </w:p>
        </w:tc>
        <w:tc>
          <w:tcPr>
            <w:tcW w:w="1111" w:type="dxa"/>
            <w:vAlign w:val="center"/>
          </w:tcPr>
          <w:p w14:paraId="34F1A8CD">
            <w:pPr>
              <w:pStyle w:val="105"/>
              <w:widowControl w:val="0"/>
              <w:jc w:val="center"/>
              <w:rPr>
                <w:color w:val="000000" w:themeColor="text1"/>
                <w14:textFill>
                  <w14:solidFill>
                    <w14:schemeClr w14:val="tx1"/>
                  </w14:solidFill>
                </w14:textFill>
              </w:rPr>
            </w:pPr>
          </w:p>
        </w:tc>
      </w:tr>
      <w:tr w14:paraId="4512BE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06120A0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9</w:t>
            </w:r>
          </w:p>
        </w:tc>
        <w:tc>
          <w:tcPr>
            <w:tcW w:w="1980" w:type="dxa"/>
            <w:vAlign w:val="center"/>
          </w:tcPr>
          <w:p w14:paraId="71EEE988">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桥梁</w:t>
            </w:r>
          </w:p>
        </w:tc>
        <w:tc>
          <w:tcPr>
            <w:tcW w:w="966" w:type="dxa"/>
            <w:vAlign w:val="center"/>
          </w:tcPr>
          <w:p w14:paraId="6A05011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m/座</w:t>
            </w:r>
          </w:p>
        </w:tc>
        <w:tc>
          <w:tcPr>
            <w:tcW w:w="1532" w:type="dxa"/>
            <w:vAlign w:val="center"/>
          </w:tcPr>
          <w:p w14:paraId="4ECF8E45">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7m/1座</w:t>
            </w:r>
          </w:p>
        </w:tc>
        <w:tc>
          <w:tcPr>
            <w:tcW w:w="1532" w:type="dxa"/>
            <w:vAlign w:val="center"/>
          </w:tcPr>
          <w:p w14:paraId="7C679B65">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97m/1座</w:t>
            </w:r>
          </w:p>
        </w:tc>
        <w:tc>
          <w:tcPr>
            <w:tcW w:w="1483" w:type="dxa"/>
            <w:vAlign w:val="center"/>
          </w:tcPr>
          <w:p w14:paraId="0AE16AF6">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-60</w:t>
            </w:r>
          </w:p>
        </w:tc>
        <w:tc>
          <w:tcPr>
            <w:tcW w:w="1111" w:type="dxa"/>
            <w:vAlign w:val="center"/>
          </w:tcPr>
          <w:p w14:paraId="2ABF7324">
            <w:pPr>
              <w:pStyle w:val="105"/>
              <w:widowControl w:val="0"/>
              <w:jc w:val="center"/>
              <w:rPr>
                <w:color w:val="000000" w:themeColor="text1"/>
                <w14:textFill>
                  <w14:solidFill>
                    <w14:schemeClr w14:val="tx1"/>
                  </w14:solidFill>
                </w14:textFill>
              </w:rPr>
            </w:pPr>
          </w:p>
        </w:tc>
      </w:tr>
      <w:tr w14:paraId="0884392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4D2F8302">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10</w:t>
            </w:r>
          </w:p>
        </w:tc>
        <w:tc>
          <w:tcPr>
            <w:tcW w:w="1980" w:type="dxa"/>
            <w:vAlign w:val="center"/>
          </w:tcPr>
          <w:p w14:paraId="5200C847">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涵洞</w:t>
            </w:r>
          </w:p>
        </w:tc>
        <w:tc>
          <w:tcPr>
            <w:tcW w:w="966" w:type="dxa"/>
            <w:vAlign w:val="center"/>
          </w:tcPr>
          <w:p w14:paraId="11AF717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m/道</w:t>
            </w:r>
          </w:p>
        </w:tc>
        <w:tc>
          <w:tcPr>
            <w:tcW w:w="1532" w:type="dxa"/>
            <w:vAlign w:val="center"/>
          </w:tcPr>
          <w:p w14:paraId="135540A9">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242m/12道</w:t>
            </w:r>
          </w:p>
        </w:tc>
        <w:tc>
          <w:tcPr>
            <w:tcW w:w="1532" w:type="dxa"/>
            <w:vAlign w:val="center"/>
          </w:tcPr>
          <w:p w14:paraId="26A8780F">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296m/14道</w:t>
            </w:r>
          </w:p>
        </w:tc>
        <w:tc>
          <w:tcPr>
            <w:tcW w:w="1483" w:type="dxa"/>
            <w:vAlign w:val="center"/>
          </w:tcPr>
          <w:p w14:paraId="5395E9BF">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54</w:t>
            </w:r>
          </w:p>
        </w:tc>
        <w:tc>
          <w:tcPr>
            <w:tcW w:w="1111" w:type="dxa"/>
            <w:vAlign w:val="center"/>
          </w:tcPr>
          <w:p w14:paraId="4E050C62">
            <w:pPr>
              <w:pStyle w:val="105"/>
              <w:widowControl w:val="0"/>
              <w:jc w:val="center"/>
              <w:rPr>
                <w:color w:val="000000" w:themeColor="text1"/>
                <w14:textFill>
                  <w14:solidFill>
                    <w14:schemeClr w14:val="tx1"/>
                  </w14:solidFill>
                </w14:textFill>
              </w:rPr>
            </w:pPr>
          </w:p>
        </w:tc>
      </w:tr>
      <w:tr w14:paraId="55BA87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666EEF39">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11</w:t>
            </w:r>
          </w:p>
        </w:tc>
        <w:tc>
          <w:tcPr>
            <w:tcW w:w="1980" w:type="dxa"/>
            <w:vAlign w:val="center"/>
          </w:tcPr>
          <w:p w14:paraId="1B9E062C">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拆迁房屋</w:t>
            </w:r>
          </w:p>
        </w:tc>
        <w:tc>
          <w:tcPr>
            <w:tcW w:w="966" w:type="dxa"/>
            <w:vAlign w:val="center"/>
          </w:tcPr>
          <w:p w14:paraId="6D4E9C59">
            <w:pPr>
              <w:pStyle w:val="105"/>
              <w:widowControl w:val="0"/>
              <w:jc w:val="center"/>
              <w:rPr>
                <w:color w:val="000000" w:themeColor="text1"/>
                <w:sz w:val="10"/>
                <w:szCs w:val="10"/>
                <w14:textFill>
                  <w14:solidFill>
                    <w14:schemeClr w14:val="tx1"/>
                  </w14:solidFill>
                </w14:textFill>
              </w:rPr>
            </w:pPr>
            <w:r>
              <w:rPr>
                <w:color w:val="000000" w:themeColor="text1"/>
                <w:spacing w:val="3"/>
                <w14:textFill>
                  <w14:solidFill>
                    <w14:schemeClr w14:val="tx1"/>
                  </w14:solidFill>
                </w14:textFill>
              </w:rPr>
              <w:t>m</w:t>
            </w:r>
            <w:r>
              <w:rPr>
                <w:color w:val="000000" w:themeColor="text1"/>
                <w:spacing w:val="3"/>
                <w:position w:val="10"/>
                <w:sz w:val="10"/>
                <w:szCs w:val="10"/>
                <w14:textFill>
                  <w14:solidFill>
                    <w14:schemeClr w14:val="tx1"/>
                  </w14:solidFill>
                </w14:textFill>
              </w:rPr>
              <w:t>2</w:t>
            </w:r>
          </w:p>
        </w:tc>
        <w:tc>
          <w:tcPr>
            <w:tcW w:w="1532" w:type="dxa"/>
            <w:vAlign w:val="center"/>
          </w:tcPr>
          <w:p w14:paraId="18EF58C8">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1108/2栋</w:t>
            </w:r>
          </w:p>
        </w:tc>
        <w:tc>
          <w:tcPr>
            <w:tcW w:w="1532" w:type="dxa"/>
            <w:vAlign w:val="center"/>
          </w:tcPr>
          <w:p w14:paraId="27311870">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2257/4栋</w:t>
            </w:r>
          </w:p>
        </w:tc>
        <w:tc>
          <w:tcPr>
            <w:tcW w:w="1483" w:type="dxa"/>
            <w:vAlign w:val="center"/>
          </w:tcPr>
          <w:p w14:paraId="1803C084">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1149</w:t>
            </w:r>
          </w:p>
        </w:tc>
        <w:tc>
          <w:tcPr>
            <w:tcW w:w="1111" w:type="dxa"/>
            <w:vAlign w:val="center"/>
          </w:tcPr>
          <w:p w14:paraId="5A2B0906">
            <w:pPr>
              <w:pStyle w:val="105"/>
              <w:widowControl w:val="0"/>
              <w:jc w:val="center"/>
              <w:rPr>
                <w:color w:val="000000" w:themeColor="text1"/>
                <w14:textFill>
                  <w14:solidFill>
                    <w14:schemeClr w14:val="tx1"/>
                  </w14:solidFill>
                </w14:textFill>
              </w:rPr>
            </w:pPr>
          </w:p>
        </w:tc>
      </w:tr>
      <w:tr w14:paraId="18E1BE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270FDE10">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12</w:t>
            </w:r>
          </w:p>
        </w:tc>
        <w:tc>
          <w:tcPr>
            <w:tcW w:w="1980" w:type="dxa"/>
            <w:vAlign w:val="center"/>
          </w:tcPr>
          <w:p w14:paraId="634901DD">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拆迁电杆</w:t>
            </w:r>
          </w:p>
        </w:tc>
        <w:tc>
          <w:tcPr>
            <w:tcW w:w="966" w:type="dxa"/>
            <w:vAlign w:val="center"/>
          </w:tcPr>
          <w:p w14:paraId="2F390C47">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公里</w:t>
            </w:r>
          </w:p>
        </w:tc>
        <w:tc>
          <w:tcPr>
            <w:tcW w:w="1532" w:type="dxa"/>
            <w:vAlign w:val="center"/>
          </w:tcPr>
          <w:p w14:paraId="33086F36">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2.2</w:t>
            </w:r>
          </w:p>
        </w:tc>
        <w:tc>
          <w:tcPr>
            <w:tcW w:w="1532" w:type="dxa"/>
            <w:vAlign w:val="center"/>
          </w:tcPr>
          <w:p w14:paraId="3E1C4A44">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2.5</w:t>
            </w:r>
          </w:p>
        </w:tc>
        <w:tc>
          <w:tcPr>
            <w:tcW w:w="1483" w:type="dxa"/>
            <w:vAlign w:val="center"/>
          </w:tcPr>
          <w:p w14:paraId="7BA097D9">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0.3</w:t>
            </w:r>
          </w:p>
        </w:tc>
        <w:tc>
          <w:tcPr>
            <w:tcW w:w="1111" w:type="dxa"/>
            <w:vAlign w:val="center"/>
          </w:tcPr>
          <w:p w14:paraId="0B37A589">
            <w:pPr>
              <w:pStyle w:val="105"/>
              <w:widowControl w:val="0"/>
              <w:jc w:val="center"/>
              <w:rPr>
                <w:color w:val="000000" w:themeColor="text1"/>
                <w14:textFill>
                  <w14:solidFill>
                    <w14:schemeClr w14:val="tx1"/>
                  </w14:solidFill>
                </w14:textFill>
              </w:rPr>
            </w:pPr>
          </w:p>
        </w:tc>
      </w:tr>
      <w:tr w14:paraId="0B9478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373B3ABE">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13</w:t>
            </w:r>
          </w:p>
        </w:tc>
        <w:tc>
          <w:tcPr>
            <w:tcW w:w="1980" w:type="dxa"/>
            <w:vAlign w:val="center"/>
          </w:tcPr>
          <w:p w14:paraId="16841735">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征地</w:t>
            </w:r>
          </w:p>
        </w:tc>
        <w:tc>
          <w:tcPr>
            <w:tcW w:w="966" w:type="dxa"/>
            <w:vAlign w:val="center"/>
          </w:tcPr>
          <w:p w14:paraId="1AB006B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亩</w:t>
            </w:r>
          </w:p>
        </w:tc>
        <w:tc>
          <w:tcPr>
            <w:tcW w:w="1532" w:type="dxa"/>
            <w:vAlign w:val="center"/>
          </w:tcPr>
          <w:p w14:paraId="5A3D9048">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85.3</w:t>
            </w:r>
          </w:p>
        </w:tc>
        <w:tc>
          <w:tcPr>
            <w:tcW w:w="1532" w:type="dxa"/>
            <w:vAlign w:val="center"/>
          </w:tcPr>
          <w:p w14:paraId="09E2FB51">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85.6</w:t>
            </w:r>
          </w:p>
        </w:tc>
        <w:tc>
          <w:tcPr>
            <w:tcW w:w="1483" w:type="dxa"/>
            <w:vAlign w:val="center"/>
          </w:tcPr>
          <w:p w14:paraId="28B5A943">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0.3</w:t>
            </w:r>
          </w:p>
        </w:tc>
        <w:tc>
          <w:tcPr>
            <w:tcW w:w="1111" w:type="dxa"/>
            <w:vAlign w:val="center"/>
          </w:tcPr>
          <w:p w14:paraId="546DFBF5">
            <w:pPr>
              <w:pStyle w:val="105"/>
              <w:widowControl w:val="0"/>
              <w:jc w:val="center"/>
              <w:rPr>
                <w:color w:val="000000" w:themeColor="text1"/>
                <w14:textFill>
                  <w14:solidFill>
                    <w14:schemeClr w14:val="tx1"/>
                  </w14:solidFill>
                </w14:textFill>
              </w:rPr>
            </w:pPr>
          </w:p>
        </w:tc>
      </w:tr>
      <w:tr w14:paraId="4FC4CB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1B73768C">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14</w:t>
            </w:r>
          </w:p>
        </w:tc>
        <w:tc>
          <w:tcPr>
            <w:tcW w:w="1980" w:type="dxa"/>
            <w:vAlign w:val="center"/>
          </w:tcPr>
          <w:p w14:paraId="5C587FAD">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占用水田</w:t>
            </w:r>
          </w:p>
        </w:tc>
        <w:tc>
          <w:tcPr>
            <w:tcW w:w="966" w:type="dxa"/>
            <w:vAlign w:val="center"/>
          </w:tcPr>
          <w:p w14:paraId="26A9C88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亩</w:t>
            </w:r>
          </w:p>
        </w:tc>
        <w:tc>
          <w:tcPr>
            <w:tcW w:w="1532" w:type="dxa"/>
            <w:vAlign w:val="center"/>
          </w:tcPr>
          <w:p w14:paraId="39E43293">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17.66</w:t>
            </w:r>
          </w:p>
        </w:tc>
        <w:tc>
          <w:tcPr>
            <w:tcW w:w="1532" w:type="dxa"/>
            <w:vAlign w:val="center"/>
          </w:tcPr>
          <w:p w14:paraId="6B7456E5">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23.84</w:t>
            </w:r>
          </w:p>
        </w:tc>
        <w:tc>
          <w:tcPr>
            <w:tcW w:w="1483" w:type="dxa"/>
            <w:vAlign w:val="center"/>
          </w:tcPr>
          <w:p w14:paraId="0CB68ACB">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6.18</w:t>
            </w:r>
          </w:p>
        </w:tc>
        <w:tc>
          <w:tcPr>
            <w:tcW w:w="1111" w:type="dxa"/>
            <w:vAlign w:val="center"/>
          </w:tcPr>
          <w:p w14:paraId="0F4C98D6">
            <w:pPr>
              <w:pStyle w:val="105"/>
              <w:widowControl w:val="0"/>
              <w:jc w:val="center"/>
              <w:rPr>
                <w:color w:val="000000" w:themeColor="text1"/>
                <w14:textFill>
                  <w14:solidFill>
                    <w14:schemeClr w14:val="tx1"/>
                  </w14:solidFill>
                </w14:textFill>
              </w:rPr>
            </w:pPr>
          </w:p>
        </w:tc>
      </w:tr>
      <w:tr w14:paraId="61582F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4ADA262A">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15</w:t>
            </w:r>
          </w:p>
        </w:tc>
        <w:tc>
          <w:tcPr>
            <w:tcW w:w="1980" w:type="dxa"/>
            <w:vAlign w:val="center"/>
          </w:tcPr>
          <w:p w14:paraId="3C886E46">
            <w:pPr>
              <w:pStyle w:val="105"/>
              <w:widowControl w:val="0"/>
              <w:jc w:val="center"/>
              <w:rPr>
                <w:color w:val="000000" w:themeColor="text1"/>
                <w14:textFill>
                  <w14:solidFill>
                    <w14:schemeClr w14:val="tx1"/>
                  </w14:solidFill>
                </w14:textFill>
              </w:rPr>
            </w:pPr>
            <w:r>
              <w:rPr>
                <w:color w:val="000000" w:themeColor="text1"/>
                <w:spacing w:val="6"/>
                <w14:textFill>
                  <w14:solidFill>
                    <w14:schemeClr w14:val="tx1"/>
                  </w14:solidFill>
                </w14:textFill>
              </w:rPr>
              <w:t>建安费</w:t>
            </w:r>
          </w:p>
        </w:tc>
        <w:tc>
          <w:tcPr>
            <w:tcW w:w="966" w:type="dxa"/>
            <w:vAlign w:val="center"/>
          </w:tcPr>
          <w:p w14:paraId="36874F5B">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1532" w:type="dxa"/>
            <w:vAlign w:val="center"/>
          </w:tcPr>
          <w:p w14:paraId="6CDCE270">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4223.0479</w:t>
            </w:r>
          </w:p>
        </w:tc>
        <w:tc>
          <w:tcPr>
            <w:tcW w:w="1532" w:type="dxa"/>
            <w:vAlign w:val="center"/>
          </w:tcPr>
          <w:p w14:paraId="69E16DBC">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6021.0305</w:t>
            </w:r>
          </w:p>
        </w:tc>
        <w:tc>
          <w:tcPr>
            <w:tcW w:w="1483" w:type="dxa"/>
            <w:vAlign w:val="center"/>
          </w:tcPr>
          <w:p w14:paraId="28C5540D">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1797.983</w:t>
            </w:r>
          </w:p>
        </w:tc>
        <w:tc>
          <w:tcPr>
            <w:tcW w:w="1111" w:type="dxa"/>
            <w:vAlign w:val="center"/>
          </w:tcPr>
          <w:p w14:paraId="3DE70A7C">
            <w:pPr>
              <w:pStyle w:val="105"/>
              <w:widowControl w:val="0"/>
              <w:jc w:val="center"/>
              <w:rPr>
                <w:color w:val="000000" w:themeColor="text1"/>
                <w14:textFill>
                  <w14:solidFill>
                    <w14:schemeClr w14:val="tx1"/>
                  </w14:solidFill>
                </w14:textFill>
              </w:rPr>
            </w:pPr>
          </w:p>
        </w:tc>
      </w:tr>
      <w:tr w14:paraId="5EFA26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0CFE1E52">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16</w:t>
            </w:r>
          </w:p>
        </w:tc>
        <w:tc>
          <w:tcPr>
            <w:tcW w:w="1980" w:type="dxa"/>
            <w:vAlign w:val="center"/>
          </w:tcPr>
          <w:p w14:paraId="2B5C5AC7">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平均每公里建安费</w:t>
            </w:r>
          </w:p>
        </w:tc>
        <w:tc>
          <w:tcPr>
            <w:tcW w:w="966" w:type="dxa"/>
            <w:vAlign w:val="center"/>
          </w:tcPr>
          <w:p w14:paraId="503A2C38">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1532" w:type="dxa"/>
            <w:vAlign w:val="center"/>
          </w:tcPr>
          <w:p w14:paraId="1213FA25">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1816.3647</w:t>
            </w:r>
          </w:p>
        </w:tc>
        <w:tc>
          <w:tcPr>
            <w:tcW w:w="1532" w:type="dxa"/>
            <w:vAlign w:val="center"/>
          </w:tcPr>
          <w:p w14:paraId="3C00E2B1">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2590.8048</w:t>
            </w:r>
          </w:p>
        </w:tc>
        <w:tc>
          <w:tcPr>
            <w:tcW w:w="1483" w:type="dxa"/>
            <w:vAlign w:val="center"/>
          </w:tcPr>
          <w:p w14:paraId="1643C3A9">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774.4401</w:t>
            </w:r>
          </w:p>
        </w:tc>
        <w:tc>
          <w:tcPr>
            <w:tcW w:w="1111" w:type="dxa"/>
            <w:vAlign w:val="center"/>
          </w:tcPr>
          <w:p w14:paraId="299697D7">
            <w:pPr>
              <w:pStyle w:val="105"/>
              <w:widowControl w:val="0"/>
              <w:jc w:val="center"/>
              <w:rPr>
                <w:color w:val="000000" w:themeColor="text1"/>
                <w14:textFill>
                  <w14:solidFill>
                    <w14:schemeClr w14:val="tx1"/>
                  </w14:solidFill>
                </w14:textFill>
              </w:rPr>
            </w:pPr>
          </w:p>
        </w:tc>
      </w:tr>
      <w:tr w14:paraId="0F1C48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7488DE6F">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17</w:t>
            </w:r>
          </w:p>
        </w:tc>
        <w:tc>
          <w:tcPr>
            <w:tcW w:w="1980" w:type="dxa"/>
            <w:vAlign w:val="center"/>
          </w:tcPr>
          <w:p w14:paraId="4A933779">
            <w:pPr>
              <w:pStyle w:val="105"/>
              <w:widowControl w:val="0"/>
              <w:jc w:val="center"/>
              <w:rPr>
                <w:color w:val="000000" w:themeColor="text1"/>
                <w14:textFill>
                  <w14:solidFill>
                    <w14:schemeClr w14:val="tx1"/>
                  </w14:solidFill>
                </w14:textFill>
              </w:rPr>
            </w:pPr>
            <w:r>
              <w:rPr>
                <w:color w:val="000000" w:themeColor="text1"/>
                <w:spacing w:val="6"/>
                <w14:textFill>
                  <w14:solidFill>
                    <w14:schemeClr w14:val="tx1"/>
                  </w14:solidFill>
                </w14:textFill>
              </w:rPr>
              <w:t>投资估算</w:t>
            </w:r>
          </w:p>
        </w:tc>
        <w:tc>
          <w:tcPr>
            <w:tcW w:w="966" w:type="dxa"/>
            <w:vAlign w:val="center"/>
          </w:tcPr>
          <w:p w14:paraId="18FD2806">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1532" w:type="dxa"/>
            <w:vAlign w:val="center"/>
          </w:tcPr>
          <w:p w14:paraId="3590C6A5">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7557.7911</w:t>
            </w:r>
          </w:p>
        </w:tc>
        <w:tc>
          <w:tcPr>
            <w:tcW w:w="1532" w:type="dxa"/>
            <w:vAlign w:val="center"/>
          </w:tcPr>
          <w:p w14:paraId="41B91B4C">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10301.3806</w:t>
            </w:r>
          </w:p>
        </w:tc>
        <w:tc>
          <w:tcPr>
            <w:tcW w:w="1483" w:type="dxa"/>
            <w:vAlign w:val="center"/>
          </w:tcPr>
          <w:p w14:paraId="1078A320">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2743.59</w:t>
            </w:r>
          </w:p>
        </w:tc>
        <w:tc>
          <w:tcPr>
            <w:tcW w:w="1111" w:type="dxa"/>
            <w:vAlign w:val="center"/>
          </w:tcPr>
          <w:p w14:paraId="52D7E1AD">
            <w:pPr>
              <w:pStyle w:val="105"/>
              <w:widowControl w:val="0"/>
              <w:jc w:val="center"/>
              <w:rPr>
                <w:color w:val="000000" w:themeColor="text1"/>
                <w14:textFill>
                  <w14:solidFill>
                    <w14:schemeClr w14:val="tx1"/>
                  </w14:solidFill>
                </w14:textFill>
              </w:rPr>
            </w:pPr>
          </w:p>
        </w:tc>
      </w:tr>
      <w:tr w14:paraId="5002C9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687" w:type="dxa"/>
            <w:vAlign w:val="center"/>
          </w:tcPr>
          <w:p w14:paraId="7CFC2EF8">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18</w:t>
            </w:r>
          </w:p>
        </w:tc>
        <w:tc>
          <w:tcPr>
            <w:tcW w:w="1980" w:type="dxa"/>
            <w:vAlign w:val="center"/>
          </w:tcPr>
          <w:p w14:paraId="6FF51B7B">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平均每公里造价</w:t>
            </w:r>
          </w:p>
        </w:tc>
        <w:tc>
          <w:tcPr>
            <w:tcW w:w="966" w:type="dxa"/>
            <w:vAlign w:val="center"/>
          </w:tcPr>
          <w:p w14:paraId="6778A0B0">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万元</w:t>
            </w:r>
          </w:p>
        </w:tc>
        <w:tc>
          <w:tcPr>
            <w:tcW w:w="1532" w:type="dxa"/>
            <w:vAlign w:val="center"/>
          </w:tcPr>
          <w:p w14:paraId="49EF8C56">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3250.6628</w:t>
            </w:r>
          </w:p>
        </w:tc>
        <w:tc>
          <w:tcPr>
            <w:tcW w:w="1532" w:type="dxa"/>
            <w:vAlign w:val="center"/>
          </w:tcPr>
          <w:p w14:paraId="7FFAAB57">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4432.6078</w:t>
            </w:r>
          </w:p>
        </w:tc>
        <w:tc>
          <w:tcPr>
            <w:tcW w:w="1483" w:type="dxa"/>
            <w:vAlign w:val="center"/>
          </w:tcPr>
          <w:p w14:paraId="2ED1A00A">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1181.945</w:t>
            </w:r>
          </w:p>
        </w:tc>
        <w:tc>
          <w:tcPr>
            <w:tcW w:w="1111" w:type="dxa"/>
            <w:vAlign w:val="center"/>
          </w:tcPr>
          <w:p w14:paraId="33B03728">
            <w:pPr>
              <w:pStyle w:val="105"/>
              <w:widowControl w:val="0"/>
              <w:jc w:val="center"/>
              <w:rPr>
                <w:color w:val="000000" w:themeColor="text1"/>
                <w14:textFill>
                  <w14:solidFill>
                    <w14:schemeClr w14:val="tx1"/>
                  </w14:solidFill>
                </w14:textFill>
              </w:rPr>
            </w:pPr>
          </w:p>
        </w:tc>
      </w:tr>
    </w:tbl>
    <w:p w14:paraId="664F9CB3">
      <w:pPr>
        <w:pStyle w:val="87"/>
        <w:spacing w:before="120"/>
        <w:ind w:left="48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木厝洋段方案工程比选一览表</w:t>
      </w:r>
    </w:p>
    <w:tbl>
      <w:tblPr>
        <w:tblStyle w:val="14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851"/>
        <w:gridCol w:w="3118"/>
        <w:gridCol w:w="4382"/>
      </w:tblGrid>
      <w:tr w14:paraId="248282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79635184">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序号</w:t>
            </w:r>
          </w:p>
        </w:tc>
        <w:tc>
          <w:tcPr>
            <w:tcW w:w="851" w:type="dxa"/>
            <w:vAlign w:val="center"/>
          </w:tcPr>
          <w:p w14:paraId="2C0E5B7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优缺点</w:t>
            </w:r>
          </w:p>
        </w:tc>
        <w:tc>
          <w:tcPr>
            <w:tcW w:w="3118" w:type="dxa"/>
            <w:vAlign w:val="center"/>
          </w:tcPr>
          <w:p w14:paraId="5EFFE157">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K线方案</w:t>
            </w:r>
          </w:p>
        </w:tc>
        <w:tc>
          <w:tcPr>
            <w:tcW w:w="4382" w:type="dxa"/>
            <w:vAlign w:val="center"/>
          </w:tcPr>
          <w:p w14:paraId="6BA0F563">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A线</w:t>
            </w:r>
          </w:p>
        </w:tc>
      </w:tr>
      <w:tr w14:paraId="6A76EA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9" w:hRule="atLeast"/>
          <w:jc w:val="center"/>
        </w:trPr>
        <w:tc>
          <w:tcPr>
            <w:tcW w:w="709" w:type="dxa"/>
            <w:vAlign w:val="center"/>
          </w:tcPr>
          <w:p w14:paraId="05F6562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p>
        </w:tc>
        <w:tc>
          <w:tcPr>
            <w:tcW w:w="851" w:type="dxa"/>
            <w:vAlign w:val="center"/>
          </w:tcPr>
          <w:p w14:paraId="109AFCAA">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优点</w:t>
            </w:r>
          </w:p>
        </w:tc>
        <w:tc>
          <w:tcPr>
            <w:tcW w:w="3118" w:type="dxa"/>
            <w:vAlign w:val="center"/>
          </w:tcPr>
          <w:p w14:paraId="0BB15282">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①符合地方主管部门的意见；</w:t>
            </w:r>
          </w:p>
          <w:p w14:paraId="79FC51E7">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②路线长度较短，造价较低，约4223万元；</w:t>
            </w:r>
          </w:p>
          <w:p w14:paraId="42BE8E6A">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③避开古民宅，实施难度较小；</w:t>
            </w:r>
          </w:p>
          <w:p w14:paraId="0758E695">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④沿山展线，避开地块。</w:t>
            </w:r>
          </w:p>
        </w:tc>
        <w:tc>
          <w:tcPr>
            <w:tcW w:w="4382" w:type="dxa"/>
            <w:vAlign w:val="center"/>
          </w:tcPr>
          <w:p w14:paraId="00118F08">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土石方数量较少。</w:t>
            </w:r>
          </w:p>
        </w:tc>
      </w:tr>
      <w:tr w14:paraId="78727D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Align w:val="center"/>
          </w:tcPr>
          <w:p w14:paraId="101D889D">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2</w:t>
            </w:r>
          </w:p>
        </w:tc>
        <w:tc>
          <w:tcPr>
            <w:tcW w:w="851" w:type="dxa"/>
            <w:vAlign w:val="center"/>
          </w:tcPr>
          <w:p w14:paraId="16A19CC8">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缺点</w:t>
            </w:r>
          </w:p>
        </w:tc>
        <w:tc>
          <w:tcPr>
            <w:tcW w:w="3118" w:type="dxa"/>
            <w:vAlign w:val="center"/>
          </w:tcPr>
          <w:p w14:paraId="0701184F">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挖方数量较大。</w:t>
            </w:r>
          </w:p>
        </w:tc>
        <w:tc>
          <w:tcPr>
            <w:tcW w:w="4382" w:type="dxa"/>
            <w:vAlign w:val="center"/>
          </w:tcPr>
          <w:p w14:paraId="0BE8C339">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①需征迁古民宅，实施难度较大；</w:t>
            </w:r>
          </w:p>
          <w:p w14:paraId="11CE7EB6">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②占用大坝下游地块，对地块产生一定影响；</w:t>
            </w:r>
          </w:p>
          <w:p w14:paraId="3C557AEA">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③路线长度较长，造价较高，约6021万元。</w:t>
            </w:r>
          </w:p>
        </w:tc>
      </w:tr>
      <w:tr w14:paraId="63B70C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0" w:type="dxa"/>
            <w:gridSpan w:val="4"/>
            <w:vAlign w:val="center"/>
          </w:tcPr>
          <w:p w14:paraId="6A92CA18">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比选结论：</w:t>
            </w:r>
            <w:r>
              <w:rPr>
                <w:snapToGrid w:val="0"/>
                <w:color w:val="000000" w:themeColor="text1"/>
                <w14:textFill>
                  <w14:solidFill>
                    <w14:schemeClr w14:val="tx1"/>
                  </w14:solidFill>
                </w14:textFill>
              </w:rPr>
              <w:t>综上，</w:t>
            </w:r>
            <w:r>
              <w:rPr>
                <w:rFonts w:hint="eastAsia"/>
                <w:snapToGrid w:val="0"/>
                <w:color w:val="000000" w:themeColor="text1"/>
                <w14:textFill>
                  <w14:solidFill>
                    <w14:schemeClr w14:val="tx1"/>
                  </w14:solidFill>
                </w14:textFill>
              </w:rPr>
              <w:t>综上，K线里程较短，造价低，路线避开古民宅实施难度较小，对地块影响较小，推荐K线方案。</w:t>
            </w:r>
          </w:p>
        </w:tc>
      </w:tr>
    </w:tbl>
    <w:p w14:paraId="21252D1E">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环境比选</w:t>
      </w:r>
    </w:p>
    <w:p w14:paraId="64CEA3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推荐线K线和比较线B</w:t>
      </w:r>
      <w:r>
        <w:rPr>
          <w:color w:val="000000" w:themeColor="text1"/>
          <w14:textFill>
            <w14:solidFill>
              <w14:schemeClr w14:val="tx1"/>
            </w14:solidFill>
          </w14:textFill>
        </w:rPr>
        <w:tab/>
      </w:r>
      <w:r>
        <w:rPr>
          <w:rFonts w:hint="eastAsia"/>
          <w:color w:val="000000" w:themeColor="text1"/>
          <w14:textFill>
            <w14:solidFill>
              <w14:schemeClr w14:val="tx1"/>
            </w14:solidFill>
          </w14:textFill>
        </w:rPr>
        <w:t>线的环境保护比选情</w:t>
      </w:r>
      <w:bookmarkStart w:id="226" w:name="hmcheck_49eaa665c3704afdace633a392cde663"/>
      <w:r>
        <w:rPr>
          <w:rFonts w:hint="eastAsia"/>
          <w:color w:val="000000" w:themeColor="text1"/>
          <w:shd w:val="clear" w:fill="FFAFAA"/>
          <w14:textFill>
            <w14:solidFill>
              <w14:schemeClr w14:val="tx1"/>
            </w14:solidFill>
          </w14:textFill>
        </w:rPr>
        <w:t>况</w:t>
      </w:r>
      <w:bookmarkEnd w:id="226"/>
      <w:r>
        <w:rPr>
          <w:rFonts w:hint="eastAsia"/>
          <w:color w:val="000000" w:themeColor="text1"/>
          <w14:textFill>
            <w14:solidFill>
              <w14:schemeClr w14:val="tx1"/>
            </w14:solidFill>
          </w14:textFill>
        </w:rPr>
        <w:t>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_Ref192519929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表3.1-7</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202A5A9B">
      <w:pPr>
        <w:pStyle w:val="87"/>
        <w:spacing w:before="120"/>
        <w:ind w:left="480" w:firstLine="480"/>
        <w:rPr>
          <w:color w:val="000000" w:themeColor="text1"/>
          <w14:textFill>
            <w14:solidFill>
              <w14:schemeClr w14:val="tx1"/>
            </w14:solidFill>
          </w14:textFill>
        </w:rPr>
      </w:pPr>
      <w:bookmarkStart w:id="227" w:name="_Ref192519929"/>
      <w:r>
        <w:rPr>
          <w:rFonts w:hint="eastAsia"/>
          <w:color w:val="000000" w:themeColor="text1"/>
          <w14:textFill>
            <w14:solidFill>
              <w14:schemeClr w14:val="tx1"/>
            </w14:solidFill>
          </w14:textFill>
        </w:rPr>
        <w:t>推荐线和B</w:t>
      </w:r>
      <w:r>
        <w:rPr>
          <w:color w:val="000000" w:themeColor="text1"/>
          <w14:textFill>
            <w14:solidFill>
              <w14:schemeClr w14:val="tx1"/>
            </w14:solidFill>
          </w14:textFill>
        </w:rPr>
        <w:tab/>
      </w:r>
      <w:r>
        <w:rPr>
          <w:rFonts w:hint="eastAsia"/>
          <w:color w:val="000000" w:themeColor="text1"/>
          <w14:textFill>
            <w14:solidFill>
              <w14:schemeClr w14:val="tx1"/>
            </w14:solidFill>
          </w14:textFill>
        </w:rPr>
        <w:t>线环境保护比较表</w:t>
      </w:r>
      <w:bookmarkEnd w:id="227"/>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033"/>
        <w:gridCol w:w="2759"/>
        <w:gridCol w:w="2904"/>
        <w:gridCol w:w="2029"/>
      </w:tblGrid>
      <w:tr w14:paraId="1334D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0" w:type="pct"/>
            <w:gridSpan w:val="2"/>
            <w:vAlign w:val="center"/>
          </w:tcPr>
          <w:p w14:paraId="06E81345">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方案\指标</w:t>
            </w:r>
          </w:p>
        </w:tc>
        <w:tc>
          <w:tcPr>
            <w:tcW w:w="1485" w:type="pct"/>
            <w:vAlign w:val="center"/>
          </w:tcPr>
          <w:p w14:paraId="79B40A32">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K线</w:t>
            </w:r>
          </w:p>
        </w:tc>
        <w:tc>
          <w:tcPr>
            <w:tcW w:w="1563" w:type="pct"/>
            <w:vAlign w:val="center"/>
          </w:tcPr>
          <w:p w14:paraId="72CACC20">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线方案</w:t>
            </w:r>
          </w:p>
        </w:tc>
        <w:tc>
          <w:tcPr>
            <w:tcW w:w="1092" w:type="pct"/>
            <w:vAlign w:val="center"/>
          </w:tcPr>
          <w:p w14:paraId="4391005F">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比选情况</w:t>
            </w:r>
          </w:p>
        </w:tc>
      </w:tr>
      <w:tr w14:paraId="03FEC4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0" w:type="pct"/>
            <w:gridSpan w:val="2"/>
            <w:vAlign w:val="center"/>
          </w:tcPr>
          <w:p w14:paraId="76EF70F5">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起终点</w:t>
            </w:r>
          </w:p>
        </w:tc>
        <w:tc>
          <w:tcPr>
            <w:tcW w:w="1485" w:type="pct"/>
            <w:vAlign w:val="center"/>
          </w:tcPr>
          <w:p w14:paraId="242C7868">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K3+100</w:t>
            </w:r>
            <w:r>
              <w:rPr>
                <w:rFonts w:hint="eastAsia"/>
                <w:snapToGrid w:val="0"/>
                <w:color w:val="000000" w:themeColor="text1"/>
                <w14:textFill>
                  <w14:solidFill>
                    <w14:schemeClr w14:val="tx1"/>
                  </w14:solidFill>
                </w14:textFill>
              </w:rPr>
              <w:t>~</w:t>
            </w:r>
            <w:r>
              <w:rPr>
                <w:snapToGrid w:val="0"/>
                <w:color w:val="000000" w:themeColor="text1"/>
                <w14:textFill>
                  <w14:solidFill>
                    <w14:schemeClr w14:val="tx1"/>
                  </w14:solidFill>
                </w14:textFill>
              </w:rPr>
              <w:t>K5+110</w:t>
            </w:r>
          </w:p>
        </w:tc>
        <w:tc>
          <w:tcPr>
            <w:tcW w:w="1563" w:type="pct"/>
            <w:vAlign w:val="center"/>
          </w:tcPr>
          <w:p w14:paraId="51682600">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K</w:t>
            </w:r>
            <w:r>
              <w:rPr>
                <w:snapToGrid w:val="0"/>
                <w:color w:val="000000" w:themeColor="text1"/>
                <w14:textFill>
                  <w14:solidFill>
                    <w14:schemeClr w14:val="tx1"/>
                  </w14:solidFill>
                </w14:textFill>
              </w:rPr>
              <w:t>3</w:t>
            </w:r>
            <w:r>
              <w:rPr>
                <w:rFonts w:hint="eastAsia"/>
                <w:snapToGrid w:val="0"/>
                <w:color w:val="000000" w:themeColor="text1"/>
                <w14:textFill>
                  <w14:solidFill>
                    <w14:schemeClr w14:val="tx1"/>
                  </w14:solidFill>
                </w14:textFill>
              </w:rPr>
              <w:t>+100~</w:t>
            </w:r>
            <w:r>
              <w:rPr>
                <w:snapToGrid w:val="0"/>
                <w:color w:val="000000" w:themeColor="text1"/>
                <w14:textFill>
                  <w14:solidFill>
                    <w14:schemeClr w14:val="tx1"/>
                  </w14:solidFill>
                </w14:textFill>
              </w:rPr>
              <w:t>BK5+220</w:t>
            </w:r>
          </w:p>
        </w:tc>
        <w:tc>
          <w:tcPr>
            <w:tcW w:w="1092" w:type="pct"/>
            <w:vAlign w:val="center"/>
          </w:tcPr>
          <w:p w14:paraId="6BB195C1">
            <w:pPr>
              <w:pStyle w:val="105"/>
              <w:jc w:val="center"/>
              <w:rPr>
                <w:snapToGrid w:val="0"/>
                <w:color w:val="000000" w:themeColor="text1"/>
                <w14:textFill>
                  <w14:solidFill>
                    <w14:schemeClr w14:val="tx1"/>
                  </w14:solidFill>
                </w14:textFill>
              </w:rPr>
            </w:pPr>
          </w:p>
        </w:tc>
      </w:tr>
      <w:tr w14:paraId="46EDDF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0" w:type="pct"/>
            <w:gridSpan w:val="2"/>
            <w:vAlign w:val="center"/>
          </w:tcPr>
          <w:p w14:paraId="4647261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线路长度</w:t>
            </w:r>
          </w:p>
        </w:tc>
        <w:tc>
          <w:tcPr>
            <w:tcW w:w="1485" w:type="pct"/>
            <w:vAlign w:val="center"/>
          </w:tcPr>
          <w:p w14:paraId="4D3E06D1">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2.010km</w:t>
            </w:r>
          </w:p>
        </w:tc>
        <w:tc>
          <w:tcPr>
            <w:tcW w:w="1563" w:type="pct"/>
            <w:vAlign w:val="center"/>
          </w:tcPr>
          <w:p w14:paraId="0AC6F2B7">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2.120</w:t>
            </w:r>
          </w:p>
        </w:tc>
        <w:tc>
          <w:tcPr>
            <w:tcW w:w="1092" w:type="pct"/>
            <w:vAlign w:val="center"/>
          </w:tcPr>
          <w:p w14:paraId="03470741">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相当</w:t>
            </w:r>
          </w:p>
        </w:tc>
      </w:tr>
      <w:tr w14:paraId="229C57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23" w:hRule="atLeast"/>
          <w:jc w:val="center"/>
        </w:trPr>
        <w:tc>
          <w:tcPr>
            <w:tcW w:w="304" w:type="pct"/>
            <w:vMerge w:val="restart"/>
            <w:vAlign w:val="center"/>
          </w:tcPr>
          <w:p w14:paraId="417A5998">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生态</w:t>
            </w:r>
          </w:p>
          <w:p w14:paraId="3257773D">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环境</w:t>
            </w:r>
          </w:p>
        </w:tc>
        <w:tc>
          <w:tcPr>
            <w:tcW w:w="556" w:type="pct"/>
            <w:vAlign w:val="center"/>
          </w:tcPr>
          <w:p w14:paraId="3EA7F5FF">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生态敏感目标</w:t>
            </w:r>
          </w:p>
        </w:tc>
        <w:tc>
          <w:tcPr>
            <w:tcW w:w="1485" w:type="pct"/>
            <w:vAlign w:val="center"/>
          </w:tcPr>
          <w:p w14:paraId="29EC9510">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①线路不涉及占用生态保护红线和基本农田。</w:t>
            </w:r>
          </w:p>
          <w:p w14:paraId="4E5FCF4A">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②线路占用林地</w:t>
            </w:r>
            <w:r>
              <w:rPr>
                <w:snapToGrid w:val="0"/>
                <w:color w:val="000000" w:themeColor="text1"/>
                <w14:textFill>
                  <w14:solidFill>
                    <w14:schemeClr w14:val="tx1"/>
                  </w14:solidFill>
                </w14:textFill>
              </w:rPr>
              <w:t>1.6430</w:t>
            </w:r>
            <w:r>
              <w:rPr>
                <w:rFonts w:hint="eastAsia"/>
                <w:snapToGrid w:val="0"/>
                <w:color w:val="000000" w:themeColor="text1"/>
                <w14:textFill>
                  <w14:solidFill>
                    <w14:schemeClr w14:val="tx1"/>
                  </w14:solidFill>
                </w14:textFill>
              </w:rPr>
              <w:t>hm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，不涉及生态公益林。</w:t>
            </w:r>
          </w:p>
          <w:p w14:paraId="3D1518BC">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③涉及占用一般湿地2处：其一K</w:t>
            </w:r>
            <w:r>
              <w:rPr>
                <w:snapToGrid w:val="0"/>
                <w:color w:val="000000" w:themeColor="text1"/>
                <w14:textFill>
                  <w14:solidFill>
                    <w14:schemeClr w14:val="tx1"/>
                  </w14:solidFill>
                </w14:textFill>
              </w:rPr>
              <w:t>3+650~</w:t>
            </w:r>
            <w:r>
              <w:rPr>
                <w:rFonts w:hint="eastAsia"/>
                <w:snapToGrid w:val="0"/>
                <w:color w:val="000000" w:themeColor="text1"/>
                <w14:textFill>
                  <w14:solidFill>
                    <w14:schemeClr w14:val="tx1"/>
                  </w14:solidFill>
                </w14:textFill>
              </w:rPr>
              <w:t xml:space="preserve"> K</w:t>
            </w:r>
            <w:r>
              <w:rPr>
                <w:snapToGrid w:val="0"/>
                <w:color w:val="000000" w:themeColor="text1"/>
                <w14:textFill>
                  <w14:solidFill>
                    <w14:schemeClr w14:val="tx1"/>
                  </w14:solidFill>
                </w14:textFill>
              </w:rPr>
              <w:t>3+705</w:t>
            </w:r>
            <w:r>
              <w:rPr>
                <w:rFonts w:hint="eastAsia"/>
                <w:snapToGrid w:val="0"/>
                <w:color w:val="000000" w:themeColor="text1"/>
                <w14:textFill>
                  <w14:solidFill>
                    <w14:schemeClr w14:val="tx1"/>
                  </w14:solidFill>
                </w14:textFill>
              </w:rPr>
              <w:t>路基跨越河道，涉及改河5及涵洞建设，其二终点接线枝钟中桥跨越河道，含涉水桥墩1个。</w:t>
            </w:r>
          </w:p>
        </w:tc>
        <w:tc>
          <w:tcPr>
            <w:tcW w:w="1563" w:type="pct"/>
            <w:vAlign w:val="center"/>
          </w:tcPr>
          <w:p w14:paraId="30FA8F12">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①线路不涉及占用生态保护红线，局部路段（K</w:t>
            </w:r>
            <w:r>
              <w:rPr>
                <w:snapToGrid w:val="0"/>
                <w:color w:val="000000" w:themeColor="text1"/>
                <w14:textFill>
                  <w14:solidFill>
                    <w14:schemeClr w14:val="tx1"/>
                  </w14:solidFill>
                </w14:textFill>
              </w:rPr>
              <w:t>3+620~770</w:t>
            </w:r>
            <w:r>
              <w:rPr>
                <w:rFonts w:hint="eastAsia"/>
                <w:snapToGrid w:val="0"/>
                <w:color w:val="000000" w:themeColor="text1"/>
                <w14:textFill>
                  <w14:solidFill>
                    <w14:schemeClr w14:val="tx1"/>
                  </w14:solidFill>
                </w14:textFill>
              </w:rPr>
              <w:t>）边坡占用少量基本农田。</w:t>
            </w:r>
          </w:p>
          <w:p w14:paraId="218EEA3A">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②线路占用林地</w:t>
            </w:r>
            <w:r>
              <w:rPr>
                <w:snapToGrid w:val="0"/>
                <w:color w:val="000000" w:themeColor="text1"/>
                <w14:textFill>
                  <w14:solidFill>
                    <w14:schemeClr w14:val="tx1"/>
                  </w14:solidFill>
                </w14:textFill>
              </w:rPr>
              <w:t>2.1109</w:t>
            </w:r>
            <w:r>
              <w:rPr>
                <w:rFonts w:hint="eastAsia"/>
                <w:snapToGrid w:val="0"/>
                <w:color w:val="000000" w:themeColor="text1"/>
                <w14:textFill>
                  <w14:solidFill>
                    <w14:schemeClr w14:val="tx1"/>
                  </w14:solidFill>
                </w14:textFill>
              </w:rPr>
              <w:t xml:space="preserve"> hm</w:t>
            </w:r>
            <w:r>
              <w:rPr>
                <w:snapToGrid w:val="0"/>
                <w:color w:val="000000" w:themeColor="text1"/>
                <w:vertAlign w:val="superscript"/>
                <w14:textFill>
                  <w14:solidFill>
                    <w14:schemeClr w14:val="tx1"/>
                  </w14:solidFill>
                </w14:textFill>
              </w:rPr>
              <w:t>2</w:t>
            </w:r>
            <w:r>
              <w:rPr>
                <w:rFonts w:hint="eastAsia"/>
                <w:snapToGrid w:val="0"/>
                <w:color w:val="000000" w:themeColor="text1"/>
                <w14:textFill>
                  <w14:solidFill>
                    <w14:schemeClr w14:val="tx1"/>
                  </w14:solidFill>
                </w14:textFill>
              </w:rPr>
              <w:t>，不涉及生态公益林。</w:t>
            </w:r>
          </w:p>
          <w:p w14:paraId="294B9A9F">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③涉及占用一般湿地2处：其一BK</w:t>
            </w:r>
            <w:r>
              <w:rPr>
                <w:snapToGrid w:val="0"/>
                <w:color w:val="000000" w:themeColor="text1"/>
                <w14:textFill>
                  <w14:solidFill>
                    <w14:schemeClr w14:val="tx1"/>
                  </w14:solidFill>
                </w14:textFill>
              </w:rPr>
              <w:t>3+650~</w:t>
            </w:r>
            <w:r>
              <w:rPr>
                <w:rFonts w:hint="eastAsia"/>
                <w:snapToGrid w:val="0"/>
                <w:color w:val="000000" w:themeColor="text1"/>
                <w14:textFill>
                  <w14:solidFill>
                    <w14:schemeClr w14:val="tx1"/>
                  </w14:solidFill>
                </w14:textFill>
              </w:rPr>
              <w:t xml:space="preserve"> BK</w:t>
            </w:r>
            <w:r>
              <w:rPr>
                <w:snapToGrid w:val="0"/>
                <w:color w:val="000000" w:themeColor="text1"/>
                <w14:textFill>
                  <w14:solidFill>
                    <w14:schemeClr w14:val="tx1"/>
                  </w14:solidFill>
                </w14:textFill>
              </w:rPr>
              <w:t>3+705</w:t>
            </w:r>
            <w:r>
              <w:rPr>
                <w:rFonts w:hint="eastAsia"/>
                <w:snapToGrid w:val="0"/>
                <w:color w:val="000000" w:themeColor="text1"/>
                <w14:textFill>
                  <w14:solidFill>
                    <w14:schemeClr w14:val="tx1"/>
                  </w14:solidFill>
                </w14:textFill>
              </w:rPr>
              <w:t>路基跨越河道，涉及改河及涵洞建设，其二终点桥梁跨越河道，含涉水桥墩</w:t>
            </w:r>
            <w:r>
              <w:rPr>
                <w:snapToGrid w:val="0"/>
                <w:color w:val="000000" w:themeColor="text1"/>
                <w14:textFill>
                  <w14:solidFill>
                    <w14:schemeClr w14:val="tx1"/>
                  </w14:solidFill>
                </w14:textFill>
              </w:rPr>
              <w:t>2</w:t>
            </w:r>
            <w:r>
              <w:rPr>
                <w:rFonts w:hint="eastAsia"/>
                <w:snapToGrid w:val="0"/>
                <w:color w:val="000000" w:themeColor="text1"/>
                <w14:textFill>
                  <w14:solidFill>
                    <w14:schemeClr w14:val="tx1"/>
                  </w14:solidFill>
                </w14:textFill>
              </w:rPr>
              <w:t>个。</w:t>
            </w:r>
          </w:p>
        </w:tc>
        <w:tc>
          <w:tcPr>
            <w:tcW w:w="1092" w:type="pct"/>
            <w:vAlign w:val="center"/>
          </w:tcPr>
          <w:p w14:paraId="24054D5C">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K线略优，不涉及占用基本农田，占用林地面积小。</w:t>
            </w:r>
          </w:p>
        </w:tc>
      </w:tr>
      <w:tr w14:paraId="42E206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Merge w:val="continue"/>
            <w:vAlign w:val="center"/>
          </w:tcPr>
          <w:p w14:paraId="2CC6E9D3">
            <w:pPr>
              <w:pStyle w:val="105"/>
              <w:jc w:val="center"/>
              <w:rPr>
                <w:snapToGrid w:val="0"/>
                <w:color w:val="000000" w:themeColor="text1"/>
                <w14:textFill>
                  <w14:solidFill>
                    <w14:schemeClr w14:val="tx1"/>
                  </w14:solidFill>
                </w14:textFill>
              </w:rPr>
            </w:pPr>
          </w:p>
        </w:tc>
        <w:tc>
          <w:tcPr>
            <w:tcW w:w="556" w:type="pct"/>
            <w:vAlign w:val="center"/>
          </w:tcPr>
          <w:p w14:paraId="13F7265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占地情况</w:t>
            </w:r>
          </w:p>
        </w:tc>
        <w:tc>
          <w:tcPr>
            <w:tcW w:w="1485" w:type="pct"/>
            <w:vAlign w:val="center"/>
          </w:tcPr>
          <w:p w14:paraId="2703E439">
            <w:pPr>
              <w:pStyle w:val="105"/>
              <w:jc w:val="center"/>
              <w:rPr>
                <w:snapToGrid w:val="0"/>
                <w:color w:val="000000" w:themeColor="text1"/>
                <w14:textFill>
                  <w14:solidFill>
                    <w14:schemeClr w14:val="tx1"/>
                  </w14:solidFill>
                </w14:textFill>
              </w:rPr>
            </w:pPr>
            <w:r>
              <w:rPr>
                <w:snapToGrid w:val="0"/>
                <w:color w:val="000000" w:themeColor="text1"/>
                <w:spacing w:val="1"/>
                <w14:textFill>
                  <w14:solidFill>
                    <w14:schemeClr w14:val="tx1"/>
                  </w14:solidFill>
                </w14:textFill>
              </w:rPr>
              <w:t>85.3</w:t>
            </w:r>
            <w:r>
              <w:rPr>
                <w:snapToGrid w:val="0"/>
                <w:color w:val="000000" w:themeColor="text1"/>
                <w14:textFill>
                  <w14:solidFill>
                    <w14:schemeClr w14:val="tx1"/>
                  </w14:solidFill>
                </w14:textFill>
              </w:rPr>
              <w:t>亩</w:t>
            </w:r>
          </w:p>
        </w:tc>
        <w:tc>
          <w:tcPr>
            <w:tcW w:w="1563" w:type="pct"/>
            <w:vAlign w:val="center"/>
          </w:tcPr>
          <w:p w14:paraId="4E8E1B35">
            <w:pPr>
              <w:pStyle w:val="105"/>
              <w:jc w:val="center"/>
              <w:rPr>
                <w:snapToGrid w:val="0"/>
                <w:color w:val="000000" w:themeColor="text1"/>
                <w14:textFill>
                  <w14:solidFill>
                    <w14:schemeClr w14:val="tx1"/>
                  </w14:solidFill>
                </w14:textFill>
              </w:rPr>
            </w:pPr>
            <w:r>
              <w:rPr>
                <w:snapToGrid w:val="0"/>
                <w:color w:val="000000" w:themeColor="text1"/>
                <w:spacing w:val="3"/>
                <w14:textFill>
                  <w14:solidFill>
                    <w14:schemeClr w14:val="tx1"/>
                  </w14:solidFill>
                </w14:textFill>
              </w:rPr>
              <w:t>85.6</w:t>
            </w:r>
            <w:r>
              <w:rPr>
                <w:snapToGrid w:val="0"/>
                <w:color w:val="000000" w:themeColor="text1"/>
                <w14:textFill>
                  <w14:solidFill>
                    <w14:schemeClr w14:val="tx1"/>
                  </w14:solidFill>
                </w14:textFill>
              </w:rPr>
              <w:t>亩</w:t>
            </w:r>
          </w:p>
        </w:tc>
        <w:tc>
          <w:tcPr>
            <w:tcW w:w="1092" w:type="pct"/>
            <w:vAlign w:val="center"/>
          </w:tcPr>
          <w:p w14:paraId="3DBCB0A3">
            <w:pPr>
              <w:pStyle w:val="105"/>
              <w:jc w:val="center"/>
              <w:rPr>
                <w:snapToGrid w:val="0"/>
                <w:color w:val="000000" w:themeColor="text1"/>
                <w14:textFill>
                  <w14:solidFill>
                    <w14:schemeClr w14:val="tx1"/>
                  </w14:solidFill>
                </w14:textFill>
              </w:rPr>
            </w:pPr>
            <w:r>
              <w:rPr>
                <w:snapToGrid w:val="0"/>
                <w:color w:val="000000" w:themeColor="text1"/>
                <w:spacing w:val="3"/>
                <w14:textFill>
                  <w14:solidFill>
                    <w14:schemeClr w14:val="tx1"/>
                  </w14:solidFill>
                </w14:textFill>
              </w:rPr>
              <w:t>0.3</w:t>
            </w:r>
          </w:p>
        </w:tc>
      </w:tr>
      <w:tr w14:paraId="6CE49E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4" w:type="pct"/>
            <w:vMerge w:val="continue"/>
            <w:vAlign w:val="center"/>
          </w:tcPr>
          <w:p w14:paraId="58071AB8">
            <w:pPr>
              <w:pStyle w:val="105"/>
              <w:jc w:val="center"/>
              <w:rPr>
                <w:snapToGrid w:val="0"/>
                <w:color w:val="000000" w:themeColor="text1"/>
                <w14:textFill>
                  <w14:solidFill>
                    <w14:schemeClr w14:val="tx1"/>
                  </w14:solidFill>
                </w14:textFill>
              </w:rPr>
            </w:pPr>
          </w:p>
        </w:tc>
        <w:tc>
          <w:tcPr>
            <w:tcW w:w="556" w:type="pct"/>
            <w:vAlign w:val="center"/>
          </w:tcPr>
          <w:p w14:paraId="6D9A5B3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土石方量</w:t>
            </w:r>
          </w:p>
        </w:tc>
        <w:tc>
          <w:tcPr>
            <w:tcW w:w="1485" w:type="pct"/>
            <w:vAlign w:val="center"/>
          </w:tcPr>
          <w:p w14:paraId="7573BD0E">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185.3</w:t>
            </w:r>
            <w:r>
              <w:rPr>
                <w:rFonts w:hint="eastAsia"/>
                <w:snapToGrid w:val="0"/>
                <w:color w:val="000000" w:themeColor="text1"/>
                <w14:textFill>
                  <w14:solidFill>
                    <w14:schemeClr w14:val="tx1"/>
                  </w14:solidFill>
                </w14:textFill>
              </w:rPr>
              <w:t>万m</w:t>
            </w:r>
            <w:r>
              <w:rPr>
                <w:snapToGrid w:val="0"/>
                <w:color w:val="000000" w:themeColor="text1"/>
                <w:vertAlign w:val="superscript"/>
                <w14:textFill>
                  <w14:solidFill>
                    <w14:schemeClr w14:val="tx1"/>
                  </w14:solidFill>
                </w14:textFill>
              </w:rPr>
              <w:t>3</w:t>
            </w:r>
          </w:p>
        </w:tc>
        <w:tc>
          <w:tcPr>
            <w:tcW w:w="1563" w:type="pct"/>
            <w:vAlign w:val="center"/>
          </w:tcPr>
          <w:p w14:paraId="33495C8B">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136.5</w:t>
            </w:r>
            <w:r>
              <w:rPr>
                <w:rFonts w:hint="eastAsia"/>
                <w:snapToGrid w:val="0"/>
                <w:color w:val="000000" w:themeColor="text1"/>
                <w14:textFill>
                  <w14:solidFill>
                    <w14:schemeClr w14:val="tx1"/>
                  </w14:solidFill>
                </w14:textFill>
              </w:rPr>
              <w:t>万m</w:t>
            </w:r>
            <w:r>
              <w:rPr>
                <w:snapToGrid w:val="0"/>
                <w:color w:val="000000" w:themeColor="text1"/>
                <w:vertAlign w:val="superscript"/>
                <w14:textFill>
                  <w14:solidFill>
                    <w14:schemeClr w14:val="tx1"/>
                  </w14:solidFill>
                </w14:textFill>
              </w:rPr>
              <w:t>3</w:t>
            </w:r>
          </w:p>
        </w:tc>
        <w:tc>
          <w:tcPr>
            <w:tcW w:w="1092" w:type="pct"/>
            <w:vAlign w:val="center"/>
          </w:tcPr>
          <w:p w14:paraId="03EA93BF">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线土石方量少，</w:t>
            </w: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线优</w:t>
            </w:r>
          </w:p>
        </w:tc>
      </w:tr>
      <w:tr w14:paraId="38F696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53" w:hRule="atLeast"/>
          <w:jc w:val="center"/>
        </w:trPr>
        <w:tc>
          <w:tcPr>
            <w:tcW w:w="304" w:type="pct"/>
            <w:vMerge w:val="continue"/>
            <w:vAlign w:val="center"/>
          </w:tcPr>
          <w:p w14:paraId="04BE2B3E">
            <w:pPr>
              <w:pStyle w:val="105"/>
              <w:jc w:val="center"/>
              <w:rPr>
                <w:snapToGrid w:val="0"/>
                <w:color w:val="000000" w:themeColor="text1"/>
                <w:highlight w:val="yellow"/>
                <w14:textFill>
                  <w14:solidFill>
                    <w14:schemeClr w14:val="tx1"/>
                  </w14:solidFill>
                </w14:textFill>
              </w:rPr>
            </w:pPr>
          </w:p>
        </w:tc>
        <w:tc>
          <w:tcPr>
            <w:tcW w:w="556" w:type="pct"/>
            <w:vAlign w:val="center"/>
          </w:tcPr>
          <w:p w14:paraId="7B6A3717">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生态环境影响方面</w:t>
            </w:r>
          </w:p>
        </w:tc>
        <w:tc>
          <w:tcPr>
            <w:tcW w:w="4140" w:type="pct"/>
            <w:gridSpan w:val="3"/>
            <w:vAlign w:val="center"/>
          </w:tcPr>
          <w:p w14:paraId="156C56E8">
            <w:pPr>
              <w:pStyle w:val="105"/>
              <w:jc w:val="left"/>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工程占地：</w:t>
            </w:r>
            <w:r>
              <w:rPr>
                <w:rFonts w:hint="eastAsia"/>
                <w:snapToGrid w:val="0"/>
                <w:color w:val="000000" w:themeColor="text1"/>
                <w14:textFill>
                  <w14:solidFill>
                    <w14:schemeClr w14:val="tx1"/>
                  </w14:solidFill>
                </w14:textFill>
              </w:rPr>
              <w:t>K线和</w:t>
            </w: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线影响基本相当；</w:t>
            </w:r>
          </w:p>
          <w:p w14:paraId="5F99A276">
            <w:pPr>
              <w:pStyle w:val="105"/>
              <w:jc w:val="left"/>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生态系统：</w:t>
            </w:r>
            <w:r>
              <w:rPr>
                <w:rFonts w:hint="eastAsia"/>
                <w:snapToGrid w:val="0"/>
                <w:color w:val="000000" w:themeColor="text1"/>
                <w14:textFill>
                  <w14:solidFill>
                    <w14:schemeClr w14:val="tx1"/>
                  </w14:solidFill>
                </w14:textFill>
              </w:rPr>
              <w:t>K线和</w:t>
            </w:r>
            <w:r>
              <w:rPr>
                <w:snapToGrid w:val="0"/>
                <w:color w:val="000000" w:themeColor="text1"/>
                <w14:textFill>
                  <w14:solidFill>
                    <w14:schemeClr w14:val="tx1"/>
                  </w14:solidFill>
                </w14:textFill>
              </w:rPr>
              <w:t>B</w:t>
            </w:r>
            <w:bookmarkStart w:id="228" w:name="hmcheck_d792823c06e64588a30b1afd30521609"/>
            <w:r>
              <w:rPr>
                <w:rFonts w:hint="eastAsia"/>
                <w:snapToGrid w:val="0"/>
                <w:color w:val="000000" w:themeColor="text1"/>
                <w:shd w:val="clear" w:fill="FFAFAA"/>
                <w14:textFill>
                  <w14:solidFill>
                    <w14:schemeClr w14:val="tx1"/>
                  </w14:solidFill>
                </w14:textFill>
              </w:rPr>
              <w:t>线线</w:t>
            </w:r>
            <w:bookmarkEnd w:id="228"/>
            <w:r>
              <w:rPr>
                <w:rFonts w:hint="eastAsia"/>
                <w:snapToGrid w:val="0"/>
                <w:color w:val="000000" w:themeColor="text1"/>
                <w14:textFill>
                  <w14:solidFill>
                    <w14:schemeClr w14:val="tx1"/>
                  </w14:solidFill>
                </w14:textFill>
              </w:rPr>
              <w:t>位相近，区域生态系统主要类型为森林生态系统，主要植被类型为马尾松、桉树，K线和</w:t>
            </w: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线公路的建设均不会对林地生态系统的稳定性产生影响。</w:t>
            </w:r>
          </w:p>
          <w:p w14:paraId="25C81AB2">
            <w:pPr>
              <w:pStyle w:val="105"/>
              <w:jc w:val="left"/>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植被的影响：</w:t>
            </w:r>
            <w:r>
              <w:rPr>
                <w:rFonts w:hint="eastAsia"/>
                <w:snapToGrid w:val="0"/>
                <w:color w:val="000000" w:themeColor="text1"/>
                <w14:textFill>
                  <w14:solidFill>
                    <w14:schemeClr w14:val="tx1"/>
                  </w14:solidFill>
                </w14:textFill>
              </w:rPr>
              <w:t>K线和</w:t>
            </w: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线涉及植被主要为针叶林和经济林（马尾松、桉树等），主体工程占地导致植物生物量损失量小，对区域总体的植物资源物种多样性和群落多样性影响不大。K线占用林地面积略少于</w:t>
            </w: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线，K线略优。</w:t>
            </w:r>
          </w:p>
          <w:p w14:paraId="7033BC04">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生态公益林影响 ：均不涉及生态公益林。</w:t>
            </w:r>
          </w:p>
          <w:p w14:paraId="6ADB4283">
            <w:pPr>
              <w:pStyle w:val="105"/>
              <w:jc w:val="left"/>
              <w:rPr>
                <w:snapToGrid w:val="0"/>
                <w:color w:val="000000" w:themeColor="text1"/>
                <w14:textFill>
                  <w14:solidFill>
                    <w14:schemeClr w14:val="tx1"/>
                  </w14:solidFill>
                </w14:textFill>
              </w:rPr>
            </w:pPr>
            <w:r>
              <w:rPr>
                <w:rFonts w:hint="eastAsia"/>
                <w:b/>
                <w:bCs/>
                <w:snapToGrid w:val="0"/>
                <w:color w:val="000000" w:themeColor="text1"/>
                <w14:textFill>
                  <w14:solidFill>
                    <w14:schemeClr w14:val="tx1"/>
                  </w14:solidFill>
                </w14:textFill>
              </w:rPr>
              <w:t>水土流失：</w:t>
            </w:r>
            <w:r>
              <w:rPr>
                <w:rFonts w:cs="Times New Roman"/>
                <w:snapToGrid w:val="0"/>
                <w:color w:val="000000" w:themeColor="text1"/>
                <w:spacing w:val="-4"/>
                <w14:textFill>
                  <w14:solidFill>
                    <w14:schemeClr w14:val="tx1"/>
                  </w14:solidFill>
                </w14:textFill>
              </w:rPr>
              <w:t>工程水土流失主要集中在公路工程场地平整、开挖回填和路基处理等</w:t>
            </w:r>
            <w:r>
              <w:rPr>
                <w:rFonts w:hint="eastAsia"/>
                <w:snapToGrid w:val="0"/>
                <w:color w:val="000000" w:themeColor="text1"/>
                <w14:textFill>
                  <w14:solidFill>
                    <w14:schemeClr w14:val="tx1"/>
                  </w14:solidFill>
                </w14:textFill>
              </w:rPr>
              <w:t xml:space="preserve">， </w:t>
            </w: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线土石方量少，水土流失略小于</w:t>
            </w:r>
            <w:r>
              <w:rPr>
                <w:snapToGrid w:val="0"/>
                <w:color w:val="000000" w:themeColor="text1"/>
                <w14:textFill>
                  <w14:solidFill>
                    <w14:schemeClr w14:val="tx1"/>
                  </w14:solidFill>
                </w14:textFill>
              </w:rPr>
              <w:t>K</w:t>
            </w:r>
            <w:r>
              <w:rPr>
                <w:rFonts w:hint="eastAsia"/>
                <w:snapToGrid w:val="0"/>
                <w:color w:val="000000" w:themeColor="text1"/>
                <w14:textFill>
                  <w14:solidFill>
                    <w14:schemeClr w14:val="tx1"/>
                  </w14:solidFill>
                </w14:textFill>
              </w:rPr>
              <w:t>线，</w:t>
            </w:r>
            <w:r>
              <w:rPr>
                <w:snapToGrid w:val="0"/>
                <w:color w:val="000000" w:themeColor="text1"/>
                <w14:textFill>
                  <w14:solidFill>
                    <w14:schemeClr w14:val="tx1"/>
                  </w14:solidFill>
                </w14:textFill>
              </w:rPr>
              <w:t>B</w:t>
            </w:r>
            <w:r>
              <w:rPr>
                <w:rFonts w:hint="eastAsia"/>
                <w:snapToGrid w:val="0"/>
                <w:color w:val="000000" w:themeColor="text1"/>
                <w:shd w:val="clear" w:fill="FFFFFF" w:themeFill="background1"/>
                <w14:textFill>
                  <w14:solidFill>
                    <w14:schemeClr w14:val="tx1"/>
                  </w14:solidFill>
                </w14:textFill>
              </w:rPr>
              <w:t>线</w:t>
            </w:r>
            <w:bookmarkStart w:id="229" w:name="hmcheck_30fa5f71980c459a807c2033aab9599d"/>
            <w:r>
              <w:rPr>
                <w:rFonts w:hint="eastAsia"/>
                <w:snapToGrid w:val="0"/>
                <w:color w:val="000000" w:themeColor="text1"/>
                <w:shd w:val="clear" w:fill="FFFFFF" w:themeFill="background1"/>
                <w14:textFill>
                  <w14:solidFill>
                    <w14:schemeClr w14:val="tx1"/>
                  </w14:solidFill>
                </w14:textFill>
              </w:rPr>
              <w:t>略优</w:t>
            </w:r>
            <w:bookmarkEnd w:id="229"/>
            <w:r>
              <w:rPr>
                <w:rFonts w:hint="eastAsia"/>
                <w:snapToGrid w:val="0"/>
                <w:color w:val="000000" w:themeColor="text1"/>
                <w:shd w:val="clear" w:fill="FFFFFF" w:themeFill="background1"/>
                <w14:textFill>
                  <w14:solidFill>
                    <w14:schemeClr w14:val="tx1"/>
                  </w14:solidFill>
                </w14:textFill>
              </w:rPr>
              <w:t>。</w:t>
            </w:r>
          </w:p>
        </w:tc>
      </w:tr>
      <w:tr w14:paraId="7E8F5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0" w:type="pct"/>
            <w:gridSpan w:val="2"/>
            <w:vAlign w:val="center"/>
          </w:tcPr>
          <w:p w14:paraId="44F99F53">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地表水环境</w:t>
            </w:r>
          </w:p>
        </w:tc>
        <w:tc>
          <w:tcPr>
            <w:tcW w:w="1485" w:type="pct"/>
            <w:vAlign w:val="center"/>
          </w:tcPr>
          <w:p w14:paraId="682B99C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涉及跨越迳江地表水体</w:t>
            </w:r>
          </w:p>
        </w:tc>
        <w:tc>
          <w:tcPr>
            <w:tcW w:w="1563" w:type="pct"/>
            <w:vAlign w:val="center"/>
          </w:tcPr>
          <w:p w14:paraId="599BBC7C">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涉及跨越迳江地表水体</w:t>
            </w:r>
          </w:p>
        </w:tc>
        <w:tc>
          <w:tcPr>
            <w:tcW w:w="1092" w:type="pct"/>
            <w:vAlign w:val="center"/>
          </w:tcPr>
          <w:p w14:paraId="3C5C0E2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方案相当，影响相当</w:t>
            </w:r>
          </w:p>
        </w:tc>
      </w:tr>
      <w:tr w14:paraId="21B0FD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60" w:type="pct"/>
            <w:gridSpan w:val="2"/>
            <w:vAlign w:val="center"/>
          </w:tcPr>
          <w:p w14:paraId="1D4AAD0E">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声环境和环境空气</w:t>
            </w:r>
          </w:p>
        </w:tc>
        <w:tc>
          <w:tcPr>
            <w:tcW w:w="1485" w:type="pct"/>
            <w:vAlign w:val="center"/>
          </w:tcPr>
          <w:p w14:paraId="0ED2DD0B">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K线路段2</w:t>
            </w:r>
            <w:r>
              <w:rPr>
                <w:snapToGrid w:val="0"/>
                <w:color w:val="000000" w:themeColor="text1"/>
                <w14:textFill>
                  <w14:solidFill>
                    <w14:schemeClr w14:val="tx1"/>
                  </w14:solidFill>
                </w14:textFill>
              </w:rPr>
              <w:t>00</w:t>
            </w:r>
            <w:r>
              <w:rPr>
                <w:rFonts w:hint="eastAsia"/>
                <w:snapToGrid w:val="0"/>
                <w:color w:val="000000" w:themeColor="text1"/>
                <w14:textFill>
                  <w14:solidFill>
                    <w14:schemeClr w14:val="tx1"/>
                  </w14:solidFill>
                </w14:textFill>
              </w:rPr>
              <w:t>m评价范围敏感目标分别为木厝洋（路右2</w:t>
            </w:r>
            <w:r>
              <w:rPr>
                <w:snapToGrid w:val="0"/>
                <w:color w:val="000000" w:themeColor="text1"/>
                <w14:textFill>
                  <w14:solidFill>
                    <w14:schemeClr w14:val="tx1"/>
                  </w14:solidFill>
                </w14:textFill>
              </w:rPr>
              <w:t>0</w:t>
            </w:r>
            <w:r>
              <w:rPr>
                <w:rFonts w:hint="eastAsia"/>
                <w:snapToGrid w:val="0"/>
                <w:color w:val="000000" w:themeColor="text1"/>
                <w14:textFill>
                  <w14:solidFill>
                    <w14:schemeClr w14:val="tx1"/>
                  </w14:solidFill>
                </w14:textFill>
              </w:rPr>
              <w:t>m）、三落厝（路右3</w:t>
            </w:r>
            <w:r>
              <w:rPr>
                <w:snapToGrid w:val="0"/>
                <w:color w:val="000000" w:themeColor="text1"/>
                <w14:textFill>
                  <w14:solidFill>
                    <w14:schemeClr w14:val="tx1"/>
                  </w14:solidFill>
                </w14:textFill>
              </w:rPr>
              <w:t>5</w:t>
            </w:r>
            <w:r>
              <w:rPr>
                <w:rFonts w:hint="eastAsia"/>
                <w:snapToGrid w:val="0"/>
                <w:color w:val="000000" w:themeColor="text1"/>
                <w14:textFill>
                  <w14:solidFill>
                    <w14:schemeClr w14:val="tx1"/>
                  </w14:solidFill>
                </w14:textFill>
              </w:rPr>
              <w:t>m）等敏感目标分布。</w:t>
            </w:r>
          </w:p>
        </w:tc>
        <w:tc>
          <w:tcPr>
            <w:tcW w:w="1563" w:type="pct"/>
            <w:vAlign w:val="center"/>
          </w:tcPr>
          <w:p w14:paraId="26F808C9">
            <w:pPr>
              <w:pStyle w:val="105"/>
              <w:jc w:val="left"/>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B</w:t>
            </w:r>
            <w:r>
              <w:rPr>
                <w:rFonts w:hint="eastAsia"/>
                <w:snapToGrid w:val="0"/>
                <w:color w:val="000000" w:themeColor="text1"/>
                <w14:textFill>
                  <w14:solidFill>
                    <w14:schemeClr w14:val="tx1"/>
                  </w14:solidFill>
                </w14:textFill>
              </w:rPr>
              <w:t>线路段2</w:t>
            </w:r>
            <w:r>
              <w:rPr>
                <w:snapToGrid w:val="0"/>
                <w:color w:val="000000" w:themeColor="text1"/>
                <w14:textFill>
                  <w14:solidFill>
                    <w14:schemeClr w14:val="tx1"/>
                  </w14:solidFill>
                </w14:textFill>
              </w:rPr>
              <w:t>00</w:t>
            </w:r>
            <w:r>
              <w:rPr>
                <w:rFonts w:hint="eastAsia"/>
                <w:snapToGrid w:val="0"/>
                <w:color w:val="000000" w:themeColor="text1"/>
                <w14:textFill>
                  <w14:solidFill>
                    <w14:schemeClr w14:val="tx1"/>
                  </w14:solidFill>
                </w14:textFill>
              </w:rPr>
              <w:t>m评价范围敏感目标分别为木厝洋（路右2</w:t>
            </w:r>
            <w:r>
              <w:rPr>
                <w:snapToGrid w:val="0"/>
                <w:color w:val="000000" w:themeColor="text1"/>
                <w14:textFill>
                  <w14:solidFill>
                    <w14:schemeClr w14:val="tx1"/>
                  </w14:solidFill>
                </w14:textFill>
              </w:rPr>
              <w:t>5</w:t>
            </w:r>
            <w:r>
              <w:rPr>
                <w:rFonts w:hint="eastAsia"/>
                <w:snapToGrid w:val="0"/>
                <w:color w:val="000000" w:themeColor="text1"/>
                <w14:textFill>
                  <w14:solidFill>
                    <w14:schemeClr w14:val="tx1"/>
                  </w14:solidFill>
                </w14:textFill>
              </w:rPr>
              <w:t>m）、三落厝（路右</w:t>
            </w:r>
            <w:r>
              <w:rPr>
                <w:snapToGrid w:val="0"/>
                <w:color w:val="000000" w:themeColor="text1"/>
                <w14:textFill>
                  <w14:solidFill>
                    <w14:schemeClr w14:val="tx1"/>
                  </w14:solidFill>
                </w14:textFill>
              </w:rPr>
              <w:t>16</w:t>
            </w:r>
            <w:r>
              <w:rPr>
                <w:rFonts w:hint="eastAsia"/>
                <w:snapToGrid w:val="0"/>
                <w:color w:val="000000" w:themeColor="text1"/>
                <w14:textFill>
                  <w14:solidFill>
                    <w14:schemeClr w14:val="tx1"/>
                  </w14:solidFill>
                </w14:textFill>
              </w:rPr>
              <w:t>m）等敏感目标分布。</w:t>
            </w:r>
          </w:p>
        </w:tc>
        <w:tc>
          <w:tcPr>
            <w:tcW w:w="1092" w:type="pct"/>
            <w:vAlign w:val="center"/>
          </w:tcPr>
          <w:p w14:paraId="6FA83C38">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从交通噪声影响分析，K线位于A线西侧，远离沿线声环境敏感目标，声环境影响程度略小于B线</w:t>
            </w:r>
          </w:p>
        </w:tc>
      </w:tr>
    </w:tbl>
    <w:p w14:paraId="20923A48">
      <w:pPr>
        <w:pStyle w:val="124"/>
        <w:rPr>
          <w:color w:val="000000" w:themeColor="text1"/>
          <w14:textFill>
            <w14:solidFill>
              <w14:schemeClr w14:val="tx1"/>
            </w14:solidFill>
          </w14:textFill>
        </w:rPr>
        <w:sectPr>
          <w:headerReference r:id="rId16" w:type="default"/>
          <w:footerReference r:id="rId17" w:type="default"/>
          <w:pgSz w:w="11910" w:h="16840"/>
          <w:pgMar w:top="1418" w:right="1418" w:bottom="1418" w:left="1418" w:header="851" w:footer="851" w:gutter="0"/>
          <w:cols w:space="720" w:num="1"/>
        </w:sectPr>
      </w:pPr>
      <w:r>
        <w:rPr>
          <w:rFonts w:hint="eastAsia"/>
          <w:color w:val="000000" w:themeColor="text1"/>
          <w14:textFill>
            <w14:solidFill>
              <w14:schemeClr w14:val="tx1"/>
            </w14:solidFill>
          </w14:textFill>
        </w:rPr>
        <w:t>从环境比选角度分析：K线和B线均不涉及生态保护红线，但B线局部路段（K</w:t>
      </w:r>
      <w:r>
        <w:rPr>
          <w:color w:val="000000" w:themeColor="text1"/>
          <w14:textFill>
            <w14:solidFill>
              <w14:schemeClr w14:val="tx1"/>
            </w14:solidFill>
          </w14:textFill>
        </w:rPr>
        <w:t>3+620~770</w:t>
      </w:r>
      <w:r>
        <w:rPr>
          <w:rFonts w:hint="eastAsia"/>
          <w:color w:val="000000" w:themeColor="text1"/>
          <w14:textFill>
            <w14:solidFill>
              <w14:schemeClr w14:val="tx1"/>
            </w14:solidFill>
          </w14:textFill>
        </w:rPr>
        <w:t>）边坡占用少量基本农田，从生态环境影响角度分析，K线占用林地面积较少，但涉及土石方量较大，总体而言，K线和B线相当。此外，从交通噪声影响分析，K线位于</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线西侧，远离沿线声环境敏感目标，声环境影响程度略小于</w:t>
      </w:r>
      <w:r>
        <w:rPr>
          <w:color w:val="000000" w:themeColor="text1"/>
          <w14:textFill>
            <w14:solidFill>
              <w14:schemeClr w14:val="tx1"/>
            </w14:solidFill>
          </w14:textFill>
        </w:rPr>
        <w:t>B</w:t>
      </w:r>
      <w:r>
        <w:rPr>
          <w:rFonts w:hint="eastAsia"/>
          <w:color w:val="000000" w:themeColor="text1"/>
          <w14:textFill>
            <w14:solidFill>
              <w14:schemeClr w14:val="tx1"/>
            </w14:solidFill>
          </w14:textFill>
        </w:rPr>
        <w:t>线，并且B线涉及古厝拆迁，综上分析，从生态保护角度分析，本次推荐的K线方案。</w:t>
      </w:r>
    </w:p>
    <w:p w14:paraId="3027ADCC">
      <w:pPr>
        <w:pStyle w:val="116"/>
        <w:rPr>
          <w:color w:val="000000" w:themeColor="text1"/>
          <w14:textFill>
            <w14:solidFill>
              <w14:schemeClr w14:val="tx1"/>
            </w14:solidFill>
          </w14:textFill>
        </w:rPr>
      </w:pPr>
      <w:bookmarkStart w:id="230" w:name="2.1项目工程概况"/>
      <w:bookmarkEnd w:id="230"/>
      <w:bookmarkStart w:id="231" w:name="_Toc28427"/>
      <w:bookmarkStart w:id="232" w:name="_Toc193912366"/>
      <w:bookmarkStart w:id="233" w:name="_Toc159405460"/>
      <w:r>
        <w:rPr>
          <w:color w:val="000000" w:themeColor="text1"/>
          <w14:textFill>
            <w14:solidFill>
              <w14:schemeClr w14:val="tx1"/>
            </w14:solidFill>
          </w14:textFill>
        </w:rPr>
        <w:t>项目</w:t>
      </w:r>
      <w:bookmarkEnd w:id="231"/>
      <w:r>
        <w:rPr>
          <w:rFonts w:hint="eastAsia"/>
          <w:color w:val="000000" w:themeColor="text1"/>
          <w14:textFill>
            <w14:solidFill>
              <w14:schemeClr w14:val="tx1"/>
            </w14:solidFill>
          </w14:textFill>
        </w:rPr>
        <w:t>基本情况</w:t>
      </w:r>
      <w:bookmarkEnd w:id="232"/>
      <w:bookmarkEnd w:id="233"/>
    </w:p>
    <w:p w14:paraId="0E38A1B0">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地理位置</w:t>
      </w:r>
    </w:p>
    <w:p w14:paraId="659E36AD">
      <w:pPr>
        <w:ind w:firstLine="480"/>
        <w:rPr>
          <w:color w:val="000000" w:themeColor="text1"/>
          <w14:textFill>
            <w14:solidFill>
              <w14:schemeClr w14:val="tx1"/>
            </w14:solidFill>
          </w14:textFill>
        </w:rPr>
      </w:pPr>
      <w:r>
        <w:rPr>
          <w:rFonts w:hint="eastAsia" w:cs="Times New Roman"/>
          <w:color w:val="000000" w:themeColor="text1"/>
          <w:shd w:val="clear" w:color="auto" w:fill="FFFFFF"/>
          <w14:textFill>
            <w14:solidFill>
              <w14:schemeClr w14:val="tx1"/>
            </w14:solidFill>
          </w14:textFill>
        </w:rPr>
        <w:t>本项目路线起于上迳镇牌边村，起点与G324平交，自东向西下穿福厦高铁（下穿段落已完工）后，新建桥梁跨越沈海高速，经溪北、木厝洋、三落厝后，终点至黄檗山万福寺，设置接线接入规划黄檗文化产业园。</w:t>
      </w:r>
      <w:bookmarkStart w:id="234" w:name="_Hlk143265197"/>
      <w:r>
        <w:rPr>
          <w:rFonts w:hint="eastAsia"/>
          <w:color w:val="000000" w:themeColor="text1"/>
          <w14:textFill>
            <w14:solidFill>
              <w14:schemeClr w14:val="tx1"/>
            </w14:solidFill>
          </w14:textFill>
        </w:rPr>
        <w:t>地理位置图详见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_Ref193725621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图3.2-1</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bookmarkEnd w:id="234"/>
    </w:p>
    <w:p w14:paraId="79191A0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455795" cy="2501900"/>
            <wp:effectExtent l="0" t="0" r="1905"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83" cstate="email"/>
                    <a:srcRect/>
                    <a:stretch>
                      <a:fillRect/>
                    </a:stretch>
                  </pic:blipFill>
                  <pic:spPr>
                    <a:xfrm>
                      <a:off x="0" y="0"/>
                      <a:ext cx="4472917" cy="2511289"/>
                    </a:xfrm>
                    <a:prstGeom prst="rect">
                      <a:avLst/>
                    </a:prstGeom>
                    <a:ln>
                      <a:noFill/>
                    </a:ln>
                  </pic:spPr>
                </pic:pic>
              </a:graphicData>
            </a:graphic>
          </wp:inline>
        </w:drawing>
      </w:r>
    </w:p>
    <w:p w14:paraId="247F66BA">
      <w:pPr>
        <w:pStyle w:val="122"/>
        <w:ind w:firstLine="480"/>
        <w:rPr>
          <w:color w:val="000000" w:themeColor="text1"/>
          <w:lang w:val="zh-CN"/>
          <w14:textFill>
            <w14:solidFill>
              <w14:schemeClr w14:val="tx1"/>
            </w14:solidFill>
          </w14:textFill>
        </w:rPr>
      </w:pPr>
      <w:bookmarkStart w:id="235" w:name="_Ref193725621"/>
      <w:r>
        <w:rPr>
          <w:rFonts w:hint="eastAsia"/>
          <w:color w:val="000000" w:themeColor="text1"/>
          <w:lang w:val="zh-CN"/>
          <w14:textFill>
            <w14:solidFill>
              <w14:schemeClr w14:val="tx1"/>
            </w14:solidFill>
          </w14:textFill>
        </w:rPr>
        <w:t>项目地理位置图</w:t>
      </w:r>
      <w:bookmarkEnd w:id="235"/>
    </w:p>
    <w:p w14:paraId="7E1DE9AE">
      <w:pPr>
        <w:pStyle w:val="120"/>
        <w:rPr>
          <w:color w:val="000000" w:themeColor="text1"/>
          <w14:textFill>
            <w14:solidFill>
              <w14:schemeClr w14:val="tx1"/>
            </w14:solidFill>
          </w14:textFill>
        </w:rPr>
      </w:pPr>
      <w:bookmarkStart w:id="236" w:name="2.1.2项目概况"/>
      <w:bookmarkEnd w:id="236"/>
      <w:bookmarkStart w:id="237" w:name="2.1.1路线走向"/>
      <w:bookmarkEnd w:id="237"/>
      <w:r>
        <w:rPr>
          <w:color w:val="000000" w:themeColor="text1"/>
          <w14:textFill>
            <w14:solidFill>
              <w14:schemeClr w14:val="tx1"/>
            </w14:solidFill>
          </w14:textFill>
        </w:rPr>
        <w:t>项目概况</w:t>
      </w:r>
    </w:p>
    <w:p w14:paraId="34AD7B1B">
      <w:pPr>
        <w:ind w:firstLine="480"/>
        <w:rPr>
          <w:rFonts w:cs="Times New Roman"/>
          <w:b/>
          <w:color w:val="000000" w:themeColor="text1"/>
          <w:szCs w:val="24"/>
          <w14:textFill>
            <w14:solidFill>
              <w14:schemeClr w14:val="tx1"/>
            </w14:solidFill>
          </w14:textFill>
        </w:rPr>
      </w:pPr>
      <w:bookmarkStart w:id="238" w:name="（1）项目名称：横二线武夷新区洪尾至新岭公路工程塔山大桥至溪口村连接线工程"/>
      <w:bookmarkEnd w:id="238"/>
      <w:r>
        <w:rPr>
          <w:rFonts w:cs="Times New Roman"/>
          <w:color w:val="000000" w:themeColor="text1"/>
          <w:szCs w:val="24"/>
          <w14:textFill>
            <w14:solidFill>
              <w14:schemeClr w14:val="tx1"/>
            </w14:solidFill>
          </w14:textFill>
        </w:rPr>
        <w:t>（1）项目名称：</w:t>
      </w:r>
      <w:r>
        <w:rPr>
          <w:rFonts w:hint="eastAsia" w:cs="Times New Roman"/>
          <w:color w:val="000000" w:themeColor="text1"/>
          <w:szCs w:val="24"/>
          <w14:textFill>
            <w14:solidFill>
              <w14:schemeClr w14:val="tx1"/>
            </w14:solidFill>
          </w14:textFill>
        </w:rPr>
        <w:t>黄檗山万福寺旅游公路</w:t>
      </w:r>
    </w:p>
    <w:p w14:paraId="732443E2">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（2）建设地点：</w:t>
      </w:r>
      <w:bookmarkStart w:id="239" w:name="_Hlk177552188"/>
      <w:r>
        <w:rPr>
          <w:rFonts w:hint="eastAsia" w:cs="Times New Roman"/>
          <w:color w:val="000000" w:themeColor="text1"/>
          <w:szCs w:val="24"/>
          <w:lang w:val="zh-CN"/>
          <w14:textFill>
            <w14:solidFill>
              <w14:schemeClr w14:val="tx1"/>
            </w14:solidFill>
          </w14:textFill>
        </w:rPr>
        <w:t>福清市</w:t>
      </w:r>
      <w:bookmarkEnd w:id="239"/>
      <w:r>
        <w:rPr>
          <w:rFonts w:hint="eastAsia" w:cs="Times New Roman"/>
          <w:color w:val="000000" w:themeColor="text1"/>
          <w:shd w:val="clear" w:color="auto" w:fill="FFFFFF"/>
          <w14:textFill>
            <w14:solidFill>
              <w14:schemeClr w14:val="tx1"/>
            </w14:solidFill>
          </w14:textFill>
        </w:rPr>
        <w:t>上迳镇、渔溪镇</w:t>
      </w:r>
    </w:p>
    <w:p w14:paraId="47EDAF96">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（3）建设单位：</w:t>
      </w:r>
      <w:r>
        <w:rPr>
          <w:rFonts w:hint="eastAsia" w:cs="Times New Roman"/>
          <w:color w:val="000000" w:themeColor="text1"/>
          <w:szCs w:val="24"/>
          <w14:textFill>
            <w14:solidFill>
              <w14:schemeClr w14:val="tx1"/>
            </w14:solidFill>
          </w14:textFill>
        </w:rPr>
        <w:t>福清市交通建设投资集团有限公司</w:t>
      </w:r>
    </w:p>
    <w:p w14:paraId="6889E5AD">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（4）建设性质：新建</w:t>
      </w:r>
    </w:p>
    <w:p w14:paraId="1AB5AB58">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（5）</w:t>
      </w:r>
      <w:r>
        <w:rPr>
          <w:rFonts w:hint="eastAsia"/>
          <w:color w:val="000000" w:themeColor="text1"/>
          <w:kern w:val="0"/>
          <w:szCs w:val="24"/>
          <w14:textFill>
            <w14:solidFill>
              <w14:schemeClr w14:val="tx1"/>
            </w14:solidFill>
          </w14:textFill>
        </w:rPr>
        <w:t>项目编码：</w:t>
      </w:r>
      <w:r>
        <w:rPr>
          <w:rFonts w:cs="Times New Roman"/>
          <w:color w:val="000000" w:themeColor="text1"/>
          <w:szCs w:val="24"/>
          <w14:textFill>
            <w14:solidFill>
              <w14:schemeClr w14:val="tx1"/>
            </w14:solidFill>
          </w14:textFill>
        </w:rPr>
        <w:t xml:space="preserve"> </w:t>
      </w:r>
    </w:p>
    <w:p w14:paraId="2B867A8A">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（6）项目投资：</w:t>
      </w:r>
    </w:p>
    <w:p w14:paraId="1D232517">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（7）经纬度：</w:t>
      </w:r>
      <w:bookmarkStart w:id="240" w:name="_Hlk143265332"/>
    </w:p>
    <w:p w14:paraId="483D425E">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主线起点坐标东经119°17′48.18770″，北纬25°37′31.11441″；</w:t>
      </w:r>
    </w:p>
    <w:p w14:paraId="2A0635E3">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主线终点坐标东经</w:t>
      </w:r>
      <w:bookmarkEnd w:id="240"/>
      <w:r>
        <w:rPr>
          <w:rFonts w:cs="Times New Roman"/>
          <w:color w:val="000000" w:themeColor="text1"/>
          <w14:textFill>
            <w14:solidFill>
              <w14:schemeClr w14:val="tx1"/>
            </w14:solidFill>
          </w14:textFill>
        </w:rPr>
        <w:t>119°15′18.49630″, 北纬25°38′21.20466″；</w:t>
      </w:r>
    </w:p>
    <w:p w14:paraId="41C91B53">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接线起点坐标东经119°15′18.49630″, 北纬25°38′21.20466″；</w:t>
      </w:r>
    </w:p>
    <w:p w14:paraId="3C455963">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接线终点坐标东经119°15′19.67916″, 北纬25°38′23.92281″。</w:t>
      </w:r>
    </w:p>
    <w:p w14:paraId="70E10271">
      <w:pPr>
        <w:ind w:firstLine="480"/>
        <w:rPr>
          <w:color w:val="000000" w:themeColor="text1"/>
          <w14:textFill>
            <w14:solidFill>
              <w14:schemeClr w14:val="tx1"/>
            </w14:solidFill>
          </w14:textFill>
        </w:rPr>
      </w:pPr>
      <w:r>
        <w:rPr>
          <w:color w:val="000000" w:themeColor="text1"/>
          <w14:textFill>
            <w14:solidFill>
              <w14:schemeClr w14:val="tx1"/>
            </w14:solidFill>
          </w14:textFill>
        </w:rPr>
        <w:t>（8）项目建设内容：</w:t>
      </w:r>
      <w:bookmarkStart w:id="241" w:name="OLE_LINK65"/>
      <w:bookmarkStart w:id="242" w:name="_Hlk177552176"/>
    </w:p>
    <w:p w14:paraId="47EF5C5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路线全长5.200km，其中主线5.110km（含下穿福厦高铁段落），接线0.090km，均按双向二车道、路基宽度12m的二级公路标准建设。桥梁589.5m/2座（含终点接线桥</w:t>
      </w:r>
      <w:r>
        <w:rPr>
          <w:color w:val="000000" w:themeColor="text1"/>
          <w14:textFill>
            <w14:solidFill>
              <w14:schemeClr w14:val="tx1"/>
            </w14:solidFill>
          </w14:textFill>
        </w:rPr>
        <w:t>37</w:t>
      </w:r>
      <w:r>
        <w:rPr>
          <w:rFonts w:hint="eastAsia"/>
          <w:color w:val="000000" w:themeColor="text1"/>
          <w14:textFill>
            <w14:solidFill>
              <w14:schemeClr w14:val="tx1"/>
            </w14:solidFill>
          </w14:textFill>
        </w:rPr>
        <w:t>m/1座），涵洞</w:t>
      </w:r>
      <w:r>
        <w:rPr>
          <w:color w:val="000000" w:themeColor="text1"/>
          <w14:textFill>
            <w14:solidFill>
              <w14:schemeClr w14:val="tx1"/>
            </w14:solidFill>
          </w14:textFill>
        </w:rPr>
        <w:t>28</w:t>
      </w:r>
      <w:r>
        <w:rPr>
          <w:rFonts w:hint="eastAsia"/>
          <w:color w:val="000000" w:themeColor="text1"/>
          <w14:textFill>
            <w14:solidFill>
              <w14:schemeClr w14:val="tx1"/>
            </w14:solidFill>
          </w14:textFill>
        </w:rPr>
        <w:t>道，按设计速度60km/h、路基宽12m、双向二车道的二级公路标准建设。</w:t>
      </w:r>
    </w:p>
    <w:p w14:paraId="47CA29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本项目K1+030~K1+389.8已单独立项并单独进行环评（2</w:t>
      </w:r>
      <w:r>
        <w:rPr>
          <w:color w:val="000000" w:themeColor="text1"/>
          <w14:textFill>
            <w14:solidFill>
              <w14:schemeClr w14:val="tx1"/>
            </w14:solidFill>
          </w14:textFill>
        </w:rPr>
        <w:t>023</w:t>
      </w:r>
      <w:r>
        <w:rPr>
          <w:rFonts w:hint="eastAsia"/>
          <w:color w:val="000000" w:themeColor="text1"/>
          <w14:textFill>
            <w14:solidFill>
              <w14:schemeClr w14:val="tx1"/>
            </w14:solidFill>
          </w14:textFill>
        </w:rPr>
        <w:t>年已批复），并由铁四院完成设计。其中：下穿福厦高铁段落（K1+324.8~K1+389.8）路基标准断面宽17.13m，已完成施工，本项目利用；K1+030~K1+324.8段现状路基已实施（路面尚未实施），但该段路标准断面宽度为8.5m，不满足本项目标准断面宽度12m的需求，故对其进行拓宽改造。改造方案如下：保留现状边坡，将设计标高抬高到边坡之间宽度大于12m，现状边沟加高，加装UHPC盖板作为路肩使用。</w:t>
      </w:r>
    </w:p>
    <w:bookmarkEnd w:id="241"/>
    <w:bookmarkEnd w:id="242"/>
    <w:p w14:paraId="3C9C4A05">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（9）项目施工期为18</w:t>
      </w:r>
      <w:r>
        <w:rPr>
          <w:rFonts w:hint="eastAsia" w:cs="Times New Roman"/>
          <w:color w:val="000000" w:themeColor="text1"/>
          <w:szCs w:val="24"/>
          <w14:textFill>
            <w14:solidFill>
              <w14:schemeClr w14:val="tx1"/>
            </w14:solidFill>
          </w14:textFill>
        </w:rPr>
        <w:t>个月</w:t>
      </w:r>
      <w:r>
        <w:rPr>
          <w:rFonts w:cs="Times New Roman"/>
          <w:color w:val="000000" w:themeColor="text1"/>
          <w:szCs w:val="24"/>
          <w14:textFill>
            <w14:solidFill>
              <w14:schemeClr w14:val="tx1"/>
            </w14:solidFill>
          </w14:textFill>
        </w:rPr>
        <w:t>，即</w:t>
      </w:r>
      <w:r>
        <w:rPr>
          <w:rFonts w:hint="eastAsia"/>
          <w:color w:val="000000" w:themeColor="text1"/>
          <w14:textFill>
            <w14:solidFill>
              <w14:schemeClr w14:val="tx1"/>
            </w14:solidFill>
          </w14:textFill>
        </w:rPr>
        <w:t>202</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月—20</w:t>
      </w:r>
      <w:r>
        <w:rPr>
          <w:color w:val="000000" w:themeColor="text1"/>
          <w14:textFill>
            <w14:solidFill>
              <w14:schemeClr w14:val="tx1"/>
            </w14:solidFill>
          </w14:textFill>
        </w:rPr>
        <w:t>26</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月</w:t>
      </w:r>
      <w:r>
        <w:rPr>
          <w:rFonts w:cs="Times New Roman"/>
          <w:color w:val="000000" w:themeColor="text1"/>
          <w:szCs w:val="24"/>
          <w14:textFill>
            <w14:solidFill>
              <w14:schemeClr w14:val="tx1"/>
            </w14:solidFill>
          </w14:textFill>
        </w:rPr>
        <w:t>。</w:t>
      </w:r>
    </w:p>
    <w:p w14:paraId="7C663907">
      <w:pPr>
        <w:ind w:firstLine="480"/>
        <w:rPr>
          <w:rFonts w:cs="Times New Roman"/>
          <w:color w:val="000000" w:themeColor="text1"/>
          <w:szCs w:val="24"/>
          <w:lang w:val="zh-CN"/>
          <w14:textFill>
            <w14:solidFill>
              <w14:schemeClr w14:val="tx1"/>
            </w14:solidFill>
          </w14:textFill>
        </w:rPr>
      </w:pPr>
      <w:bookmarkStart w:id="243" w:name="2.1.3工程主要技术指标"/>
      <w:bookmarkEnd w:id="243"/>
      <w:r>
        <w:rPr>
          <w:rFonts w:hint="eastAsia" w:cs="Times New Roman"/>
          <w:color w:val="000000" w:themeColor="text1"/>
          <w:szCs w:val="24"/>
          <w:lang w:val="zh-CN"/>
          <w14:textFill>
            <w14:solidFill>
              <w14:schemeClr w14:val="tx1"/>
            </w14:solidFill>
          </w14:textFill>
        </w:rPr>
        <w:t>（1</w:t>
      </w:r>
      <w:r>
        <w:rPr>
          <w:rFonts w:cs="Times New Roman"/>
          <w:color w:val="000000" w:themeColor="text1"/>
          <w:szCs w:val="24"/>
          <w:lang w:val="zh-CN"/>
          <w14:textFill>
            <w14:solidFill>
              <w14:schemeClr w14:val="tx1"/>
            </w14:solidFill>
          </w14:textFill>
        </w:rPr>
        <w:t>0</w:t>
      </w:r>
      <w:r>
        <w:rPr>
          <w:rFonts w:hint="eastAsia" w:cs="Times New Roman"/>
          <w:color w:val="000000" w:themeColor="text1"/>
          <w:szCs w:val="24"/>
          <w:lang w:val="zh-CN"/>
          <w14:textFill>
            <w14:solidFill>
              <w14:schemeClr w14:val="tx1"/>
            </w14:solidFill>
          </w14:textFill>
        </w:rPr>
        <w:t>）</w:t>
      </w:r>
      <w:r>
        <w:rPr>
          <w:rFonts w:cs="Times New Roman"/>
          <w:color w:val="000000" w:themeColor="text1"/>
          <w:szCs w:val="24"/>
          <w:lang w:val="zh-CN"/>
          <w14:textFill>
            <w14:solidFill>
              <w14:schemeClr w14:val="tx1"/>
            </w14:solidFill>
          </w14:textFill>
        </w:rPr>
        <w:t>建设项目主要经济</w:t>
      </w:r>
      <w:bookmarkStart w:id="244" w:name="hmcheck_c483f900e11f47248ead443b9236a057"/>
      <w:r>
        <w:rPr>
          <w:rFonts w:cs="Times New Roman"/>
          <w:color w:val="000000" w:themeColor="text1"/>
          <w:szCs w:val="24"/>
          <w:shd w:val="clear" w:fill="FFAFAA"/>
          <w:lang w:val="zh-CN"/>
          <w14:textFill>
            <w14:solidFill>
              <w14:schemeClr w14:val="tx1"/>
            </w14:solidFill>
          </w14:textFill>
        </w:rPr>
        <w:t>技术指标见</w:t>
      </w:r>
      <w:bookmarkEnd w:id="244"/>
      <w:r>
        <w:rPr>
          <w:rFonts w:cs="Times New Roman"/>
          <w:color w:val="000000" w:themeColor="text1"/>
          <w:szCs w:val="24"/>
          <w:lang w:val="zh-CN"/>
          <w14:textFill>
            <w14:solidFill>
              <w14:schemeClr w14:val="tx1"/>
            </w14:solidFill>
          </w14:textFill>
        </w:rPr>
        <w:fldChar w:fldCharType="begin"/>
      </w:r>
      <w:r>
        <w:rPr>
          <w:rFonts w:cs="Times New Roman"/>
          <w:color w:val="000000" w:themeColor="text1"/>
          <w:szCs w:val="24"/>
          <w:lang w:val="zh-CN"/>
          <w14:textFill>
            <w14:solidFill>
              <w14:schemeClr w14:val="tx1"/>
            </w14:solidFill>
          </w14:textFill>
        </w:rPr>
        <w:instrText xml:space="preserve"> REF _Ref156287661 \r \h </w:instrText>
      </w:r>
      <w:r>
        <w:rPr>
          <w:rFonts w:cs="Times New Roman"/>
          <w:color w:val="000000" w:themeColor="text1"/>
          <w:szCs w:val="24"/>
          <w:lang w:val="zh-CN"/>
          <w14:textFill>
            <w14:solidFill>
              <w14:schemeClr w14:val="tx1"/>
            </w14:solidFill>
          </w14:textFill>
        </w:rPr>
        <w:fldChar w:fldCharType="separate"/>
      </w:r>
      <w:r>
        <w:rPr>
          <w:rFonts w:hint="eastAsia" w:cs="Times New Roman"/>
          <w:color w:val="000000" w:themeColor="text1"/>
          <w:szCs w:val="24"/>
          <w:lang w:val="zh-CN"/>
          <w14:textFill>
            <w14:solidFill>
              <w14:schemeClr w14:val="tx1"/>
            </w14:solidFill>
          </w14:textFill>
        </w:rPr>
        <w:t>表3.2-1</w:t>
      </w:r>
      <w:r>
        <w:rPr>
          <w:rFonts w:cs="Times New Roman"/>
          <w:color w:val="000000" w:themeColor="text1"/>
          <w:szCs w:val="24"/>
          <w:lang w:val="zh-CN"/>
          <w14:textFill>
            <w14:solidFill>
              <w14:schemeClr w14:val="tx1"/>
            </w14:solidFill>
          </w14:textFill>
        </w:rPr>
        <w:fldChar w:fldCharType="end"/>
      </w:r>
      <w:r>
        <w:rPr>
          <w:rFonts w:cs="Times New Roman"/>
          <w:color w:val="000000" w:themeColor="text1"/>
          <w:szCs w:val="24"/>
          <w:lang w:val="zh-CN"/>
          <w14:textFill>
            <w14:solidFill>
              <w14:schemeClr w14:val="tx1"/>
            </w14:solidFill>
          </w14:textFill>
        </w:rPr>
        <w:t>。</w:t>
      </w:r>
    </w:p>
    <w:p w14:paraId="265D12A6">
      <w:pPr>
        <w:pStyle w:val="87"/>
        <w:spacing w:before="120"/>
      </w:pPr>
      <w:bookmarkStart w:id="245" w:name="_Ref156287661"/>
      <w:r>
        <w:rPr>
          <w:rFonts w:hint="eastAsia"/>
        </w:rPr>
        <w:t>项目</w:t>
      </w:r>
      <w:r>
        <w:t>工程主要经济技术指标</w:t>
      </w:r>
      <w:bookmarkEnd w:id="245"/>
    </w:p>
    <w:tbl>
      <w:tblPr>
        <w:tblStyle w:val="399"/>
        <w:tblW w:w="907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1932"/>
        <w:gridCol w:w="2159"/>
        <w:gridCol w:w="2415"/>
        <w:gridCol w:w="2566"/>
      </w:tblGrid>
      <w:tr w14:paraId="609D5E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4" w:hRule="atLeast"/>
        </w:trPr>
        <w:tc>
          <w:tcPr>
            <w:tcW w:w="2255" w:type="pct"/>
            <w:gridSpan w:val="2"/>
            <w:tcBorders>
              <w:top w:val="single" w:color="auto" w:sz="12" w:space="0"/>
              <w:left w:val="nil"/>
              <w:bottom w:val="nil"/>
              <w:right w:val="single" w:color="auto" w:sz="6" w:space="0"/>
              <w:insideH w:val="nil"/>
              <w:insideV w:val="single" w:sz="6" w:space="0"/>
              <w:tl2br w:val="nil"/>
              <w:tr2bl w:val="nil"/>
            </w:tcBorders>
            <w:vAlign w:val="center"/>
          </w:tcPr>
          <w:p w14:paraId="6161FA46">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公路等级</w:t>
            </w:r>
          </w:p>
        </w:tc>
        <w:tc>
          <w:tcPr>
            <w:tcW w:w="2745" w:type="pct"/>
            <w:gridSpan w:val="2"/>
            <w:tcBorders>
              <w:top w:val="single" w:color="auto" w:sz="12" w:space="0"/>
              <w:bottom w:val="nil"/>
              <w:right w:val="nil"/>
              <w:insideH w:val="nil"/>
              <w:insideV w:val="single" w:sz="6" w:space="0"/>
              <w:tl2br w:val="nil"/>
              <w:tr2bl w:val="nil"/>
            </w:tcBorders>
            <w:vAlign w:val="center"/>
          </w:tcPr>
          <w:p w14:paraId="6D5033E0">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二级公路</w:t>
            </w:r>
          </w:p>
        </w:tc>
      </w:tr>
      <w:tr w14:paraId="04D212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2516F31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路段范围</w:t>
            </w:r>
          </w:p>
        </w:tc>
        <w:tc>
          <w:tcPr>
            <w:tcW w:w="2745" w:type="pct"/>
            <w:gridSpan w:val="2"/>
            <w:vAlign w:val="center"/>
          </w:tcPr>
          <w:p w14:paraId="1D05CF22">
            <w:pPr>
              <w:pStyle w:val="105"/>
              <w:widowControl w:val="0"/>
              <w:jc w:val="center"/>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K0+000—K5+110、LK0+000-LK0+090</w:t>
            </w:r>
          </w:p>
        </w:tc>
      </w:tr>
      <w:tr w14:paraId="3BC78A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1BB26C3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路段长度（km）</w:t>
            </w:r>
          </w:p>
        </w:tc>
        <w:tc>
          <w:tcPr>
            <w:tcW w:w="2745" w:type="pct"/>
            <w:gridSpan w:val="2"/>
            <w:vAlign w:val="center"/>
          </w:tcPr>
          <w:p w14:paraId="1B88069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5.200</w:t>
            </w:r>
          </w:p>
        </w:tc>
      </w:tr>
      <w:tr w14:paraId="0EDB8F7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2A7A7145">
            <w:pPr>
              <w:pStyle w:val="105"/>
              <w:widowControl w:val="0"/>
              <w:jc w:val="center"/>
              <w:rPr>
                <w:color w:val="000000" w:themeColor="text1"/>
                <w14:textFill>
                  <w14:solidFill>
                    <w14:schemeClr w14:val="tx1"/>
                  </w14:solidFill>
                </w14:textFill>
              </w:rPr>
            </w:pPr>
          </w:p>
        </w:tc>
        <w:tc>
          <w:tcPr>
            <w:tcW w:w="1331" w:type="pct"/>
            <w:vAlign w:val="center"/>
          </w:tcPr>
          <w:p w14:paraId="132CDC0A">
            <w:pPr>
              <w:pStyle w:val="105"/>
              <w:widowControl w:val="0"/>
              <w:jc w:val="center"/>
              <w:rPr>
                <w:color w:val="000000" w:themeColor="text1"/>
                <w14:textFill>
                  <w14:solidFill>
                    <w14:schemeClr w14:val="tx1"/>
                  </w14:solidFill>
                </w14:textFill>
              </w:rPr>
            </w:pPr>
          </w:p>
        </w:tc>
        <w:tc>
          <w:tcPr>
            <w:tcW w:w="1414" w:type="pct"/>
            <w:vAlign w:val="center"/>
          </w:tcPr>
          <w:p w14:paraId="5C2A1A81">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设计采用值</w:t>
            </w:r>
          </w:p>
        </w:tc>
      </w:tr>
      <w:tr w14:paraId="659657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2647DEE1">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设计速度</w:t>
            </w:r>
            <w:bookmarkStart w:id="246" w:name="hmcheck_fa5359c18cb54643be34f4a0776ce64e"/>
            <w:r>
              <w:rPr>
                <w:rFonts w:hint="eastAsia"/>
                <w:color w:val="000000" w:themeColor="text1"/>
                <w:shd w:val="clear" w:fill="FFAFAA"/>
                <w14:textFill>
                  <w14:solidFill>
                    <w14:schemeClr w14:val="tx1"/>
                  </w14:solidFill>
                </w14:textFill>
              </w:rPr>
              <w:t>（</w:t>
            </w:r>
            <w:bookmarkEnd w:id="246"/>
            <w:r>
              <w:rPr>
                <w:rFonts w:hint="eastAsia"/>
                <w:color w:val="000000" w:themeColor="text1"/>
                <w14:textFill>
                  <w14:solidFill>
                    <w14:schemeClr w14:val="tx1"/>
                  </w14:solidFill>
                </w14:textFill>
              </w:rPr>
              <w:t>公里/小时）</w:t>
            </w:r>
          </w:p>
        </w:tc>
        <w:tc>
          <w:tcPr>
            <w:tcW w:w="1331" w:type="pct"/>
            <w:vAlign w:val="center"/>
          </w:tcPr>
          <w:p w14:paraId="2CBE6037">
            <w:pPr>
              <w:pStyle w:val="105"/>
              <w:widowControl w:val="0"/>
              <w:jc w:val="center"/>
              <w:rPr>
                <w:color w:val="000000" w:themeColor="text1"/>
                <w14:textFill>
                  <w14:solidFill>
                    <w14:schemeClr w14:val="tx1"/>
                  </w14:solidFill>
                </w14:textFill>
              </w:rPr>
            </w:pPr>
          </w:p>
        </w:tc>
        <w:tc>
          <w:tcPr>
            <w:tcW w:w="1414" w:type="pct"/>
            <w:vAlign w:val="center"/>
          </w:tcPr>
          <w:p w14:paraId="790702D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60</w:t>
            </w:r>
          </w:p>
        </w:tc>
      </w:tr>
      <w:tr w14:paraId="61AE23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54874BB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路基宽度（米）</w:t>
            </w:r>
          </w:p>
        </w:tc>
        <w:tc>
          <w:tcPr>
            <w:tcW w:w="1331" w:type="pct"/>
            <w:vAlign w:val="center"/>
          </w:tcPr>
          <w:p w14:paraId="7BAFC816">
            <w:pPr>
              <w:pStyle w:val="105"/>
              <w:widowControl w:val="0"/>
              <w:jc w:val="center"/>
              <w:rPr>
                <w:color w:val="000000" w:themeColor="text1"/>
                <w14:textFill>
                  <w14:solidFill>
                    <w14:schemeClr w14:val="tx1"/>
                  </w14:solidFill>
                </w14:textFill>
              </w:rPr>
            </w:pPr>
          </w:p>
        </w:tc>
        <w:tc>
          <w:tcPr>
            <w:tcW w:w="1414" w:type="pct"/>
            <w:vAlign w:val="center"/>
          </w:tcPr>
          <w:p w14:paraId="2E3CF11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r>
      <w:tr w14:paraId="773152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restart"/>
            <w:vAlign w:val="center"/>
          </w:tcPr>
          <w:p w14:paraId="71AA3FA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平曲线最小</w:t>
            </w:r>
          </w:p>
          <w:p w14:paraId="54F1D91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半径（米）</w:t>
            </w:r>
          </w:p>
        </w:tc>
        <w:tc>
          <w:tcPr>
            <w:tcW w:w="1190" w:type="pct"/>
            <w:vAlign w:val="center"/>
          </w:tcPr>
          <w:p w14:paraId="07ACD0E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一般值</w:t>
            </w:r>
          </w:p>
        </w:tc>
        <w:tc>
          <w:tcPr>
            <w:tcW w:w="1331" w:type="pct"/>
            <w:vAlign w:val="center"/>
          </w:tcPr>
          <w:p w14:paraId="1F6538EA">
            <w:pPr>
              <w:pStyle w:val="105"/>
              <w:widowControl w:val="0"/>
              <w:jc w:val="center"/>
              <w:rPr>
                <w:color w:val="000000" w:themeColor="text1"/>
                <w:kern w:val="0"/>
                <w14:textFill>
                  <w14:solidFill>
                    <w14:schemeClr w14:val="tx1"/>
                  </w14:solidFill>
                </w14:textFill>
              </w:rPr>
            </w:pPr>
          </w:p>
        </w:tc>
        <w:tc>
          <w:tcPr>
            <w:tcW w:w="1414" w:type="pct"/>
            <w:vMerge w:val="restart"/>
            <w:vAlign w:val="center"/>
          </w:tcPr>
          <w:p w14:paraId="5A427BF5">
            <w:pPr>
              <w:pStyle w:val="105"/>
              <w:widowControl w:val="0"/>
              <w:jc w:val="center"/>
              <w:rPr>
                <w:color w:val="000000" w:themeColor="text1"/>
                <w:kern w:val="0"/>
                <w14:textFill>
                  <w14:solidFill>
                    <w14:schemeClr w14:val="tx1"/>
                  </w14:solidFill>
                </w14:textFill>
              </w:rPr>
            </w:pPr>
          </w:p>
        </w:tc>
      </w:tr>
      <w:tr w14:paraId="3CE982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continue"/>
            <w:vAlign w:val="center"/>
          </w:tcPr>
          <w:p w14:paraId="19F27E55">
            <w:pPr>
              <w:pStyle w:val="105"/>
              <w:widowControl w:val="0"/>
              <w:jc w:val="center"/>
              <w:rPr>
                <w:color w:val="000000" w:themeColor="text1"/>
                <w14:textFill>
                  <w14:solidFill>
                    <w14:schemeClr w14:val="tx1"/>
                  </w14:solidFill>
                </w14:textFill>
              </w:rPr>
            </w:pPr>
          </w:p>
        </w:tc>
        <w:tc>
          <w:tcPr>
            <w:tcW w:w="1190" w:type="pct"/>
            <w:vAlign w:val="center"/>
          </w:tcPr>
          <w:p w14:paraId="21231A2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极限值</w:t>
            </w:r>
          </w:p>
        </w:tc>
        <w:tc>
          <w:tcPr>
            <w:tcW w:w="1331" w:type="pct"/>
            <w:vAlign w:val="center"/>
          </w:tcPr>
          <w:p w14:paraId="2DC53F1E">
            <w:pPr>
              <w:pStyle w:val="105"/>
              <w:widowControl w:val="0"/>
              <w:jc w:val="center"/>
              <w:rPr>
                <w:color w:val="000000" w:themeColor="text1"/>
                <w:kern w:val="0"/>
                <w14:textFill>
                  <w14:solidFill>
                    <w14:schemeClr w14:val="tx1"/>
                  </w14:solidFill>
                </w14:textFill>
              </w:rPr>
            </w:pPr>
          </w:p>
        </w:tc>
        <w:tc>
          <w:tcPr>
            <w:tcW w:w="1414" w:type="pct"/>
            <w:vMerge w:val="continue"/>
            <w:vAlign w:val="center"/>
          </w:tcPr>
          <w:p w14:paraId="6E34A168">
            <w:pPr>
              <w:pStyle w:val="105"/>
              <w:widowControl w:val="0"/>
              <w:jc w:val="center"/>
              <w:rPr>
                <w:color w:val="000000" w:themeColor="text1"/>
                <w:kern w:val="0"/>
                <w14:textFill>
                  <w14:solidFill>
                    <w14:schemeClr w14:val="tx1"/>
                  </w14:solidFill>
                </w14:textFill>
              </w:rPr>
            </w:pPr>
          </w:p>
        </w:tc>
      </w:tr>
      <w:tr w14:paraId="75CF9B3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7E75545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不设超高最小平曲线半径（米）</w:t>
            </w:r>
          </w:p>
        </w:tc>
        <w:tc>
          <w:tcPr>
            <w:tcW w:w="1331" w:type="pct"/>
            <w:vAlign w:val="center"/>
          </w:tcPr>
          <w:p w14:paraId="7DFCDEFD">
            <w:pPr>
              <w:pStyle w:val="105"/>
              <w:widowControl w:val="0"/>
              <w:jc w:val="center"/>
              <w:rPr>
                <w:color w:val="000000" w:themeColor="text1"/>
                <w14:textFill>
                  <w14:solidFill>
                    <w14:schemeClr w14:val="tx1"/>
                  </w14:solidFill>
                </w14:textFill>
              </w:rPr>
            </w:pPr>
          </w:p>
        </w:tc>
        <w:tc>
          <w:tcPr>
            <w:tcW w:w="1414" w:type="pct"/>
            <w:vAlign w:val="center"/>
          </w:tcPr>
          <w:p w14:paraId="799C6332">
            <w:pPr>
              <w:pStyle w:val="105"/>
              <w:widowControl w:val="0"/>
              <w:jc w:val="center"/>
              <w:rPr>
                <w:color w:val="000000" w:themeColor="text1"/>
                <w14:textFill>
                  <w14:solidFill>
                    <w14:schemeClr w14:val="tx1"/>
                  </w14:solidFill>
                </w14:textFill>
              </w:rPr>
            </w:pPr>
          </w:p>
        </w:tc>
      </w:tr>
      <w:tr w14:paraId="24DAB0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6FEA958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停车视距（米）</w:t>
            </w:r>
          </w:p>
        </w:tc>
        <w:tc>
          <w:tcPr>
            <w:tcW w:w="1331" w:type="pct"/>
            <w:vAlign w:val="center"/>
          </w:tcPr>
          <w:p w14:paraId="69D60EA7">
            <w:pPr>
              <w:pStyle w:val="105"/>
              <w:widowControl w:val="0"/>
              <w:jc w:val="center"/>
              <w:rPr>
                <w:color w:val="000000" w:themeColor="text1"/>
                <w14:textFill>
                  <w14:solidFill>
                    <w14:schemeClr w14:val="tx1"/>
                  </w14:solidFill>
                </w14:textFill>
              </w:rPr>
            </w:pPr>
          </w:p>
        </w:tc>
        <w:tc>
          <w:tcPr>
            <w:tcW w:w="1414" w:type="pct"/>
            <w:vAlign w:val="center"/>
          </w:tcPr>
          <w:p w14:paraId="64916480">
            <w:pPr>
              <w:pStyle w:val="105"/>
              <w:widowControl w:val="0"/>
              <w:jc w:val="center"/>
              <w:rPr>
                <w:color w:val="000000" w:themeColor="text1"/>
                <w14:textFill>
                  <w14:solidFill>
                    <w14:schemeClr w14:val="tx1"/>
                  </w14:solidFill>
                </w14:textFill>
              </w:rPr>
            </w:pPr>
          </w:p>
        </w:tc>
      </w:tr>
      <w:tr w14:paraId="170BDF0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3800851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最大纵坡（%）</w:t>
            </w:r>
          </w:p>
        </w:tc>
        <w:tc>
          <w:tcPr>
            <w:tcW w:w="1331" w:type="pct"/>
            <w:vAlign w:val="center"/>
          </w:tcPr>
          <w:p w14:paraId="6C0EDF0F">
            <w:pPr>
              <w:pStyle w:val="105"/>
              <w:widowControl w:val="0"/>
              <w:jc w:val="center"/>
              <w:rPr>
                <w:color w:val="000000" w:themeColor="text1"/>
                <w14:textFill>
                  <w14:solidFill>
                    <w14:schemeClr w14:val="tx1"/>
                  </w14:solidFill>
                </w14:textFill>
              </w:rPr>
            </w:pPr>
          </w:p>
        </w:tc>
        <w:tc>
          <w:tcPr>
            <w:tcW w:w="1414" w:type="pct"/>
            <w:vAlign w:val="center"/>
          </w:tcPr>
          <w:p w14:paraId="4621E093">
            <w:pPr>
              <w:pStyle w:val="105"/>
              <w:widowControl w:val="0"/>
              <w:jc w:val="center"/>
              <w:rPr>
                <w:color w:val="000000" w:themeColor="text1"/>
                <w14:textFill>
                  <w14:solidFill>
                    <w14:schemeClr w14:val="tx1"/>
                  </w14:solidFill>
                </w14:textFill>
              </w:rPr>
            </w:pPr>
          </w:p>
        </w:tc>
      </w:tr>
      <w:tr w14:paraId="2DD640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restart"/>
            <w:vAlign w:val="center"/>
          </w:tcPr>
          <w:p w14:paraId="4404E2F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凸形竖曲线</w:t>
            </w:r>
          </w:p>
          <w:p w14:paraId="18D337E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最小半径（米）</w:t>
            </w:r>
          </w:p>
        </w:tc>
        <w:tc>
          <w:tcPr>
            <w:tcW w:w="1190" w:type="pct"/>
            <w:vAlign w:val="center"/>
          </w:tcPr>
          <w:p w14:paraId="3E1DC9D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一般值</w:t>
            </w:r>
          </w:p>
        </w:tc>
        <w:tc>
          <w:tcPr>
            <w:tcW w:w="1331" w:type="pct"/>
            <w:vAlign w:val="center"/>
          </w:tcPr>
          <w:p w14:paraId="7A2C11B5">
            <w:pPr>
              <w:pStyle w:val="105"/>
              <w:widowControl w:val="0"/>
              <w:jc w:val="center"/>
              <w:rPr>
                <w:color w:val="000000" w:themeColor="text1"/>
                <w:kern w:val="0"/>
                <w14:textFill>
                  <w14:solidFill>
                    <w14:schemeClr w14:val="tx1"/>
                  </w14:solidFill>
                </w14:textFill>
              </w:rPr>
            </w:pPr>
          </w:p>
        </w:tc>
        <w:tc>
          <w:tcPr>
            <w:tcW w:w="1414" w:type="pct"/>
            <w:vMerge w:val="restart"/>
            <w:vAlign w:val="center"/>
          </w:tcPr>
          <w:p w14:paraId="4BADC0A4">
            <w:pPr>
              <w:pStyle w:val="105"/>
              <w:widowControl w:val="0"/>
              <w:jc w:val="center"/>
              <w:rPr>
                <w:color w:val="000000" w:themeColor="text1"/>
                <w:kern w:val="0"/>
                <w14:textFill>
                  <w14:solidFill>
                    <w14:schemeClr w14:val="tx1"/>
                  </w14:solidFill>
                </w14:textFill>
              </w:rPr>
            </w:pPr>
          </w:p>
        </w:tc>
      </w:tr>
      <w:tr w14:paraId="472DBA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continue"/>
            <w:vAlign w:val="center"/>
          </w:tcPr>
          <w:p w14:paraId="0FBE84CB">
            <w:pPr>
              <w:pStyle w:val="105"/>
              <w:widowControl w:val="0"/>
              <w:jc w:val="center"/>
              <w:rPr>
                <w:color w:val="000000" w:themeColor="text1"/>
                <w14:textFill>
                  <w14:solidFill>
                    <w14:schemeClr w14:val="tx1"/>
                  </w14:solidFill>
                </w14:textFill>
              </w:rPr>
            </w:pPr>
          </w:p>
        </w:tc>
        <w:tc>
          <w:tcPr>
            <w:tcW w:w="1190" w:type="pct"/>
            <w:vAlign w:val="center"/>
          </w:tcPr>
          <w:p w14:paraId="6085E68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极限值</w:t>
            </w:r>
          </w:p>
        </w:tc>
        <w:tc>
          <w:tcPr>
            <w:tcW w:w="1331" w:type="pct"/>
            <w:vAlign w:val="center"/>
          </w:tcPr>
          <w:p w14:paraId="79DF5E9D">
            <w:pPr>
              <w:pStyle w:val="105"/>
              <w:widowControl w:val="0"/>
              <w:jc w:val="center"/>
              <w:rPr>
                <w:color w:val="000000" w:themeColor="text1"/>
                <w:kern w:val="0"/>
                <w14:textFill>
                  <w14:solidFill>
                    <w14:schemeClr w14:val="tx1"/>
                  </w14:solidFill>
                </w14:textFill>
              </w:rPr>
            </w:pPr>
          </w:p>
        </w:tc>
        <w:tc>
          <w:tcPr>
            <w:tcW w:w="1414" w:type="pct"/>
            <w:vMerge w:val="continue"/>
            <w:vAlign w:val="center"/>
          </w:tcPr>
          <w:p w14:paraId="10BA904F">
            <w:pPr>
              <w:pStyle w:val="105"/>
              <w:widowControl w:val="0"/>
              <w:jc w:val="center"/>
              <w:rPr>
                <w:color w:val="000000" w:themeColor="text1"/>
                <w:kern w:val="0"/>
                <w14:textFill>
                  <w14:solidFill>
                    <w14:schemeClr w14:val="tx1"/>
                  </w14:solidFill>
                </w14:textFill>
              </w:rPr>
            </w:pPr>
          </w:p>
        </w:tc>
      </w:tr>
      <w:tr w14:paraId="3C428C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restart"/>
            <w:vAlign w:val="center"/>
          </w:tcPr>
          <w:p w14:paraId="4BEF15F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凹形竖曲线</w:t>
            </w:r>
          </w:p>
          <w:p w14:paraId="1346E3B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最小半径（米）</w:t>
            </w:r>
          </w:p>
        </w:tc>
        <w:tc>
          <w:tcPr>
            <w:tcW w:w="1190" w:type="pct"/>
            <w:vAlign w:val="center"/>
          </w:tcPr>
          <w:p w14:paraId="7ECCC86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一般值</w:t>
            </w:r>
          </w:p>
        </w:tc>
        <w:tc>
          <w:tcPr>
            <w:tcW w:w="1331" w:type="pct"/>
            <w:vAlign w:val="center"/>
          </w:tcPr>
          <w:p w14:paraId="3C8250F3">
            <w:pPr>
              <w:pStyle w:val="105"/>
              <w:widowControl w:val="0"/>
              <w:jc w:val="center"/>
              <w:rPr>
                <w:color w:val="000000" w:themeColor="text1"/>
                <w:kern w:val="0"/>
                <w14:textFill>
                  <w14:solidFill>
                    <w14:schemeClr w14:val="tx1"/>
                  </w14:solidFill>
                </w14:textFill>
              </w:rPr>
            </w:pPr>
          </w:p>
        </w:tc>
        <w:tc>
          <w:tcPr>
            <w:tcW w:w="1414" w:type="pct"/>
            <w:vMerge w:val="restart"/>
            <w:vAlign w:val="center"/>
          </w:tcPr>
          <w:p w14:paraId="64534E4F">
            <w:pPr>
              <w:pStyle w:val="105"/>
              <w:widowControl w:val="0"/>
              <w:jc w:val="center"/>
              <w:rPr>
                <w:color w:val="000000" w:themeColor="text1"/>
                <w:kern w:val="0"/>
                <w14:textFill>
                  <w14:solidFill>
                    <w14:schemeClr w14:val="tx1"/>
                  </w14:solidFill>
                </w14:textFill>
              </w:rPr>
            </w:pPr>
          </w:p>
        </w:tc>
      </w:tr>
      <w:tr w14:paraId="590C66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continue"/>
            <w:vAlign w:val="center"/>
          </w:tcPr>
          <w:p w14:paraId="08C6A319">
            <w:pPr>
              <w:pStyle w:val="105"/>
              <w:widowControl w:val="0"/>
              <w:jc w:val="center"/>
              <w:rPr>
                <w:color w:val="000000" w:themeColor="text1"/>
                <w14:textFill>
                  <w14:solidFill>
                    <w14:schemeClr w14:val="tx1"/>
                  </w14:solidFill>
                </w14:textFill>
              </w:rPr>
            </w:pPr>
          </w:p>
        </w:tc>
        <w:tc>
          <w:tcPr>
            <w:tcW w:w="1190" w:type="pct"/>
            <w:vAlign w:val="center"/>
          </w:tcPr>
          <w:p w14:paraId="61DB67B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极限值</w:t>
            </w:r>
          </w:p>
        </w:tc>
        <w:tc>
          <w:tcPr>
            <w:tcW w:w="1331" w:type="pct"/>
            <w:vAlign w:val="center"/>
          </w:tcPr>
          <w:p w14:paraId="70A18BA9">
            <w:pPr>
              <w:pStyle w:val="105"/>
              <w:widowControl w:val="0"/>
              <w:jc w:val="center"/>
              <w:rPr>
                <w:color w:val="000000" w:themeColor="text1"/>
                <w:kern w:val="0"/>
                <w14:textFill>
                  <w14:solidFill>
                    <w14:schemeClr w14:val="tx1"/>
                  </w14:solidFill>
                </w14:textFill>
              </w:rPr>
            </w:pPr>
          </w:p>
        </w:tc>
        <w:tc>
          <w:tcPr>
            <w:tcW w:w="1414" w:type="pct"/>
            <w:vMerge w:val="continue"/>
            <w:vAlign w:val="center"/>
          </w:tcPr>
          <w:p w14:paraId="6B307731">
            <w:pPr>
              <w:pStyle w:val="105"/>
              <w:widowControl w:val="0"/>
              <w:jc w:val="center"/>
              <w:rPr>
                <w:color w:val="000000" w:themeColor="text1"/>
                <w:kern w:val="0"/>
                <w14:textFill>
                  <w14:solidFill>
                    <w14:schemeClr w14:val="tx1"/>
                  </w14:solidFill>
                </w14:textFill>
              </w:rPr>
            </w:pPr>
          </w:p>
        </w:tc>
      </w:tr>
      <w:tr w14:paraId="63EE4F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restart"/>
            <w:vAlign w:val="center"/>
          </w:tcPr>
          <w:p w14:paraId="4C60D64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设计洪水频率</w:t>
            </w:r>
          </w:p>
        </w:tc>
        <w:tc>
          <w:tcPr>
            <w:tcW w:w="1190" w:type="pct"/>
            <w:vAlign w:val="center"/>
          </w:tcPr>
          <w:p w14:paraId="346EB6F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大、中桥</w:t>
            </w:r>
          </w:p>
        </w:tc>
        <w:tc>
          <w:tcPr>
            <w:tcW w:w="1331" w:type="pct"/>
            <w:vAlign w:val="center"/>
          </w:tcPr>
          <w:p w14:paraId="6C472574">
            <w:pPr>
              <w:pStyle w:val="105"/>
              <w:widowControl w:val="0"/>
              <w:jc w:val="center"/>
              <w:rPr>
                <w:color w:val="000000" w:themeColor="text1"/>
                <w14:textFill>
                  <w14:solidFill>
                    <w14:schemeClr w14:val="tx1"/>
                  </w14:solidFill>
                </w14:textFill>
              </w:rPr>
            </w:pPr>
          </w:p>
        </w:tc>
        <w:tc>
          <w:tcPr>
            <w:tcW w:w="1414" w:type="pct"/>
            <w:vAlign w:val="center"/>
          </w:tcPr>
          <w:p w14:paraId="050A0497">
            <w:pPr>
              <w:pStyle w:val="105"/>
              <w:widowControl w:val="0"/>
              <w:jc w:val="center"/>
              <w:rPr>
                <w:color w:val="000000" w:themeColor="text1"/>
                <w14:textFill>
                  <w14:solidFill>
                    <w14:schemeClr w14:val="tx1"/>
                  </w14:solidFill>
                </w14:textFill>
              </w:rPr>
            </w:pPr>
          </w:p>
        </w:tc>
      </w:tr>
      <w:tr w14:paraId="643353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65" w:type="pct"/>
            <w:vMerge w:val="continue"/>
            <w:vAlign w:val="center"/>
          </w:tcPr>
          <w:p w14:paraId="58CF8761">
            <w:pPr>
              <w:pStyle w:val="105"/>
              <w:widowControl w:val="0"/>
              <w:jc w:val="center"/>
              <w:rPr>
                <w:color w:val="000000" w:themeColor="text1"/>
                <w14:textFill>
                  <w14:solidFill>
                    <w14:schemeClr w14:val="tx1"/>
                  </w14:solidFill>
                </w14:textFill>
              </w:rPr>
            </w:pPr>
          </w:p>
        </w:tc>
        <w:tc>
          <w:tcPr>
            <w:tcW w:w="1190" w:type="pct"/>
            <w:vAlign w:val="center"/>
          </w:tcPr>
          <w:p w14:paraId="3767710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小桥、涵洞及路基</w:t>
            </w:r>
          </w:p>
        </w:tc>
        <w:tc>
          <w:tcPr>
            <w:tcW w:w="1331" w:type="pct"/>
            <w:vAlign w:val="center"/>
          </w:tcPr>
          <w:p w14:paraId="651D1445">
            <w:pPr>
              <w:pStyle w:val="105"/>
              <w:widowControl w:val="0"/>
              <w:jc w:val="center"/>
              <w:rPr>
                <w:color w:val="000000" w:themeColor="text1"/>
                <w14:textFill>
                  <w14:solidFill>
                    <w14:schemeClr w14:val="tx1"/>
                  </w14:solidFill>
                </w14:textFill>
              </w:rPr>
            </w:pPr>
          </w:p>
        </w:tc>
        <w:tc>
          <w:tcPr>
            <w:tcW w:w="1414" w:type="pct"/>
            <w:vAlign w:val="center"/>
          </w:tcPr>
          <w:p w14:paraId="48A88CA5">
            <w:pPr>
              <w:pStyle w:val="105"/>
              <w:widowControl w:val="0"/>
              <w:jc w:val="center"/>
              <w:rPr>
                <w:color w:val="000000" w:themeColor="text1"/>
                <w14:textFill>
                  <w14:solidFill>
                    <w14:schemeClr w14:val="tx1"/>
                  </w14:solidFill>
                </w14:textFill>
              </w:rPr>
            </w:pPr>
          </w:p>
        </w:tc>
      </w:tr>
      <w:tr w14:paraId="3F6C56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19CA7C0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路面设计标准轴载</w:t>
            </w:r>
          </w:p>
        </w:tc>
        <w:tc>
          <w:tcPr>
            <w:tcW w:w="1331" w:type="pct"/>
            <w:vAlign w:val="center"/>
          </w:tcPr>
          <w:p w14:paraId="7046CF50">
            <w:pPr>
              <w:pStyle w:val="105"/>
              <w:widowControl w:val="0"/>
              <w:jc w:val="center"/>
              <w:rPr>
                <w:color w:val="000000" w:themeColor="text1"/>
                <w14:textFill>
                  <w14:solidFill>
                    <w14:schemeClr w14:val="tx1"/>
                  </w14:solidFill>
                </w14:textFill>
              </w:rPr>
            </w:pPr>
          </w:p>
        </w:tc>
        <w:tc>
          <w:tcPr>
            <w:tcW w:w="1414" w:type="pct"/>
            <w:vAlign w:val="center"/>
          </w:tcPr>
          <w:p w14:paraId="6104354F">
            <w:pPr>
              <w:pStyle w:val="105"/>
              <w:widowControl w:val="0"/>
              <w:jc w:val="center"/>
              <w:rPr>
                <w:color w:val="000000" w:themeColor="text1"/>
                <w14:textFill>
                  <w14:solidFill>
                    <w14:schemeClr w14:val="tx1"/>
                  </w14:solidFill>
                </w14:textFill>
              </w:rPr>
            </w:pPr>
          </w:p>
        </w:tc>
      </w:tr>
      <w:tr w14:paraId="28F85B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0074D40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汽车荷载等级</w:t>
            </w:r>
          </w:p>
        </w:tc>
        <w:tc>
          <w:tcPr>
            <w:tcW w:w="1331" w:type="pct"/>
            <w:vAlign w:val="center"/>
          </w:tcPr>
          <w:p w14:paraId="2826B40A">
            <w:pPr>
              <w:pStyle w:val="105"/>
              <w:widowControl w:val="0"/>
              <w:jc w:val="center"/>
              <w:rPr>
                <w:color w:val="000000" w:themeColor="text1"/>
                <w14:textFill>
                  <w14:solidFill>
                    <w14:schemeClr w14:val="tx1"/>
                  </w14:solidFill>
                </w14:textFill>
              </w:rPr>
            </w:pPr>
          </w:p>
        </w:tc>
        <w:tc>
          <w:tcPr>
            <w:tcW w:w="1414" w:type="pct"/>
            <w:vAlign w:val="center"/>
          </w:tcPr>
          <w:p w14:paraId="5A07A07B">
            <w:pPr>
              <w:pStyle w:val="105"/>
              <w:widowControl w:val="0"/>
              <w:jc w:val="center"/>
              <w:rPr>
                <w:color w:val="000000" w:themeColor="text1"/>
                <w14:textFill>
                  <w14:solidFill>
                    <w14:schemeClr w14:val="tx1"/>
                  </w14:solidFill>
                </w14:textFill>
              </w:rPr>
            </w:pPr>
          </w:p>
        </w:tc>
      </w:tr>
      <w:tr w14:paraId="4836574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255" w:type="pct"/>
            <w:gridSpan w:val="2"/>
            <w:vAlign w:val="center"/>
          </w:tcPr>
          <w:p w14:paraId="4658F46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服 务 水 平</w:t>
            </w:r>
          </w:p>
        </w:tc>
        <w:tc>
          <w:tcPr>
            <w:tcW w:w="1331" w:type="pct"/>
            <w:vAlign w:val="center"/>
          </w:tcPr>
          <w:p w14:paraId="1B530814">
            <w:pPr>
              <w:pStyle w:val="105"/>
              <w:widowControl w:val="0"/>
              <w:jc w:val="center"/>
              <w:rPr>
                <w:color w:val="000000" w:themeColor="text1"/>
                <w14:textFill>
                  <w14:solidFill>
                    <w14:schemeClr w14:val="tx1"/>
                  </w14:solidFill>
                </w14:textFill>
              </w:rPr>
            </w:pPr>
          </w:p>
        </w:tc>
        <w:tc>
          <w:tcPr>
            <w:tcW w:w="1414" w:type="pct"/>
            <w:vAlign w:val="center"/>
          </w:tcPr>
          <w:p w14:paraId="60507A46">
            <w:pPr>
              <w:pStyle w:val="105"/>
              <w:widowControl w:val="0"/>
              <w:jc w:val="center"/>
              <w:rPr>
                <w:color w:val="000000" w:themeColor="text1"/>
                <w14:textFill>
                  <w14:solidFill>
                    <w14:schemeClr w14:val="tx1"/>
                  </w14:solidFill>
                </w14:textFill>
              </w:rPr>
            </w:pPr>
          </w:p>
        </w:tc>
      </w:tr>
    </w:tbl>
    <w:p w14:paraId="6B69B63D">
      <w:pPr>
        <w:pStyle w:val="120"/>
        <w:spacing w:before="240"/>
        <w:rPr>
          <w:color w:val="000000" w:themeColor="text1"/>
          <w14:textFill>
            <w14:solidFill>
              <w14:schemeClr w14:val="tx1"/>
            </w14:solidFill>
          </w14:textFill>
        </w:rPr>
      </w:pPr>
      <w:bookmarkStart w:id="247" w:name="2.2工程方案"/>
      <w:bookmarkEnd w:id="247"/>
      <w:bookmarkStart w:id="248" w:name="_Toc9565"/>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组成</w:t>
      </w:r>
      <w:bookmarkEnd w:id="248"/>
    </w:p>
    <w:p w14:paraId="71F8464B">
      <w:pPr>
        <w:ind w:firstLine="480"/>
        <w:rPr>
          <w:color w:val="000000" w:themeColor="text1"/>
          <w14:textFill>
            <w14:solidFill>
              <w14:schemeClr w14:val="tx1"/>
            </w14:solidFill>
          </w14:textFill>
        </w:rPr>
      </w:pPr>
      <w:bookmarkStart w:id="249" w:name="_Hlk150503917"/>
      <w:r>
        <w:rPr>
          <w:color w:val="000000" w:themeColor="text1"/>
          <w14:textFill>
            <w14:solidFill>
              <w14:schemeClr w14:val="tx1"/>
            </w14:solidFill>
          </w14:textFill>
        </w:rPr>
        <w:t>本项目线路总</w:t>
      </w:r>
      <w:r>
        <w:rPr>
          <w:rFonts w:hint="eastAsia"/>
          <w:color w:val="000000" w:themeColor="text1"/>
          <w14:textFill>
            <w14:solidFill>
              <w14:schemeClr w14:val="tx1"/>
            </w14:solidFill>
          </w14:textFill>
        </w:rPr>
        <w:t>长5.200k</w:t>
      </w:r>
      <w:r>
        <w:rPr>
          <w:rFonts w:hint="eastAsia"/>
          <w:color w:val="000000" w:themeColor="text1"/>
          <w:szCs w:val="24"/>
          <w14:textFill>
            <w14:solidFill>
              <w14:schemeClr w14:val="tx1"/>
            </w14:solidFill>
          </w14:textFill>
        </w:rPr>
        <w:t>m，</w:t>
      </w:r>
      <w:r>
        <w:rPr>
          <w:rFonts w:hint="eastAsia"/>
          <w:color w:val="000000" w:themeColor="text1"/>
          <w14:textFill>
            <w14:solidFill>
              <w14:schemeClr w14:val="tx1"/>
            </w14:solidFill>
          </w14:textFill>
        </w:rPr>
        <w:t>其中主线5.110km，接线0.090km</w:t>
      </w:r>
      <w:r>
        <w:rPr>
          <w:rFonts w:hint="eastAsia"/>
          <w:color w:val="000000" w:themeColor="text1"/>
          <w:szCs w:val="24"/>
          <w14:textFill>
            <w14:solidFill>
              <w14:schemeClr w14:val="tx1"/>
            </w14:solidFill>
          </w14:textFill>
        </w:rPr>
        <w:t>，</w:t>
      </w:r>
      <w:bookmarkEnd w:id="249"/>
      <w:r>
        <w:rPr>
          <w:rFonts w:hint="eastAsia"/>
          <w:color w:val="000000" w:themeColor="text1"/>
          <w14:textFill>
            <w14:solidFill>
              <w14:schemeClr w14:val="tx1"/>
            </w14:solidFill>
          </w14:textFill>
        </w:rPr>
        <w:t>均按双向二车道、路基宽度12m的二级公路标准建设。</w:t>
      </w:r>
      <w:r>
        <w:rPr>
          <w:color w:val="000000" w:themeColor="text1"/>
          <w14:textFill>
            <w14:solidFill>
              <w14:schemeClr w14:val="tx1"/>
            </w14:solidFill>
          </w14:textFill>
        </w:rPr>
        <w:t>工程组成</w:t>
      </w:r>
      <w:r>
        <w:rPr>
          <w:rFonts w:hint="eastAsia"/>
          <w:color w:val="000000" w:themeColor="text1"/>
          <w14:textFill>
            <w14:solidFill>
              <w14:schemeClr w14:val="tx1"/>
            </w14:solidFill>
          </w14:textFill>
        </w:rPr>
        <w:t>一览表详见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_Ref75875529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表3.2-2</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7AEFC556">
      <w:pPr>
        <w:pStyle w:val="87"/>
        <w:spacing w:before="120"/>
      </w:pPr>
      <w:bookmarkStart w:id="250" w:name="_Ref75875529"/>
      <w:r>
        <w:t>工程组成</w:t>
      </w:r>
      <w:bookmarkEnd w:id="250"/>
      <w:r>
        <w:rPr>
          <w:rFonts w:hint="eastAsia"/>
        </w:rPr>
        <w:t>一览表</w:t>
      </w:r>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7"/>
        <w:gridCol w:w="579"/>
        <w:gridCol w:w="148"/>
        <w:gridCol w:w="433"/>
        <w:gridCol w:w="1304"/>
        <w:gridCol w:w="6389"/>
      </w:tblGrid>
      <w:tr w14:paraId="24C56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blHeader/>
          <w:jc w:val="center"/>
        </w:trPr>
        <w:tc>
          <w:tcPr>
            <w:tcW w:w="860" w:type="pct"/>
            <w:gridSpan w:val="4"/>
            <w:vAlign w:val="center"/>
          </w:tcPr>
          <w:p w14:paraId="3033C28B">
            <w:pPr>
              <w:pStyle w:val="105"/>
              <w:ind w:left="-48" w:leftChars="-20" w:right="-48" w:rightChars="-20"/>
              <w:rPr>
                <w:color w:val="000000" w:themeColor="text1"/>
                <w14:textFill>
                  <w14:solidFill>
                    <w14:schemeClr w14:val="tx1"/>
                  </w14:solidFill>
                </w14:textFill>
              </w:rPr>
            </w:pPr>
            <w:bookmarkStart w:id="251" w:name="_Hlk143265735"/>
            <w:r>
              <w:rPr>
                <w:color w:val="000000" w:themeColor="text1"/>
                <w14:textFill>
                  <w14:solidFill>
                    <w14:schemeClr w14:val="tx1"/>
                  </w14:solidFill>
                </w14:textFill>
              </w:rPr>
              <w:t>项目名称</w:t>
            </w:r>
          </w:p>
        </w:tc>
        <w:tc>
          <w:tcPr>
            <w:tcW w:w="702" w:type="pct"/>
            <w:vAlign w:val="center"/>
          </w:tcPr>
          <w:p w14:paraId="1BE2720D">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数量</w:t>
            </w:r>
          </w:p>
        </w:tc>
        <w:tc>
          <w:tcPr>
            <w:tcW w:w="3438" w:type="pct"/>
            <w:vAlign w:val="center"/>
          </w:tcPr>
          <w:p w14:paraId="10FFC70F">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说明</w:t>
            </w:r>
          </w:p>
        </w:tc>
      </w:tr>
      <w:tr w14:paraId="037143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restart"/>
            <w:vAlign w:val="center"/>
          </w:tcPr>
          <w:p w14:paraId="059AB249">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主体</w:t>
            </w:r>
          </w:p>
          <w:p w14:paraId="6E184899">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工程</w:t>
            </w:r>
          </w:p>
        </w:tc>
        <w:tc>
          <w:tcPr>
            <w:tcW w:w="312" w:type="pct"/>
            <w:vMerge w:val="restart"/>
            <w:vAlign w:val="center"/>
          </w:tcPr>
          <w:p w14:paraId="46F2E96A">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线路</w:t>
            </w:r>
          </w:p>
        </w:tc>
        <w:tc>
          <w:tcPr>
            <w:tcW w:w="313" w:type="pct"/>
            <w:gridSpan w:val="2"/>
            <w:vAlign w:val="center"/>
          </w:tcPr>
          <w:p w14:paraId="17205436">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主线</w:t>
            </w:r>
          </w:p>
        </w:tc>
        <w:tc>
          <w:tcPr>
            <w:tcW w:w="702" w:type="pct"/>
            <w:vAlign w:val="center"/>
          </w:tcPr>
          <w:p w14:paraId="3D008EE4">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5.110km，接线0.090km</w:t>
            </w:r>
          </w:p>
        </w:tc>
        <w:tc>
          <w:tcPr>
            <w:tcW w:w="3438" w:type="pct"/>
            <w:vAlign w:val="center"/>
          </w:tcPr>
          <w:p w14:paraId="10F38797">
            <w:pPr>
              <w:pStyle w:val="105"/>
              <w:ind w:left="-48" w:leftChars="-20" w:right="-48" w:rightChars="-20"/>
              <w:rPr>
                <w:color w:val="000000" w:themeColor="text1"/>
                <w14:textFill>
                  <w14:solidFill>
                    <w14:schemeClr w14:val="tx1"/>
                  </w14:solidFill>
                </w14:textFill>
              </w:rPr>
            </w:pPr>
            <w:r>
              <w:rPr>
                <w:rFonts w:hint="eastAsia"/>
                <w:color w:val="000000" w:themeColor="text1"/>
                <w:shd w:val="clear" w:color="auto" w:fill="FFFFFF"/>
                <w14:textFill>
                  <w14:solidFill>
                    <w14:schemeClr w14:val="tx1"/>
                  </w14:solidFill>
                </w14:textFill>
              </w:rPr>
              <w:t>（1）起点与G324 平交，自东向西下穿在建福厦高铁后，新建桥梁跨越沈海高速，经溪北、木厝洋、三落厝后，终点至黄檗山万福寺，与黄檗山万福寺放生池大坝处现状路平交</w:t>
            </w:r>
            <w:r>
              <w:rPr>
                <w:rFonts w:hint="eastAsia"/>
                <w:color w:val="000000" w:themeColor="text1"/>
                <w14:textFill>
                  <w14:solidFill>
                    <w14:schemeClr w14:val="tx1"/>
                  </w14:solidFill>
                </w14:textFill>
              </w:rPr>
              <w:t>。</w:t>
            </w:r>
          </w:p>
          <w:p w14:paraId="43C003A1">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路基宽 12m、双向二车道的二级公路标准，设计时速6</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km</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p>
          <w:p w14:paraId="3F5FAC3D">
            <w:pPr>
              <w:pStyle w:val="105"/>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考虑到远景交通量需求，上跨沈海高速桥梁段按双向四车道预留，桥面宽 18.5m（单幅桥）。</w:t>
            </w:r>
          </w:p>
          <w:p w14:paraId="6F70494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（3）K1+030~K1+389.8 已单独立项，其中下穿福厦高铁段落（ K1+324.8~K1+389.8 ）</w:t>
            </w:r>
            <w:r>
              <w:rPr>
                <w:color w:val="000000" w:themeColor="text1"/>
                <w14:textFill>
                  <w14:solidFill>
                    <w14:schemeClr w14:val="tx1"/>
                  </w14:solidFill>
                </w14:textFill>
              </w:rPr>
              <w:t>段下穿铁路段路基宽度17.5m，路面宽度16m</w:t>
            </w:r>
            <w:r>
              <w:rPr>
                <w:rFonts w:hint="eastAsia"/>
                <w:color w:val="000000" w:themeColor="text1"/>
                <w14:textFill>
                  <w14:solidFill>
                    <w14:schemeClr w14:val="tx1"/>
                  </w14:solidFill>
                </w14:textFill>
              </w:rPr>
              <w:t xml:space="preserve"> ， 已 完 成施 工 ， K1+030~K1+324.8 段已完成路基及边坡</w:t>
            </w:r>
            <w:r>
              <w:rPr>
                <w:color w:val="000000" w:themeColor="text1"/>
                <w14:textFill>
                  <w14:solidFill>
                    <w14:schemeClr w14:val="tx1"/>
                  </w14:solidFill>
                </w14:textFill>
              </w:rPr>
              <w:t>防护工程</w:t>
            </w:r>
            <w:r>
              <w:rPr>
                <w:rFonts w:hint="eastAsia"/>
                <w:color w:val="000000" w:themeColor="text1"/>
                <w14:textFill>
                  <w14:solidFill>
                    <w14:schemeClr w14:val="tx1"/>
                  </w14:solidFill>
                </w14:textFill>
              </w:rPr>
              <w:t>，路面未完成。</w:t>
            </w:r>
          </w:p>
        </w:tc>
      </w:tr>
      <w:tr w14:paraId="2B4720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76C563E3">
            <w:pPr>
              <w:pStyle w:val="105"/>
              <w:ind w:left="-48" w:leftChars="-20" w:right="-48" w:rightChars="-20"/>
              <w:rPr>
                <w:color w:val="000000" w:themeColor="text1"/>
                <w14:textFill>
                  <w14:solidFill>
                    <w14:schemeClr w14:val="tx1"/>
                  </w14:solidFill>
                </w14:textFill>
              </w:rPr>
            </w:pPr>
          </w:p>
        </w:tc>
        <w:tc>
          <w:tcPr>
            <w:tcW w:w="312" w:type="pct"/>
            <w:vMerge w:val="continue"/>
            <w:vAlign w:val="center"/>
          </w:tcPr>
          <w:p w14:paraId="49CF7BCF">
            <w:pPr>
              <w:pStyle w:val="105"/>
              <w:ind w:left="-48" w:leftChars="-20" w:right="-48" w:rightChars="-20"/>
              <w:rPr>
                <w:color w:val="000000" w:themeColor="text1"/>
                <w14:textFill>
                  <w14:solidFill>
                    <w14:schemeClr w14:val="tx1"/>
                  </w14:solidFill>
                </w14:textFill>
              </w:rPr>
            </w:pPr>
          </w:p>
        </w:tc>
        <w:tc>
          <w:tcPr>
            <w:tcW w:w="313" w:type="pct"/>
            <w:gridSpan w:val="2"/>
            <w:vAlign w:val="center"/>
          </w:tcPr>
          <w:p w14:paraId="03FA6368">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接线</w:t>
            </w:r>
          </w:p>
        </w:tc>
        <w:tc>
          <w:tcPr>
            <w:tcW w:w="702" w:type="pct"/>
            <w:vAlign w:val="center"/>
          </w:tcPr>
          <w:p w14:paraId="05BB62E5">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0.090km</w:t>
            </w:r>
          </w:p>
        </w:tc>
        <w:tc>
          <w:tcPr>
            <w:tcW w:w="3438" w:type="pct"/>
            <w:vAlign w:val="center"/>
          </w:tcPr>
          <w:p w14:paraId="2B777C3A">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接线起点与主线终点衔接（起点桩号L</w:t>
            </w:r>
            <w:r>
              <w:rPr>
                <w:color w:val="000000" w:themeColor="text1"/>
                <w14:textFill>
                  <w14:solidFill>
                    <w14:schemeClr w14:val="tx1"/>
                  </w14:solidFill>
                </w14:textFill>
              </w:rPr>
              <w:t>K0+000</w:t>
            </w:r>
            <w:r>
              <w:rPr>
                <w:rFonts w:hint="eastAsia"/>
                <w:color w:val="000000" w:themeColor="text1"/>
                <w14:textFill>
                  <w14:solidFill>
                    <w14:schemeClr w14:val="tx1"/>
                  </w14:solidFill>
                </w14:textFill>
              </w:rPr>
              <w:t>），对现状万福寺放生池大坝进行延伸，接入规划黄檗文化产业园（接线终点桩号LK0+090）。</w:t>
            </w:r>
          </w:p>
          <w:p w14:paraId="2C8C1AD3">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路基宽 12m、双向二车道的二级公路标准，设计时速6</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km</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w:t>
            </w:r>
          </w:p>
        </w:tc>
      </w:tr>
      <w:tr w14:paraId="447A98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3D6CB933">
            <w:pPr>
              <w:pStyle w:val="105"/>
              <w:ind w:left="-48" w:leftChars="-20" w:right="-48" w:rightChars="-20"/>
              <w:rPr>
                <w:color w:val="000000" w:themeColor="text1"/>
                <w14:textFill>
                  <w14:solidFill>
                    <w14:schemeClr w14:val="tx1"/>
                  </w14:solidFill>
                </w14:textFill>
              </w:rPr>
            </w:pPr>
          </w:p>
        </w:tc>
        <w:tc>
          <w:tcPr>
            <w:tcW w:w="312" w:type="pct"/>
            <w:vMerge w:val="restart"/>
            <w:vAlign w:val="center"/>
          </w:tcPr>
          <w:p w14:paraId="45B396A5">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桥梁</w:t>
            </w:r>
          </w:p>
        </w:tc>
        <w:tc>
          <w:tcPr>
            <w:tcW w:w="313" w:type="pct"/>
            <w:gridSpan w:val="2"/>
            <w:vAlign w:val="center"/>
          </w:tcPr>
          <w:p w14:paraId="33520CB3">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大桥</w:t>
            </w:r>
          </w:p>
        </w:tc>
        <w:tc>
          <w:tcPr>
            <w:tcW w:w="702" w:type="pct"/>
            <w:vAlign w:val="center"/>
          </w:tcPr>
          <w:p w14:paraId="2DEB0E97">
            <w:pPr>
              <w:pStyle w:val="105"/>
              <w:rPr>
                <w:color w:val="000000" w:themeColor="text1"/>
                <w14:textFill>
                  <w14:solidFill>
                    <w14:schemeClr w14:val="tx1"/>
                  </w14:solidFill>
                </w14:textFill>
              </w:rPr>
            </w:pPr>
            <w:r>
              <w:rPr>
                <w:color w:val="000000" w:themeColor="text1"/>
                <w14:textFill>
                  <w14:solidFill>
                    <w14:schemeClr w14:val="tx1"/>
                  </w14:solidFill>
                </w14:textFill>
              </w:rPr>
              <w:t>552.5m/1座</w:t>
            </w:r>
          </w:p>
        </w:tc>
        <w:tc>
          <w:tcPr>
            <w:tcW w:w="3438" w:type="pct"/>
            <w:vAlign w:val="center"/>
          </w:tcPr>
          <w:p w14:paraId="36F06402">
            <w:pPr>
              <w:pStyle w:val="105"/>
              <w:rPr>
                <w:color w:val="000000" w:themeColor="text1"/>
                <w14:textFill>
                  <w14:solidFill>
                    <w14:schemeClr w14:val="tx1"/>
                  </w14:solidFill>
                </w14:textFill>
              </w:rPr>
            </w:pPr>
            <w:r>
              <w:rPr>
                <w:color w:val="000000" w:themeColor="text1"/>
                <w14:textFill>
                  <w14:solidFill>
                    <w14:schemeClr w14:val="tx1"/>
                  </w14:solidFill>
                </w14:textFill>
              </w:rPr>
              <w:t xml:space="preserve">主线大埔大桥双向四车道，二级公路。 </w:t>
            </w:r>
          </w:p>
          <w:p w14:paraId="7A27CAE9">
            <w:pPr>
              <w:pStyle w:val="105"/>
              <w:rPr>
                <w:color w:val="000000" w:themeColor="text1"/>
                <w14:textFill>
                  <w14:solidFill>
                    <w14:schemeClr w14:val="tx1"/>
                  </w14:solidFill>
                </w14:textFill>
              </w:rPr>
            </w:pPr>
            <w:r>
              <w:rPr>
                <w:color w:val="000000" w:themeColor="text1"/>
                <w14:textFill>
                  <w14:solidFill>
                    <w14:schemeClr w14:val="tx1"/>
                  </w14:solidFill>
                </w14:textFill>
              </w:rPr>
              <w:t>K1+974 ~K2+526.5：</w:t>
            </w:r>
            <w:r>
              <w:rPr>
                <w:rFonts w:hint="eastAsia"/>
                <w:color w:val="000000" w:themeColor="text1"/>
                <w14:textFill>
                  <w14:solidFill>
                    <w14:schemeClr w14:val="tx1"/>
                  </w14:solidFill>
                </w14:textFill>
              </w:rPr>
              <w:t>桥长</w:t>
            </w:r>
            <w:r>
              <w:rPr>
                <w:color w:val="000000" w:themeColor="text1"/>
                <w14:textFill>
                  <w14:solidFill>
                    <w14:schemeClr w14:val="tx1"/>
                  </w14:solidFill>
                </w14:textFill>
              </w:rPr>
              <w:t>552.5</w:t>
            </w:r>
            <w:r>
              <w:rPr>
                <w:rFonts w:hint="eastAsia"/>
                <w:color w:val="000000" w:themeColor="text1"/>
                <w14:textFill>
                  <w14:solidFill>
                    <w14:schemeClr w14:val="tx1"/>
                  </w14:solidFill>
                </w14:textFill>
              </w:rPr>
              <w:t>m，桥梁宽</w:t>
            </w:r>
            <w:r>
              <w:rPr>
                <w:color w:val="000000" w:themeColor="text1"/>
                <w14:textFill>
                  <w14:solidFill>
                    <w14:schemeClr w14:val="tx1"/>
                  </w14:solidFill>
                </w14:textFill>
              </w:rPr>
              <w:t>18.5m</w:t>
            </w:r>
          </w:p>
          <w:p w14:paraId="44C9B59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上跨L</w:t>
            </w:r>
            <w:r>
              <w:rPr>
                <w:color w:val="000000" w:themeColor="text1"/>
                <w14:textFill>
                  <w14:solidFill>
                    <w14:schemeClr w14:val="tx1"/>
                  </w14:solidFill>
                </w14:textFill>
              </w:rPr>
              <w:t>NG成品油线路、</w:t>
            </w:r>
            <w:r>
              <w:rPr>
                <w:rFonts w:hint="eastAsia"/>
                <w:color w:val="000000" w:themeColor="text1"/>
                <w14:textFill>
                  <w14:solidFill>
                    <w14:schemeClr w14:val="tx1"/>
                  </w14:solidFill>
                </w14:textFill>
              </w:rPr>
              <w:t>沈海高速、迳江支流（改河），</w:t>
            </w:r>
            <w:r>
              <w:rPr>
                <w:color w:val="000000" w:themeColor="text1"/>
                <w14:textFill>
                  <w14:solidFill>
                    <w14:schemeClr w14:val="tx1"/>
                  </w14:solidFill>
                </w14:textFill>
              </w:rPr>
              <w:t>改</w:t>
            </w:r>
            <w:r>
              <w:rPr>
                <w:rFonts w:hint="eastAsia"/>
                <w:color w:val="000000" w:themeColor="text1"/>
                <w14:textFill>
                  <w14:solidFill>
                    <w14:schemeClr w14:val="tx1"/>
                  </w14:solidFill>
                </w14:textFill>
              </w:rPr>
              <w:t>河</w:t>
            </w:r>
            <w:r>
              <w:rPr>
                <w:color w:val="000000" w:themeColor="text1"/>
                <w14:textFill>
                  <w14:solidFill>
                    <w14:schemeClr w14:val="tx1"/>
                  </w14:solidFill>
                </w14:textFill>
              </w:rPr>
              <w:t>后桥墩</w:t>
            </w:r>
            <w:r>
              <w:rPr>
                <w:rFonts w:hint="eastAsia"/>
                <w:color w:val="000000" w:themeColor="text1"/>
                <w14:textFill>
                  <w14:solidFill>
                    <w14:schemeClr w14:val="tx1"/>
                  </w14:solidFill>
                </w14:textFill>
              </w:rPr>
              <w:t>不涉水。</w:t>
            </w:r>
          </w:p>
        </w:tc>
      </w:tr>
      <w:tr w14:paraId="0B1D30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516B393E">
            <w:pPr>
              <w:pStyle w:val="105"/>
              <w:ind w:left="-48" w:leftChars="-20" w:right="-48" w:rightChars="-20"/>
              <w:rPr>
                <w:color w:val="000000" w:themeColor="text1"/>
                <w14:textFill>
                  <w14:solidFill>
                    <w14:schemeClr w14:val="tx1"/>
                  </w14:solidFill>
                </w14:textFill>
              </w:rPr>
            </w:pPr>
          </w:p>
        </w:tc>
        <w:tc>
          <w:tcPr>
            <w:tcW w:w="312" w:type="pct"/>
            <w:vMerge w:val="continue"/>
            <w:vAlign w:val="center"/>
          </w:tcPr>
          <w:p w14:paraId="608BDE42">
            <w:pPr>
              <w:pStyle w:val="105"/>
              <w:ind w:left="-48" w:leftChars="-20" w:right="-48" w:rightChars="-20"/>
              <w:rPr>
                <w:color w:val="000000" w:themeColor="text1"/>
                <w14:textFill>
                  <w14:solidFill>
                    <w14:schemeClr w14:val="tx1"/>
                  </w14:solidFill>
                </w14:textFill>
              </w:rPr>
            </w:pPr>
          </w:p>
        </w:tc>
        <w:tc>
          <w:tcPr>
            <w:tcW w:w="313" w:type="pct"/>
            <w:gridSpan w:val="2"/>
            <w:vAlign w:val="center"/>
          </w:tcPr>
          <w:p w14:paraId="35509C26">
            <w:pPr>
              <w:pStyle w:val="105"/>
              <w:ind w:left="-48" w:leftChars="-20" w:right="-48" w:rightChars="-20"/>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中桥</w:t>
            </w:r>
          </w:p>
        </w:tc>
        <w:tc>
          <w:tcPr>
            <w:tcW w:w="702" w:type="pct"/>
            <w:vAlign w:val="center"/>
          </w:tcPr>
          <w:p w14:paraId="2946FB0F">
            <w:pPr>
              <w:pStyle w:val="105"/>
              <w:rPr>
                <w:color w:val="000000" w:themeColor="text1"/>
                <w14:textFill>
                  <w14:solidFill>
                    <w14:schemeClr w14:val="tx1"/>
                  </w14:solidFill>
                </w14:textFill>
              </w:rPr>
            </w:pPr>
            <w:r>
              <w:rPr>
                <w:color w:val="000000" w:themeColor="text1"/>
                <w14:textFill>
                  <w14:solidFill>
                    <w14:schemeClr w14:val="tx1"/>
                  </w14:solidFill>
                </w14:textFill>
              </w:rPr>
              <w:t>37m/1座</w:t>
            </w:r>
          </w:p>
        </w:tc>
        <w:tc>
          <w:tcPr>
            <w:tcW w:w="3438" w:type="pct"/>
            <w:vAlign w:val="center"/>
          </w:tcPr>
          <w:p w14:paraId="7FEB58C4">
            <w:pPr>
              <w:pStyle w:val="105"/>
              <w:rPr>
                <w:color w:val="000000" w:themeColor="text1"/>
                <w14:textFill>
                  <w14:solidFill>
                    <w14:schemeClr w14:val="tx1"/>
                  </w14:solidFill>
                </w14:textFill>
              </w:rPr>
            </w:pPr>
            <w:r>
              <w:rPr>
                <w:color w:val="000000" w:themeColor="text1"/>
                <w14:textFill>
                  <w14:solidFill>
                    <w14:schemeClr w14:val="tx1"/>
                  </w14:solidFill>
                </w14:textFill>
              </w:rPr>
              <w:t>接线枝钟中桥双向两车道，二级公路；</w:t>
            </w:r>
          </w:p>
          <w:p w14:paraId="7AF55ADE">
            <w:pPr>
              <w:pStyle w:val="105"/>
              <w:rPr>
                <w:color w:val="000000" w:themeColor="text1"/>
                <w14:textFill>
                  <w14:solidFill>
                    <w14:schemeClr w14:val="tx1"/>
                  </w14:solidFill>
                </w14:textFill>
              </w:rPr>
            </w:pPr>
            <w:r>
              <w:rPr>
                <w:color w:val="000000" w:themeColor="text1"/>
                <w14:textFill>
                  <w14:solidFill>
                    <w14:schemeClr w14:val="tx1"/>
                  </w14:solidFill>
                </w14:textFill>
              </w:rPr>
              <w:t>LK0+031~ LK0+068：</w:t>
            </w:r>
            <w:r>
              <w:rPr>
                <w:rFonts w:hint="eastAsia"/>
                <w:color w:val="000000" w:themeColor="text1"/>
                <w14:textFill>
                  <w14:solidFill>
                    <w14:schemeClr w14:val="tx1"/>
                  </w14:solidFill>
                </w14:textFill>
              </w:rPr>
              <w:t>桥长</w:t>
            </w:r>
            <w:r>
              <w:rPr>
                <w:color w:val="000000" w:themeColor="text1"/>
                <w14:textFill>
                  <w14:solidFill>
                    <w14:schemeClr w14:val="tx1"/>
                  </w14:solidFill>
                </w14:textFill>
              </w:rPr>
              <w:t>37</w:t>
            </w:r>
            <w:r>
              <w:rPr>
                <w:rFonts w:hint="eastAsia"/>
                <w:color w:val="000000" w:themeColor="text1"/>
                <w14:textFill>
                  <w14:solidFill>
                    <w14:schemeClr w14:val="tx1"/>
                  </w14:solidFill>
                </w14:textFill>
              </w:rPr>
              <w:t>m，桥梁宽</w:t>
            </w:r>
            <w:r>
              <w:rPr>
                <w:color w:val="000000" w:themeColor="text1"/>
                <w14:textFill>
                  <w14:solidFill>
                    <w14:schemeClr w14:val="tx1"/>
                  </w14:solidFill>
                </w14:textFill>
              </w:rPr>
              <w:t>12m</w:t>
            </w:r>
          </w:p>
          <w:p w14:paraId="2878190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上跨迳江支流，2</w:t>
            </w:r>
            <w:r>
              <w:rPr>
                <w:color w:val="000000" w:themeColor="text1"/>
                <w14:textFill>
                  <w14:solidFill>
                    <w14:schemeClr w14:val="tx1"/>
                  </w14:solidFill>
                </w14:textFill>
              </w:rPr>
              <w:t>号</w:t>
            </w:r>
            <w:r>
              <w:rPr>
                <w:rFonts w:hint="eastAsia"/>
                <w:color w:val="000000" w:themeColor="text1"/>
                <w14:textFill>
                  <w14:solidFill>
                    <w14:schemeClr w14:val="tx1"/>
                  </w14:solidFill>
                </w14:textFill>
              </w:rPr>
              <w:t>桥墩涉水。</w:t>
            </w:r>
          </w:p>
        </w:tc>
      </w:tr>
      <w:tr w14:paraId="65E2EC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425AA2E2">
            <w:pPr>
              <w:pStyle w:val="105"/>
              <w:ind w:left="-48" w:leftChars="-20" w:right="-48" w:rightChars="-20"/>
              <w:rPr>
                <w:color w:val="000000" w:themeColor="text1"/>
                <w14:textFill>
                  <w14:solidFill>
                    <w14:schemeClr w14:val="tx1"/>
                  </w14:solidFill>
                </w14:textFill>
              </w:rPr>
            </w:pPr>
          </w:p>
        </w:tc>
        <w:tc>
          <w:tcPr>
            <w:tcW w:w="625" w:type="pct"/>
            <w:gridSpan w:val="3"/>
            <w:vAlign w:val="center"/>
          </w:tcPr>
          <w:p w14:paraId="4EF308EB">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隧道</w:t>
            </w:r>
          </w:p>
        </w:tc>
        <w:tc>
          <w:tcPr>
            <w:tcW w:w="702" w:type="pct"/>
            <w:vAlign w:val="center"/>
          </w:tcPr>
          <w:p w14:paraId="2916AA7F">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3438" w:type="pct"/>
            <w:vAlign w:val="center"/>
          </w:tcPr>
          <w:p w14:paraId="1D404495">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B77A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36CA94F2">
            <w:pPr>
              <w:pStyle w:val="105"/>
              <w:ind w:left="-48" w:leftChars="-20" w:right="-48" w:rightChars="-20"/>
              <w:rPr>
                <w:color w:val="000000" w:themeColor="text1"/>
                <w14:textFill>
                  <w14:solidFill>
                    <w14:schemeClr w14:val="tx1"/>
                  </w14:solidFill>
                </w14:textFill>
              </w:rPr>
            </w:pPr>
          </w:p>
        </w:tc>
        <w:tc>
          <w:tcPr>
            <w:tcW w:w="625" w:type="pct"/>
            <w:gridSpan w:val="3"/>
            <w:vAlign w:val="center"/>
          </w:tcPr>
          <w:p w14:paraId="49B15A9F">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涵洞</w:t>
            </w:r>
          </w:p>
        </w:tc>
        <w:tc>
          <w:tcPr>
            <w:tcW w:w="702" w:type="pct"/>
            <w:vAlign w:val="center"/>
          </w:tcPr>
          <w:p w14:paraId="1480F2BC">
            <w:pPr>
              <w:pStyle w:val="105"/>
              <w:ind w:left="-48" w:leftChars="-20" w:right="-48" w:rightChars="-20"/>
              <w:rPr>
                <w:color w:val="000000" w:themeColor="text1"/>
                <w14:textFill>
                  <w14:solidFill>
                    <w14:schemeClr w14:val="tx1"/>
                  </w14:solidFill>
                </w14:textFill>
              </w:rPr>
            </w:pPr>
            <w:r>
              <w:rPr>
                <w:color w:val="000000" w:themeColor="text1"/>
                <w:kern w:val="0"/>
                <w:sz w:val="20"/>
                <w:szCs w:val="20"/>
                <w14:textFill>
                  <w14:solidFill>
                    <w14:schemeClr w14:val="tx1"/>
                  </w14:solidFill>
                </w14:textFill>
              </w:rPr>
              <w:t>28</w:t>
            </w:r>
            <w:r>
              <w:rPr>
                <w:rFonts w:hint="eastAsia"/>
                <w:color w:val="000000" w:themeColor="text1"/>
                <w14:textFill>
                  <w14:solidFill>
                    <w14:schemeClr w14:val="tx1"/>
                  </w14:solidFill>
                </w14:textFill>
              </w:rPr>
              <w:t>道</w:t>
            </w:r>
          </w:p>
        </w:tc>
        <w:tc>
          <w:tcPr>
            <w:tcW w:w="3438" w:type="pct"/>
            <w:vAlign w:val="center"/>
          </w:tcPr>
          <w:p w14:paraId="5497D31D">
            <w:pPr>
              <w:pStyle w:val="105"/>
              <w:ind w:left="-48" w:leftChars="-20" w:right="-48" w:rightChars="-20"/>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线内</w:t>
            </w:r>
            <w:r>
              <w:rPr>
                <w:color w:val="000000" w:themeColor="text1"/>
                <w:lang w:val="zh-CN"/>
                <w14:textFill>
                  <w14:solidFill>
                    <w14:schemeClr w14:val="tx1"/>
                  </w14:solidFill>
                </w14:textFill>
              </w:rPr>
              <w:t>共设涵洞 21 道，其中设置钢筋混凝土盖板涵 7 道，圆管涵 10 道，箱涵 4 道，总长431.51m</w:t>
            </w:r>
            <w:r>
              <w:rPr>
                <w:rFonts w:hint="eastAsia"/>
                <w:color w:val="000000" w:themeColor="text1"/>
                <w:lang w:val="zh-CN"/>
                <w14:textFill>
                  <w14:solidFill>
                    <w14:schemeClr w14:val="tx1"/>
                  </w14:solidFill>
                </w14:textFill>
              </w:rPr>
              <w:t>；线外设置排水涵洞7道，为钢筋混凝土圆管涵，总长98m。</w:t>
            </w:r>
          </w:p>
        </w:tc>
      </w:tr>
      <w:tr w14:paraId="39AC48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68101AF2">
            <w:pPr>
              <w:pStyle w:val="105"/>
              <w:ind w:left="-48" w:leftChars="-20" w:right="-48" w:rightChars="-20"/>
              <w:rPr>
                <w:color w:val="000000" w:themeColor="text1"/>
                <w14:textFill>
                  <w14:solidFill>
                    <w14:schemeClr w14:val="tx1"/>
                  </w14:solidFill>
                </w14:textFill>
              </w:rPr>
            </w:pPr>
          </w:p>
        </w:tc>
        <w:tc>
          <w:tcPr>
            <w:tcW w:w="625" w:type="pct"/>
            <w:gridSpan w:val="3"/>
            <w:vAlign w:val="center"/>
          </w:tcPr>
          <w:p w14:paraId="48820003">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交叉</w:t>
            </w:r>
          </w:p>
        </w:tc>
        <w:tc>
          <w:tcPr>
            <w:tcW w:w="702" w:type="pct"/>
            <w:vAlign w:val="center"/>
          </w:tcPr>
          <w:p w14:paraId="70539E3F">
            <w:pPr>
              <w:pStyle w:val="105"/>
              <w:ind w:left="-48" w:leftChars="-20" w:right="-48" w:rightChars="-20"/>
              <w:rPr>
                <w:color w:val="000000" w:themeColor="text1"/>
                <w:kern w:val="0"/>
                <w:sz w:val="20"/>
                <w:szCs w:val="20"/>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3</w:t>
            </w:r>
          </w:p>
        </w:tc>
        <w:tc>
          <w:tcPr>
            <w:tcW w:w="3438" w:type="pct"/>
            <w:vAlign w:val="center"/>
          </w:tcPr>
          <w:p w14:paraId="4BF815E6">
            <w:pPr>
              <w:pStyle w:val="105"/>
              <w:ind w:left="-48" w:leftChars="-20" w:right="-48" w:rightChars="-20"/>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平面交叉9</w:t>
            </w:r>
            <w:r>
              <w:rPr>
                <w:color w:val="000000" w:themeColor="text1"/>
                <w14:textFill>
                  <w14:solidFill>
                    <w14:schemeClr w14:val="tx1"/>
                  </w14:solidFill>
                </w14:textFill>
              </w:rPr>
              <w:t>处，</w:t>
            </w:r>
            <w:r>
              <w:rPr>
                <w:rFonts w:hint="eastAsia"/>
                <w:color w:val="000000" w:themeColor="text1"/>
                <w14:textFill>
                  <w14:solidFill>
                    <w14:schemeClr w14:val="tx1"/>
                  </w14:solidFill>
                </w14:textFill>
              </w:rPr>
              <w:t>分离式</w:t>
            </w:r>
            <w:r>
              <w:rPr>
                <w:color w:val="000000" w:themeColor="text1"/>
                <w14:textFill>
                  <w14:solidFill>
                    <w14:schemeClr w14:val="tx1"/>
                  </w14:solidFill>
                </w14:textFill>
              </w:rPr>
              <w:t>立体交叉</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处</w:t>
            </w:r>
          </w:p>
        </w:tc>
      </w:tr>
      <w:tr w14:paraId="7440A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63C8596C">
            <w:pPr>
              <w:pStyle w:val="105"/>
              <w:ind w:left="-48" w:leftChars="-20" w:right="-48" w:rightChars="-20"/>
              <w:rPr>
                <w:color w:val="000000" w:themeColor="text1"/>
                <w14:textFill>
                  <w14:solidFill>
                    <w14:schemeClr w14:val="tx1"/>
                  </w14:solidFill>
                </w14:textFill>
              </w:rPr>
            </w:pPr>
          </w:p>
        </w:tc>
        <w:tc>
          <w:tcPr>
            <w:tcW w:w="625" w:type="pct"/>
            <w:gridSpan w:val="3"/>
            <w:vAlign w:val="center"/>
          </w:tcPr>
          <w:p w14:paraId="59663BE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改路</w:t>
            </w:r>
          </w:p>
        </w:tc>
        <w:tc>
          <w:tcPr>
            <w:tcW w:w="702" w:type="pct"/>
            <w:vAlign w:val="center"/>
          </w:tcPr>
          <w:p w14:paraId="5E04D01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处</w:t>
            </w:r>
          </w:p>
        </w:tc>
        <w:tc>
          <w:tcPr>
            <w:tcW w:w="3438" w:type="pct"/>
            <w:vAlign w:val="center"/>
          </w:tcPr>
          <w:p w14:paraId="2987DDFE">
            <w:pPr>
              <w:pStyle w:val="105"/>
              <w:ind w:left="-48" w:leftChars="-20" w:right="-48" w:rightChars="-2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本项目有5处改路工程，共268米，为村道与本项目道路出入口。为方便当地群众出行，减少项目修建对当地村民的影响，本项目进行了顺接、修复处理，该路起终点与旧有道路及本项目顺接。</w:t>
            </w:r>
          </w:p>
          <w:p w14:paraId="27B1CF77">
            <w:pPr>
              <w:pStyle w:val="105"/>
              <w:ind w:left="-48" w:leftChars="-20" w:right="-48" w:rightChars="-2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本项目改路工程均为等外路，全线不设置超高加宽。改路路面宽度与现状村道一致，路拱横坡为2%，土路肩横坡为4%。</w:t>
            </w:r>
          </w:p>
        </w:tc>
      </w:tr>
      <w:tr w14:paraId="49877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86" w:hRule="atLeast"/>
          <w:jc w:val="center"/>
        </w:trPr>
        <w:tc>
          <w:tcPr>
            <w:tcW w:w="235" w:type="pct"/>
            <w:vMerge w:val="continue"/>
            <w:vAlign w:val="center"/>
          </w:tcPr>
          <w:p w14:paraId="6648551C">
            <w:pPr>
              <w:pStyle w:val="105"/>
              <w:ind w:left="-48" w:leftChars="-20" w:right="-48" w:rightChars="-20"/>
              <w:rPr>
                <w:color w:val="000000" w:themeColor="text1"/>
                <w14:textFill>
                  <w14:solidFill>
                    <w14:schemeClr w14:val="tx1"/>
                  </w14:solidFill>
                </w14:textFill>
              </w:rPr>
            </w:pPr>
          </w:p>
        </w:tc>
        <w:tc>
          <w:tcPr>
            <w:tcW w:w="625" w:type="pct"/>
            <w:gridSpan w:val="3"/>
            <w:vAlign w:val="center"/>
          </w:tcPr>
          <w:p w14:paraId="529683B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改河</w:t>
            </w:r>
          </w:p>
        </w:tc>
        <w:tc>
          <w:tcPr>
            <w:tcW w:w="702" w:type="pct"/>
            <w:vAlign w:val="center"/>
          </w:tcPr>
          <w:p w14:paraId="4441E214">
            <w:pPr>
              <w:pStyle w:val="105"/>
              <w:rPr>
                <w:color w:val="000000" w:themeColor="text1"/>
                <w14:textFill>
                  <w14:solidFill>
                    <w14:schemeClr w14:val="tx1"/>
                  </w14:solidFill>
                </w14:textFill>
              </w:rPr>
            </w:pPr>
            <w:r>
              <w:rPr>
                <w:color w:val="000000" w:themeColor="text1"/>
                <w14:textFill>
                  <w14:solidFill>
                    <w14:schemeClr w14:val="tx1"/>
                  </w14:solidFill>
                </w14:textFill>
              </w:rPr>
              <w:t>5处</w:t>
            </w:r>
          </w:p>
        </w:tc>
        <w:tc>
          <w:tcPr>
            <w:tcW w:w="3438" w:type="pct"/>
            <w:vAlign w:val="center"/>
          </w:tcPr>
          <w:p w14:paraId="3C85F8F5">
            <w:pPr>
              <w:pStyle w:val="105"/>
              <w:rPr>
                <w:color w:val="000000" w:themeColor="text1"/>
                <w14:textFill>
                  <w14:solidFill>
                    <w14:schemeClr w14:val="tx1"/>
                  </w14:solidFill>
                </w14:textFill>
              </w:rPr>
            </w:pPr>
            <w:r>
              <w:rPr>
                <w:color w:val="000000" w:themeColor="text1"/>
                <w:lang w:val="zh-CN"/>
                <w14:textFill>
                  <w14:solidFill>
                    <w14:schemeClr w14:val="tx1"/>
                  </w14:solidFill>
                </w14:textFill>
              </w:rPr>
              <w:t>本项目改河工程有5处，共484.5</w:t>
            </w:r>
            <w:r>
              <w:rPr>
                <w:rFonts w:hint="eastAsia"/>
                <w:color w:val="000000" w:themeColor="text1"/>
                <w:lang w:val="zh-CN"/>
                <w14:textFill>
                  <w14:solidFill>
                    <w14:schemeClr w14:val="tx1"/>
                  </w14:solidFill>
                </w14:textFill>
              </w:rPr>
              <w:t>m</w:t>
            </w:r>
            <w:r>
              <w:rPr>
                <w:color w:val="000000" w:themeColor="text1"/>
                <w:lang w:val="zh-CN"/>
                <w14:textFill>
                  <w14:solidFill>
                    <w14:schemeClr w14:val="tx1"/>
                  </w14:solidFill>
                </w14:textFill>
              </w:rPr>
              <w:t>（含两岸护岸墙）</w:t>
            </w:r>
            <w:r>
              <w:rPr>
                <w:rFonts w:hint="eastAsia"/>
                <w:color w:val="000000" w:themeColor="text1"/>
                <w:lang w:val="zh-CN"/>
                <w14:textFill>
                  <w14:solidFill>
                    <w14:schemeClr w14:val="tx1"/>
                  </w14:solidFill>
                </w14:textFill>
              </w:rPr>
              <w:t>。</w:t>
            </w:r>
          </w:p>
        </w:tc>
      </w:tr>
      <w:tr w14:paraId="1626D4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516F47AF">
            <w:pPr>
              <w:pStyle w:val="105"/>
              <w:ind w:left="-48" w:leftChars="-20" w:right="-48" w:rightChars="-20"/>
              <w:rPr>
                <w:color w:val="000000" w:themeColor="text1"/>
                <w14:textFill>
                  <w14:solidFill>
                    <w14:schemeClr w14:val="tx1"/>
                  </w14:solidFill>
                </w14:textFill>
              </w:rPr>
            </w:pPr>
          </w:p>
        </w:tc>
        <w:tc>
          <w:tcPr>
            <w:tcW w:w="625" w:type="pct"/>
            <w:gridSpan w:val="3"/>
            <w:vAlign w:val="center"/>
          </w:tcPr>
          <w:p w14:paraId="5A50954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改渠</w:t>
            </w:r>
          </w:p>
        </w:tc>
        <w:tc>
          <w:tcPr>
            <w:tcW w:w="702" w:type="pct"/>
            <w:vAlign w:val="center"/>
          </w:tcPr>
          <w:p w14:paraId="61A7CFF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1处+</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渡槽</w:t>
            </w:r>
          </w:p>
        </w:tc>
        <w:tc>
          <w:tcPr>
            <w:tcW w:w="3438" w:type="pct"/>
            <w:vAlign w:val="center"/>
          </w:tcPr>
          <w:p w14:paraId="36C9017D">
            <w:pPr>
              <w:pStyle w:val="105"/>
              <w:rPr>
                <w:color w:val="000000" w:themeColor="text1"/>
                <w14:textFill>
                  <w14:solidFill>
                    <w14:schemeClr w14:val="tx1"/>
                  </w14:solidFill>
                </w14:textFill>
              </w:rPr>
            </w:pPr>
            <w:r>
              <w:rPr>
                <w:color w:val="000000" w:themeColor="text1"/>
                <w:lang w:val="zh-CN"/>
                <w14:textFill>
                  <w14:solidFill>
                    <w14:schemeClr w14:val="tx1"/>
                  </w14:solidFill>
                </w14:textFill>
              </w:rPr>
              <w:t>本工程涉及东张福渠全长245m；</w:t>
            </w:r>
            <w:r>
              <w:rPr>
                <w:rFonts w:cs="Times New Roman"/>
                <w:color w:val="000000" w:themeColor="text1"/>
                <w:kern w:val="0"/>
                <w:szCs w:val="24"/>
                <w:lang w:val="zh-CN"/>
                <w14:textFill>
                  <w14:solidFill>
                    <w14:schemeClr w14:val="tx1"/>
                  </w14:solidFill>
                </w14:textFill>
              </w:rPr>
              <w:t>包含</w:t>
            </w:r>
            <w:r>
              <w:rPr>
                <w:rFonts w:hint="eastAsia" w:cs="Times New Roman"/>
                <w:color w:val="000000" w:themeColor="text1"/>
                <w:kern w:val="0"/>
                <w:szCs w:val="24"/>
                <w:lang w:val="zh-CN"/>
                <w14:textFill>
                  <w14:solidFill>
                    <w14:schemeClr w14:val="tx1"/>
                  </w14:solidFill>
                </w14:textFill>
              </w:rPr>
              <w:t>①</w:t>
            </w:r>
            <w:r>
              <w:rPr>
                <w:rFonts w:cs="Times New Roman"/>
                <w:color w:val="000000" w:themeColor="text1"/>
                <w:kern w:val="0"/>
                <w:szCs w:val="24"/>
                <w:lang w:val="zh-CN"/>
                <w14:textFill>
                  <w14:solidFill>
                    <w14:schemeClr w14:val="tx1"/>
                  </w14:solidFill>
                </w14:textFill>
              </w:rPr>
              <w:t>福渠干渠向山体内侧调整改线，主要采用混凝土明渠梯形断面</w:t>
            </w:r>
            <w:bookmarkStart w:id="252" w:name="hmcheck_84830e3a1b57410b870d71429240ada9"/>
            <w:r>
              <w:rPr>
                <w:rFonts w:cs="Times New Roman"/>
                <w:color w:val="000000" w:themeColor="text1"/>
                <w:kern w:val="0"/>
                <w:szCs w:val="24"/>
                <w:shd w:val="clear" w:fill="FFAFAA"/>
                <w:lang w:val="zh-CN"/>
                <w14:textFill>
                  <w14:solidFill>
                    <w14:schemeClr w14:val="tx1"/>
                  </w14:solidFill>
                </w14:textFill>
              </w:rPr>
              <w:t>型式</w:t>
            </w:r>
            <w:bookmarkEnd w:id="252"/>
            <w:r>
              <w:rPr>
                <w:rFonts w:cs="Times New Roman"/>
                <w:color w:val="000000" w:themeColor="text1"/>
                <w:kern w:val="0"/>
                <w:szCs w:val="24"/>
                <w:lang w:val="zh-CN"/>
                <w14:textFill>
                  <w14:solidFill>
                    <w14:schemeClr w14:val="tx1"/>
                  </w14:solidFill>
                </w14:textFill>
              </w:rPr>
              <w:t>，长229m；</w:t>
            </w:r>
            <w:r>
              <w:rPr>
                <w:rFonts w:hint="eastAsia" w:cs="Times New Roman"/>
                <w:color w:val="000000" w:themeColor="text1"/>
                <w:kern w:val="0"/>
                <w:szCs w:val="24"/>
                <w:lang w:val="zh-CN"/>
                <w14:textFill>
                  <w14:solidFill>
                    <w14:schemeClr w14:val="tx1"/>
                  </w14:solidFill>
                </w14:textFill>
              </w:rPr>
              <w:t>②</w:t>
            </w:r>
            <w:r>
              <w:rPr>
                <w:rFonts w:cs="Times New Roman"/>
                <w:color w:val="000000" w:themeColor="text1"/>
                <w:kern w:val="0"/>
                <w:szCs w:val="24"/>
                <w:lang w:val="zh-CN"/>
                <w14:textFill>
                  <w14:solidFill>
                    <w14:schemeClr w14:val="tx1"/>
                  </w14:solidFill>
                </w14:textFill>
              </w:rPr>
              <w:t>福渠右岸现有道路恢复，采用混凝土路面，长245m</w:t>
            </w:r>
            <w:r>
              <w:rPr>
                <w:rFonts w:hint="eastAsia" w:cs="Times New Roman"/>
                <w:color w:val="000000" w:themeColor="text1"/>
                <w:kern w:val="0"/>
                <w:szCs w:val="24"/>
                <w:lang w:val="zh-CN"/>
                <w14:textFill>
                  <w14:solidFill>
                    <w14:schemeClr w14:val="tx1"/>
                  </w14:solidFill>
                </w14:textFill>
              </w:rPr>
              <w:t>（改路5）</w:t>
            </w:r>
            <w:r>
              <w:rPr>
                <w:rFonts w:cs="Times New Roman"/>
                <w:color w:val="000000" w:themeColor="text1"/>
                <w:kern w:val="0"/>
                <w:szCs w:val="24"/>
                <w:lang w:val="zh-CN"/>
                <w14:textFill>
                  <w14:solidFill>
                    <w14:schemeClr w14:val="tx1"/>
                  </w14:solidFill>
                </w14:textFill>
              </w:rPr>
              <w:t>；</w:t>
            </w:r>
            <w:r>
              <w:rPr>
                <w:rFonts w:hint="eastAsia" w:cs="Times New Roman"/>
                <w:color w:val="000000" w:themeColor="text1"/>
                <w:kern w:val="0"/>
                <w:szCs w:val="24"/>
                <w:lang w:val="zh-CN"/>
                <w14:textFill>
                  <w14:solidFill>
                    <w14:schemeClr w14:val="tx1"/>
                  </w14:solidFill>
                </w14:textFill>
              </w:rPr>
              <w:t>③</w:t>
            </w:r>
            <w:r>
              <w:rPr>
                <w:rFonts w:cs="Times New Roman"/>
                <w:color w:val="000000" w:themeColor="text1"/>
                <w:kern w:val="0"/>
                <w:szCs w:val="24"/>
                <w:lang w:val="zh-CN"/>
                <w14:textFill>
                  <w14:solidFill>
                    <w14:schemeClr w14:val="tx1"/>
                  </w14:solidFill>
                </w14:textFill>
              </w:rPr>
              <w:t>跨渠箱涵1座，净宽 6.0m，净高 3.5m；</w:t>
            </w:r>
            <w:r>
              <w:rPr>
                <w:rFonts w:hint="eastAsia" w:cs="Times New Roman"/>
                <w:color w:val="000000" w:themeColor="text1"/>
                <w:kern w:val="0"/>
                <w:szCs w:val="24"/>
                <w:lang w:val="zh-CN"/>
                <w14:textFill>
                  <w14:solidFill>
                    <w14:schemeClr w14:val="tx1"/>
                  </w14:solidFill>
                </w14:textFill>
              </w:rPr>
              <w:t>④</w:t>
            </w:r>
            <w:r>
              <w:rPr>
                <w:rFonts w:cs="Times New Roman"/>
                <w:color w:val="000000" w:themeColor="text1"/>
                <w:kern w:val="0"/>
                <w:szCs w:val="24"/>
                <w:lang w:val="zh-CN"/>
                <w14:textFill>
                  <w14:solidFill>
                    <w14:schemeClr w14:val="tx1"/>
                  </w14:solidFill>
                </w14:textFill>
              </w:rPr>
              <w:t>支渠渡槽1座，长35m，渡槽前后连接段共10m。</w:t>
            </w:r>
          </w:p>
        </w:tc>
      </w:tr>
      <w:tr w14:paraId="0D16B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602" w:hRule="atLeast"/>
          <w:jc w:val="center"/>
        </w:trPr>
        <w:tc>
          <w:tcPr>
            <w:tcW w:w="235" w:type="pct"/>
            <w:vMerge w:val="restart"/>
            <w:vAlign w:val="center"/>
          </w:tcPr>
          <w:p w14:paraId="13F30D08">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临时</w:t>
            </w:r>
          </w:p>
          <w:p w14:paraId="309F834D">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工程</w:t>
            </w:r>
          </w:p>
        </w:tc>
        <w:tc>
          <w:tcPr>
            <w:tcW w:w="392" w:type="pct"/>
            <w:gridSpan w:val="2"/>
            <w:vAlign w:val="center"/>
          </w:tcPr>
          <w:p w14:paraId="148E6A08">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施工场地</w:t>
            </w:r>
          </w:p>
        </w:tc>
        <w:tc>
          <w:tcPr>
            <w:tcW w:w="233" w:type="pct"/>
            <w:vAlign w:val="center"/>
          </w:tcPr>
          <w:p w14:paraId="59F1613E">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处</w:t>
            </w:r>
          </w:p>
        </w:tc>
        <w:tc>
          <w:tcPr>
            <w:tcW w:w="702" w:type="pct"/>
            <w:vAlign w:val="center"/>
          </w:tcPr>
          <w:p w14:paraId="56035183">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2处施工场地</w:t>
            </w:r>
          </w:p>
        </w:tc>
        <w:tc>
          <w:tcPr>
            <w:tcW w:w="3438" w:type="pct"/>
            <w:vAlign w:val="center"/>
          </w:tcPr>
          <w:p w14:paraId="305A05F3">
            <w:pPr>
              <w:pStyle w:val="105"/>
              <w:ind w:left="-48" w:leftChars="-20" w:right="-48" w:rightChars="-20"/>
              <w:rPr>
                <w:color w:val="000000" w:themeColor="text1"/>
                <w:spacing w:val="8"/>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施工场地</w:t>
            </w:r>
            <w:r>
              <w:rPr>
                <w:color w:val="000000" w:themeColor="text1"/>
                <w:spacing w:val="4"/>
                <w14:textFill>
                  <w14:solidFill>
                    <w14:schemeClr w14:val="tx1"/>
                  </w14:solidFill>
                </w14:textFill>
              </w:rPr>
              <w:t>位于桩号</w:t>
            </w:r>
            <w:r>
              <w:rPr>
                <w:rFonts w:hint="eastAsia"/>
                <w:color w:val="000000" w:themeColor="text1"/>
                <w14:textFill>
                  <w14:solidFill>
                    <w14:schemeClr w14:val="tx1"/>
                  </w14:solidFill>
                </w14:textFill>
              </w:rPr>
              <w:t>K1+894右侧</w:t>
            </w:r>
            <w:r>
              <w:rPr>
                <w:color w:val="000000" w:themeColor="text1"/>
                <w14:textFill>
                  <w14:solidFill>
                    <w14:schemeClr w14:val="tx1"/>
                  </w14:solidFill>
                </w14:textFill>
              </w:rPr>
              <w:t>，占地</w:t>
            </w:r>
            <w:r>
              <w:rPr>
                <w:rFonts w:hint="eastAsia"/>
                <w:color w:val="000000" w:themeColor="text1"/>
                <w:sz w:val="20"/>
                <w:szCs w:val="24"/>
                <w14:textFill>
                  <w14:solidFill>
                    <w14:schemeClr w14:val="tx1"/>
                  </w14:solidFill>
                </w14:textFill>
              </w:rPr>
              <w:t>0</w:t>
            </w:r>
            <w:r>
              <w:rPr>
                <w:color w:val="000000" w:themeColor="text1"/>
                <w:sz w:val="20"/>
                <w:szCs w:val="24"/>
                <w14:textFill>
                  <w14:solidFill>
                    <w14:schemeClr w14:val="tx1"/>
                  </w14:solidFill>
                </w14:textFill>
              </w:rPr>
              <w:t>.70</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主要用于</w:t>
            </w:r>
            <w:r>
              <w:rPr>
                <w:rFonts w:hint="eastAsia"/>
                <w:color w:val="000000" w:themeColor="text1"/>
                <w14:textFill>
                  <w14:solidFill>
                    <w14:schemeClr w14:val="tx1"/>
                  </w14:solidFill>
                </w14:textFill>
              </w:rPr>
              <w:t>钢筋加工场、制梁区、存梁区、钢筋加工区、材料堆场、小型构件预制场、临时办公值班房等</w:t>
            </w:r>
            <w:r>
              <w:rPr>
                <w:rFonts w:hint="eastAsia"/>
                <w:color w:val="000000" w:themeColor="text1"/>
                <w:spacing w:val="8"/>
                <w14:textFill>
                  <w14:solidFill>
                    <w14:schemeClr w14:val="tx1"/>
                  </w14:solidFill>
                </w14:textFill>
              </w:rPr>
              <w:t>。</w:t>
            </w:r>
          </w:p>
          <w:p w14:paraId="77532D3D">
            <w:pPr>
              <w:pStyle w:val="105"/>
              <w:ind w:left="-48" w:leftChars="-20" w:right="-48" w:rightChars="-20"/>
              <w:rPr>
                <w:color w:val="000000" w:themeColor="text1"/>
                <w14:textFill>
                  <w14:solidFill>
                    <w14:schemeClr w14:val="tx1"/>
                  </w14:solidFill>
                </w14:textFill>
              </w:rPr>
            </w:pPr>
            <w:r>
              <w:rPr>
                <w:color w:val="000000" w:themeColor="text1"/>
                <w:spacing w:val="8"/>
                <w14:textFill>
                  <w14:solidFill>
                    <w14:schemeClr w14:val="tx1"/>
                  </w14:solidFill>
                </w14:textFill>
              </w:rPr>
              <w:t>2#</w:t>
            </w:r>
            <w:r>
              <w:rPr>
                <w:rFonts w:hint="eastAsia"/>
                <w:color w:val="000000" w:themeColor="text1"/>
                <w:spacing w:val="8"/>
                <w14:textFill>
                  <w14:solidFill>
                    <w14:schemeClr w14:val="tx1"/>
                  </w14:solidFill>
                </w14:textFill>
              </w:rPr>
              <w:t>施工场地位于</w:t>
            </w:r>
            <w:r>
              <w:rPr>
                <w:color w:val="000000" w:themeColor="text1"/>
                <w14:textFill>
                  <w14:solidFill>
                    <w14:schemeClr w14:val="tx1"/>
                  </w14:solidFill>
                </w14:textFill>
              </w:rPr>
              <w:t>K4+480</w:t>
            </w:r>
            <w:r>
              <w:rPr>
                <w:rFonts w:hint="eastAsia"/>
                <w:color w:val="000000" w:themeColor="text1"/>
                <w14:textFill>
                  <w14:solidFill>
                    <w14:schemeClr w14:val="tx1"/>
                  </w14:solidFill>
                </w14:textFill>
              </w:rPr>
              <w:t>左侧，</w:t>
            </w:r>
            <w:r>
              <w:rPr>
                <w:color w:val="000000" w:themeColor="text1"/>
                <w14:textFill>
                  <w14:solidFill>
                    <w14:schemeClr w14:val="tx1"/>
                  </w14:solidFill>
                </w14:textFill>
              </w:rPr>
              <w:t>占地0.35</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主要用于</w:t>
            </w:r>
            <w:r>
              <w:rPr>
                <w:rFonts w:hint="eastAsia"/>
                <w:color w:val="000000" w:themeColor="text1"/>
                <w:spacing w:val="8"/>
                <w14:textFill>
                  <w14:solidFill>
                    <w14:schemeClr w14:val="tx1"/>
                  </w14:solidFill>
                </w14:textFill>
              </w:rPr>
              <w:t>：</w:t>
            </w:r>
            <w:r>
              <w:rPr>
                <w:color w:val="000000" w:themeColor="text1"/>
                <w14:textFill>
                  <w14:solidFill>
                    <w14:schemeClr w14:val="tx1"/>
                  </w14:solidFill>
                </w14:textFill>
              </w:rPr>
              <w:t>施工材料存放点</w:t>
            </w:r>
            <w:r>
              <w:rPr>
                <w:rFonts w:hint="eastAsia"/>
                <w:color w:val="000000" w:themeColor="text1"/>
                <w14:textFill>
                  <w14:solidFill>
                    <w14:schemeClr w14:val="tx1"/>
                  </w14:solidFill>
                </w14:textFill>
              </w:rPr>
              <w:t>、水稳</w:t>
            </w:r>
            <w:bookmarkStart w:id="253" w:name="hmcheck_2c6b80f06edd4cd89730b46efcec87eb"/>
            <w:r>
              <w:rPr>
                <w:rFonts w:hint="eastAsia"/>
                <w:color w:val="000000" w:themeColor="text1"/>
                <w:shd w:val="clear" w:fill="FFAFAA"/>
                <w14:textFill>
                  <w14:solidFill>
                    <w14:schemeClr w14:val="tx1"/>
                  </w14:solidFill>
                </w14:textFill>
              </w:rPr>
              <w:t>拌合站</w:t>
            </w:r>
            <w:bookmarkEnd w:id="253"/>
            <w:r>
              <w:rPr>
                <w:rFonts w:hint="eastAsia"/>
                <w:color w:val="000000" w:themeColor="text1"/>
                <w14:textFill>
                  <w14:solidFill>
                    <w14:schemeClr w14:val="tx1"/>
                  </w14:solidFill>
                </w14:textFill>
              </w:rPr>
              <w:t>等。</w:t>
            </w:r>
          </w:p>
        </w:tc>
      </w:tr>
      <w:tr w14:paraId="5D2960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86" w:hRule="atLeast"/>
          <w:jc w:val="center"/>
        </w:trPr>
        <w:tc>
          <w:tcPr>
            <w:tcW w:w="235" w:type="pct"/>
            <w:vMerge w:val="continue"/>
            <w:vAlign w:val="center"/>
          </w:tcPr>
          <w:p w14:paraId="43937925">
            <w:pPr>
              <w:pStyle w:val="105"/>
              <w:ind w:left="-48" w:leftChars="-20" w:right="-48" w:rightChars="-20"/>
              <w:rPr>
                <w:color w:val="000000" w:themeColor="text1"/>
                <w14:textFill>
                  <w14:solidFill>
                    <w14:schemeClr w14:val="tx1"/>
                  </w14:solidFill>
                </w14:textFill>
              </w:rPr>
            </w:pPr>
          </w:p>
        </w:tc>
        <w:tc>
          <w:tcPr>
            <w:tcW w:w="392" w:type="pct"/>
            <w:gridSpan w:val="2"/>
            <w:vAlign w:val="center"/>
          </w:tcPr>
          <w:p w14:paraId="3D6F1CF9">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临时表土堆场</w:t>
            </w:r>
          </w:p>
        </w:tc>
        <w:tc>
          <w:tcPr>
            <w:tcW w:w="233" w:type="pct"/>
            <w:vAlign w:val="center"/>
          </w:tcPr>
          <w:p w14:paraId="27930861">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处</w:t>
            </w:r>
          </w:p>
        </w:tc>
        <w:tc>
          <w:tcPr>
            <w:tcW w:w="702" w:type="pct"/>
            <w:vAlign w:val="center"/>
          </w:tcPr>
          <w:p w14:paraId="39DAB9C7">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3</w:t>
            </w:r>
          </w:p>
        </w:tc>
        <w:tc>
          <w:tcPr>
            <w:tcW w:w="3438" w:type="pct"/>
            <w:vAlign w:val="center"/>
          </w:tcPr>
          <w:p w14:paraId="2DE08860">
            <w:pPr>
              <w:pStyle w:val="105"/>
              <w:ind w:left="-48" w:leftChars="-20" w:right="-48" w:rightChars="-20"/>
              <w:rPr>
                <w:color w:val="000000" w:themeColor="text1"/>
                <w14:textFill>
                  <w14:solidFill>
                    <w14:schemeClr w14:val="tx1"/>
                  </w14:solidFill>
                </w14:textFill>
              </w:rPr>
            </w:pPr>
            <w:r>
              <w:rPr>
                <w:rFonts w:eastAsia="Times New Roman" w:cs="Times New Roman"/>
                <w:color w:val="000000" w:themeColor="text1"/>
                <w:spacing w:val="-4"/>
                <w14:textFill>
                  <w14:solidFill>
                    <w14:schemeClr w14:val="tx1"/>
                  </w14:solidFill>
                </w14:textFill>
              </w:rPr>
              <w:t>1#</w:t>
            </w:r>
            <w:r>
              <w:rPr>
                <w:rFonts w:ascii="仿宋" w:hAnsi="仿宋"/>
                <w:color w:val="000000" w:themeColor="text1"/>
                <w:spacing w:val="-4"/>
                <w14:textFill>
                  <w14:solidFill>
                    <w14:schemeClr w14:val="tx1"/>
                  </w14:solidFill>
                </w14:textFill>
              </w:rPr>
              <w:t>表土临时堆场位</w:t>
            </w:r>
            <w:r>
              <w:rPr>
                <w:rFonts w:ascii="仿宋" w:hAnsi="仿宋"/>
                <w:color w:val="000000" w:themeColor="text1"/>
                <w:spacing w:val="-2"/>
                <w14:textFill>
                  <w14:solidFill>
                    <w14:schemeClr w14:val="tx1"/>
                  </w14:solidFill>
                </w14:textFill>
              </w:rPr>
              <w:t>于桩号</w:t>
            </w:r>
            <w:r>
              <w:rPr>
                <w:rFonts w:eastAsia="Times New Roman" w:cs="Times New Roman"/>
                <w:color w:val="000000" w:themeColor="text1"/>
                <w:spacing w:val="1"/>
                <w14:textFill>
                  <w14:solidFill>
                    <w14:schemeClr w14:val="tx1"/>
                  </w14:solidFill>
                </w14:textFill>
              </w:rPr>
              <w:t xml:space="preserve">K0+660 </w:t>
            </w:r>
            <w:r>
              <w:rPr>
                <w:color w:val="000000" w:themeColor="text1"/>
                <w:spacing w:val="1"/>
                <w14:textFill>
                  <w14:solidFill>
                    <w14:schemeClr w14:val="tx1"/>
                  </w14:solidFill>
                </w14:textFill>
              </w:rPr>
              <w:t>右侧</w:t>
            </w:r>
            <w:r>
              <w:rPr>
                <w:rFonts w:eastAsia="Times New Roman" w:cs="Times New Roman"/>
                <w:color w:val="000000" w:themeColor="text1"/>
                <w:spacing w:val="1"/>
                <w14:textFill>
                  <w14:solidFill>
                    <w14:schemeClr w14:val="tx1"/>
                  </w14:solidFill>
                </w14:textFill>
              </w:rPr>
              <w:t>100m</w:t>
            </w:r>
            <w:r>
              <w:rPr>
                <w:rFonts w:ascii="仿宋" w:hAnsi="仿宋"/>
                <w:color w:val="000000" w:themeColor="text1"/>
                <w:spacing w:val="-2"/>
                <w14:textFill>
                  <w14:solidFill>
                    <w14:schemeClr w14:val="tx1"/>
                  </w14:solidFill>
                </w14:textFill>
              </w:rPr>
              <w:t>，占地</w:t>
            </w:r>
            <w:r>
              <w:rPr>
                <w:rFonts w:eastAsia="Times New Roman" w:cs="Times New Roman"/>
                <w:color w:val="000000" w:themeColor="text1"/>
                <w:spacing w:val="1"/>
                <w14:textFill>
                  <w14:solidFill>
                    <w14:schemeClr w14:val="tx1"/>
                  </w14:solidFill>
                </w14:textFill>
              </w:rPr>
              <w:t>0.52</w:t>
            </w:r>
            <w:r>
              <w:rPr>
                <w:rFonts w:eastAsia="Times New Roman" w:cs="Times New Roman"/>
                <w:color w:val="000000" w:themeColor="text1"/>
                <w:spacing w:val="-2"/>
                <w14:textFill>
                  <w14:solidFill>
                    <w14:schemeClr w14:val="tx1"/>
                  </w14:solidFill>
                </w14:textFill>
              </w:rPr>
              <w:t>hm</w:t>
            </w:r>
            <w:r>
              <w:rPr>
                <w:rFonts w:eastAsia="Times New Roman" w:cs="Times New Roman"/>
                <w:color w:val="000000" w:themeColor="text1"/>
                <w:spacing w:val="-2"/>
                <w:position w:val="7"/>
                <w:sz w:val="15"/>
                <w:szCs w:val="15"/>
                <w14:textFill>
                  <w14:solidFill>
                    <w14:schemeClr w14:val="tx1"/>
                  </w14:solidFill>
                </w14:textFill>
              </w:rPr>
              <w:t>2</w:t>
            </w:r>
            <w:r>
              <w:rPr>
                <w:rFonts w:ascii="仿宋" w:hAnsi="仿宋"/>
                <w:color w:val="000000" w:themeColor="text1"/>
                <w:spacing w:val="-2"/>
                <w14:textFill>
                  <w14:solidFill>
                    <w14:schemeClr w14:val="tx1"/>
                  </w14:solidFill>
                </w14:textFill>
              </w:rPr>
              <w:t>；</w:t>
            </w:r>
            <w:r>
              <w:rPr>
                <w:rFonts w:eastAsia="Times New Roman" w:cs="Times New Roman"/>
                <w:color w:val="000000" w:themeColor="text1"/>
                <w:spacing w:val="-2"/>
                <w14:textFill>
                  <w14:solidFill>
                    <w14:schemeClr w14:val="tx1"/>
                  </w14:solidFill>
                </w14:textFill>
              </w:rPr>
              <w:t>2#</w:t>
            </w:r>
            <w:r>
              <w:rPr>
                <w:rFonts w:ascii="仿宋" w:hAnsi="仿宋"/>
                <w:color w:val="000000" w:themeColor="text1"/>
                <w:spacing w:val="-2"/>
                <w14:textFill>
                  <w14:solidFill>
                    <w14:schemeClr w14:val="tx1"/>
                  </w14:solidFill>
                </w14:textFill>
              </w:rPr>
              <w:t>表土临</w:t>
            </w:r>
            <w:r>
              <w:rPr>
                <w:rFonts w:ascii="仿宋" w:hAnsi="仿宋"/>
                <w:color w:val="000000" w:themeColor="text1"/>
                <w:spacing w:val="2"/>
                <w14:textFill>
                  <w14:solidFill>
                    <w14:schemeClr w14:val="tx1"/>
                  </w14:solidFill>
                </w14:textFill>
              </w:rPr>
              <w:t>时堆场位于桩号</w:t>
            </w:r>
            <w:r>
              <w:rPr>
                <w:rFonts w:eastAsia="Times New Roman" w:cs="Times New Roman"/>
                <w:color w:val="000000" w:themeColor="text1"/>
                <w:spacing w:val="-1"/>
                <w14:textFill>
                  <w14:solidFill>
                    <w14:schemeClr w14:val="tx1"/>
                  </w14:solidFill>
                </w14:textFill>
              </w:rPr>
              <w:t>K3+</w:t>
            </w:r>
            <w:r>
              <w:rPr>
                <w:rFonts w:eastAsia="Times New Roman" w:cs="Times New Roman"/>
                <w:color w:val="000000" w:themeColor="text1"/>
                <w:spacing w:val="-2"/>
                <w14:textFill>
                  <w14:solidFill>
                    <w14:schemeClr w14:val="tx1"/>
                  </w14:solidFill>
                </w14:textFill>
              </w:rPr>
              <w:t>320</w:t>
            </w:r>
            <w:r>
              <w:rPr>
                <w:rFonts w:eastAsia="Times New Roman" w:cs="Times New Roman"/>
                <w:color w:val="000000" w:themeColor="text1"/>
                <w:spacing w:val="44"/>
                <w14:textFill>
                  <w14:solidFill>
                    <w14:schemeClr w14:val="tx1"/>
                  </w14:solidFill>
                </w14:textFill>
              </w:rPr>
              <w:t xml:space="preserve"> </w:t>
            </w:r>
            <w:r>
              <w:rPr>
                <w:color w:val="000000" w:themeColor="text1"/>
                <w:spacing w:val="-2"/>
                <w14:textFill>
                  <w14:solidFill>
                    <w14:schemeClr w14:val="tx1"/>
                  </w14:solidFill>
                </w14:textFill>
              </w:rPr>
              <w:t>右侧</w:t>
            </w:r>
            <w:r>
              <w:rPr>
                <w:rFonts w:ascii="仿宋" w:hAnsi="仿宋"/>
                <w:color w:val="000000" w:themeColor="text1"/>
                <w:spacing w:val="2"/>
                <w14:textFill>
                  <w14:solidFill>
                    <w14:schemeClr w14:val="tx1"/>
                  </w14:solidFill>
                </w14:textFill>
              </w:rPr>
              <w:t>，占地</w:t>
            </w:r>
            <w:r>
              <w:rPr>
                <w:rFonts w:eastAsia="Times New Roman" w:cs="Times New Roman"/>
                <w:color w:val="000000" w:themeColor="text1"/>
                <w:spacing w:val="-1"/>
                <w14:textFill>
                  <w14:solidFill>
                    <w14:schemeClr w14:val="tx1"/>
                  </w14:solidFill>
                </w14:textFill>
              </w:rPr>
              <w:t>0.28</w:t>
            </w:r>
            <w:r>
              <w:rPr>
                <w:rFonts w:eastAsia="Times New Roman" w:cs="Times New Roman"/>
                <w:color w:val="000000" w:themeColor="text1"/>
                <w14:textFill>
                  <w14:solidFill>
                    <w14:schemeClr w14:val="tx1"/>
                  </w14:solidFill>
                </w14:textFill>
              </w:rPr>
              <w:t>hm</w:t>
            </w:r>
            <w:r>
              <w:rPr>
                <w:rFonts w:eastAsia="Times New Roman" w:cs="Times New Roman"/>
                <w:color w:val="000000" w:themeColor="text1"/>
                <w:spacing w:val="1"/>
                <w:position w:val="8"/>
                <w:sz w:val="15"/>
                <w:szCs w:val="15"/>
                <w14:textFill>
                  <w14:solidFill>
                    <w14:schemeClr w14:val="tx1"/>
                  </w14:solidFill>
                </w14:textFill>
              </w:rPr>
              <w:t>2</w:t>
            </w:r>
            <w:r>
              <w:rPr>
                <w:rFonts w:ascii="仿宋" w:hAnsi="仿宋"/>
                <w:color w:val="000000" w:themeColor="text1"/>
                <w:spacing w:val="1"/>
                <w14:textFill>
                  <w14:solidFill>
                    <w14:schemeClr w14:val="tx1"/>
                  </w14:solidFill>
                </w14:textFill>
              </w:rPr>
              <w:t>；</w:t>
            </w:r>
            <w:r>
              <w:rPr>
                <w:rFonts w:eastAsia="Times New Roman" w:cs="Times New Roman"/>
                <w:color w:val="000000" w:themeColor="text1"/>
                <w:spacing w:val="1"/>
                <w14:textFill>
                  <w14:solidFill>
                    <w14:schemeClr w14:val="tx1"/>
                  </w14:solidFill>
                </w14:textFill>
              </w:rPr>
              <w:t>3#</w:t>
            </w:r>
            <w:r>
              <w:rPr>
                <w:rFonts w:ascii="仿宋" w:hAnsi="仿宋"/>
                <w:color w:val="000000" w:themeColor="text1"/>
                <w:spacing w:val="1"/>
                <w14:textFill>
                  <w14:solidFill>
                    <w14:schemeClr w14:val="tx1"/>
                  </w14:solidFill>
                </w14:textFill>
              </w:rPr>
              <w:t>表土临时堆场位于桩号</w:t>
            </w:r>
            <w:r>
              <w:rPr>
                <w:rFonts w:eastAsia="Times New Roman" w:cs="Times New Roman"/>
                <w:color w:val="000000" w:themeColor="text1"/>
                <w14:textFill>
                  <w14:solidFill>
                    <w14:schemeClr w14:val="tx1"/>
                  </w14:solidFill>
                </w14:textFill>
              </w:rPr>
              <w:t xml:space="preserve">LK0+090 </w:t>
            </w:r>
            <w:r>
              <w:rPr>
                <w:color w:val="000000" w:themeColor="text1"/>
                <w14:textFill>
                  <w14:solidFill>
                    <w14:schemeClr w14:val="tx1"/>
                  </w14:solidFill>
                </w14:textFill>
              </w:rPr>
              <w:t>右侧</w:t>
            </w:r>
            <w:r>
              <w:rPr>
                <w:rFonts w:ascii="仿宋" w:hAnsi="仿宋"/>
                <w:color w:val="000000" w:themeColor="text1"/>
                <w:spacing w:val="-8"/>
                <w14:textFill>
                  <w14:solidFill>
                    <w14:schemeClr w14:val="tx1"/>
                  </w14:solidFill>
                </w14:textFill>
              </w:rPr>
              <w:t>，占地</w:t>
            </w:r>
            <w:r>
              <w:rPr>
                <w:rFonts w:eastAsia="Times New Roman" w:cs="Times New Roman"/>
                <w:color w:val="000000" w:themeColor="text1"/>
                <w14:textFill>
                  <w14:solidFill>
                    <w14:schemeClr w14:val="tx1"/>
                  </w14:solidFill>
                </w14:textFill>
              </w:rPr>
              <w:t>0.11</w:t>
            </w:r>
            <w:r>
              <w:rPr>
                <w:rFonts w:eastAsia="Times New Roman" w:cs="Times New Roman"/>
                <w:color w:val="000000" w:themeColor="text1"/>
                <w:spacing w:val="-8"/>
                <w14:textFill>
                  <w14:solidFill>
                    <w14:schemeClr w14:val="tx1"/>
                  </w14:solidFill>
                </w14:textFill>
              </w:rPr>
              <w:t>hm</w:t>
            </w:r>
            <w:r>
              <w:rPr>
                <w:rFonts w:eastAsia="Times New Roman" w:cs="Times New Roman"/>
                <w:color w:val="000000" w:themeColor="text1"/>
                <w:spacing w:val="-8"/>
                <w:position w:val="7"/>
                <w:sz w:val="15"/>
                <w:szCs w:val="15"/>
                <w14:textFill>
                  <w14:solidFill>
                    <w14:schemeClr w14:val="tx1"/>
                  </w14:solidFill>
                </w14:textFill>
              </w:rPr>
              <w:t>2</w:t>
            </w:r>
            <w:r>
              <w:rPr>
                <w:rFonts w:ascii="仿宋" w:hAnsi="仿宋"/>
                <w:color w:val="000000" w:themeColor="text1"/>
                <w:spacing w:val="-8"/>
                <w14:textFill>
                  <w14:solidFill>
                    <w14:schemeClr w14:val="tx1"/>
                  </w14:solidFill>
                </w14:textFill>
              </w:rPr>
              <w:t>。</w:t>
            </w:r>
          </w:p>
        </w:tc>
      </w:tr>
      <w:tr w14:paraId="5C3C8C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212" w:hRule="atLeast"/>
          <w:jc w:val="center"/>
        </w:trPr>
        <w:tc>
          <w:tcPr>
            <w:tcW w:w="235" w:type="pct"/>
            <w:vMerge w:val="continue"/>
            <w:vAlign w:val="center"/>
          </w:tcPr>
          <w:p w14:paraId="0F76CBB7">
            <w:pPr>
              <w:pStyle w:val="105"/>
              <w:ind w:left="-48" w:leftChars="-20" w:right="-48" w:rightChars="-20"/>
              <w:rPr>
                <w:color w:val="000000" w:themeColor="text1"/>
                <w14:textFill>
                  <w14:solidFill>
                    <w14:schemeClr w14:val="tx1"/>
                  </w14:solidFill>
                </w14:textFill>
              </w:rPr>
            </w:pPr>
          </w:p>
        </w:tc>
        <w:tc>
          <w:tcPr>
            <w:tcW w:w="392" w:type="pct"/>
            <w:gridSpan w:val="2"/>
            <w:vAlign w:val="center"/>
          </w:tcPr>
          <w:p w14:paraId="17C5148F">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施工便道</w:t>
            </w:r>
          </w:p>
        </w:tc>
        <w:tc>
          <w:tcPr>
            <w:tcW w:w="233" w:type="pct"/>
            <w:vAlign w:val="center"/>
          </w:tcPr>
          <w:p w14:paraId="007A0040">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km</w:t>
            </w:r>
          </w:p>
        </w:tc>
        <w:tc>
          <w:tcPr>
            <w:tcW w:w="702" w:type="pct"/>
            <w:vAlign w:val="center"/>
          </w:tcPr>
          <w:p w14:paraId="1CB56D31">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2</w:t>
            </w:r>
          </w:p>
        </w:tc>
        <w:tc>
          <w:tcPr>
            <w:tcW w:w="3438" w:type="pct"/>
            <w:vAlign w:val="center"/>
          </w:tcPr>
          <w:p w14:paraId="199F6EAF">
            <w:pPr>
              <w:pStyle w:val="105"/>
              <w:ind w:left="-48" w:leftChars="-20" w:right="-48" w:rightChars="-20"/>
              <w:rPr>
                <w:color w:val="000000" w:themeColor="text1"/>
                <w:spacing w:val="-3"/>
                <w14:textFill>
                  <w14:solidFill>
                    <w14:schemeClr w14:val="tx1"/>
                  </w14:solidFill>
                </w14:textFill>
              </w:rPr>
            </w:pPr>
            <w:r>
              <w:rPr>
                <w:rFonts w:hint="eastAsia"/>
                <w:color w:val="000000" w:themeColor="text1"/>
                <w:spacing w:val="-3"/>
                <w14:textFill>
                  <w14:solidFill>
                    <w14:schemeClr w14:val="tx1"/>
                  </w14:solidFill>
                </w14:textFill>
              </w:rPr>
              <w:t>1#施工便道：</w:t>
            </w:r>
            <w:r>
              <w:rPr>
                <w:rFonts w:hint="eastAsia"/>
                <w:color w:val="000000" w:themeColor="text1"/>
                <w14:textFill>
                  <w14:solidFill>
                    <w14:schemeClr w14:val="tx1"/>
                  </w14:solidFill>
                </w14:textFill>
              </w:rPr>
              <w:t>位于</w:t>
            </w:r>
            <w:r>
              <w:rPr>
                <w:color w:val="000000" w:themeColor="text1"/>
                <w14:textFill>
                  <w14:solidFill>
                    <w14:schemeClr w14:val="tx1"/>
                  </w14:solidFill>
                </w14:textFill>
              </w:rPr>
              <w:t>K0+660右侧，</w:t>
            </w:r>
            <w:r>
              <w:rPr>
                <w:rFonts w:hint="eastAsia"/>
                <w:color w:val="000000" w:themeColor="text1"/>
                <w14:textFill>
                  <w14:solidFill>
                    <w14:schemeClr w14:val="tx1"/>
                  </w14:solidFill>
                </w14:textFill>
              </w:rPr>
              <w:t>拟建公路连接</w:t>
            </w:r>
            <w:r>
              <w:rPr>
                <w:color w:val="000000" w:themeColor="text1"/>
                <w14:textFill>
                  <w14:solidFill>
                    <w14:schemeClr w14:val="tx1"/>
                  </w14:solidFill>
                </w14:textFill>
              </w:rPr>
              <w:t>1#表土堆场</w:t>
            </w:r>
            <w:r>
              <w:rPr>
                <w:rFonts w:hint="eastAsia"/>
                <w:color w:val="000000" w:themeColor="text1"/>
                <w14:textFill>
                  <w14:solidFill>
                    <w14:schemeClr w14:val="tx1"/>
                  </w14:solidFill>
                </w14:textFill>
              </w:rPr>
              <w:t>，利用现有道路机耕道拓宽</w:t>
            </w:r>
            <w:r>
              <w:rPr>
                <w:rFonts w:hint="eastAsia"/>
                <w:color w:val="000000" w:themeColor="text1"/>
                <w:spacing w:val="-3"/>
                <w14:textFill>
                  <w14:solidFill>
                    <w14:schemeClr w14:val="tx1"/>
                  </w14:solidFill>
                </w14:textFill>
              </w:rPr>
              <w:t>。</w:t>
            </w:r>
          </w:p>
          <w:p w14:paraId="51AB65DA">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施工便道：位于终点，连接枝钟路，利用现有道路机耕道拓宽。</w:t>
            </w:r>
          </w:p>
        </w:tc>
      </w:tr>
      <w:tr w14:paraId="21931D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55" w:hRule="atLeast"/>
          <w:jc w:val="center"/>
        </w:trPr>
        <w:tc>
          <w:tcPr>
            <w:tcW w:w="235" w:type="pct"/>
            <w:vMerge w:val="continue"/>
            <w:vAlign w:val="center"/>
          </w:tcPr>
          <w:p w14:paraId="0202A9F1">
            <w:pPr>
              <w:pStyle w:val="105"/>
              <w:ind w:left="-48" w:leftChars="-20" w:right="-48" w:rightChars="-20"/>
              <w:rPr>
                <w:color w:val="000000" w:themeColor="text1"/>
                <w14:textFill>
                  <w14:solidFill>
                    <w14:schemeClr w14:val="tx1"/>
                  </w14:solidFill>
                </w14:textFill>
              </w:rPr>
            </w:pPr>
          </w:p>
        </w:tc>
        <w:tc>
          <w:tcPr>
            <w:tcW w:w="392" w:type="pct"/>
            <w:gridSpan w:val="2"/>
            <w:vAlign w:val="center"/>
          </w:tcPr>
          <w:p w14:paraId="543040BD">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弃渣场</w:t>
            </w:r>
          </w:p>
        </w:tc>
        <w:tc>
          <w:tcPr>
            <w:tcW w:w="233" w:type="pct"/>
            <w:vAlign w:val="center"/>
          </w:tcPr>
          <w:p w14:paraId="418B2A5F">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处</w:t>
            </w:r>
          </w:p>
        </w:tc>
        <w:tc>
          <w:tcPr>
            <w:tcW w:w="702" w:type="pct"/>
            <w:vAlign w:val="center"/>
          </w:tcPr>
          <w:p w14:paraId="328833EA">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0</w:t>
            </w:r>
          </w:p>
        </w:tc>
        <w:tc>
          <w:tcPr>
            <w:tcW w:w="3438" w:type="pct"/>
            <w:vAlign w:val="center"/>
          </w:tcPr>
          <w:p w14:paraId="67CD01CE">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项目土石方挖填总量63.61万m³，其中挖方总量40.22万m³（含表土1.80万m³），填方总量23.39万m³（含覆土1.80万m³），</w:t>
            </w:r>
            <w:bookmarkStart w:id="254" w:name="hmcheck_41eb5aa28257483cb5de636002eb5758"/>
            <w:r>
              <w:rPr>
                <w:rFonts w:hint="eastAsia"/>
                <w:color w:val="000000" w:themeColor="text1"/>
                <w:shd w:val="clear" w:fill="FFAFAA"/>
                <w14:textFill>
                  <w14:solidFill>
                    <w14:schemeClr w14:val="tx1"/>
                  </w14:solidFill>
                </w14:textFill>
              </w:rPr>
              <w:t>余方</w:t>
            </w:r>
            <w:bookmarkEnd w:id="254"/>
            <w:r>
              <w:rPr>
                <w:rFonts w:hint="eastAsia"/>
                <w:color w:val="000000" w:themeColor="text1"/>
                <w14:textFill>
                  <w14:solidFill>
                    <w14:schemeClr w14:val="tx1"/>
                  </w14:solidFill>
                </w14:textFill>
              </w:rPr>
              <w:t>16.</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3万m³（其中土方</w:t>
            </w:r>
            <w:r>
              <w:rPr>
                <w:color w:val="000000" w:themeColor="text1"/>
                <w14:textFill>
                  <w14:solidFill>
                    <w14:schemeClr w14:val="tx1"/>
                  </w14:solidFill>
                </w14:textFill>
              </w:rPr>
              <w:t>4.62</w:t>
            </w:r>
            <w:r>
              <w:rPr>
                <w:rFonts w:hint="eastAsia"/>
                <w:color w:val="000000" w:themeColor="text1"/>
                <w14:textFill>
                  <w14:solidFill>
                    <w14:schemeClr w14:val="tx1"/>
                  </w14:solidFill>
                </w14:textFill>
              </w:rPr>
              <w:t>万m³，石方</w:t>
            </w:r>
            <w:r>
              <w:rPr>
                <w:color w:val="000000" w:themeColor="text1"/>
                <w14:textFill>
                  <w14:solidFill>
                    <w14:schemeClr w14:val="tx1"/>
                  </w14:solidFill>
                </w14:textFill>
              </w:rPr>
              <w:t>11.41</w:t>
            </w:r>
            <w:r>
              <w:rPr>
                <w:rFonts w:hint="eastAsia"/>
                <w:color w:val="000000" w:themeColor="text1"/>
                <w14:textFill>
                  <w14:solidFill>
                    <w14:schemeClr w14:val="tx1"/>
                  </w14:solidFill>
                </w14:textFill>
              </w:rPr>
              <w:t>万m³），其中石方</w:t>
            </w:r>
            <w:r>
              <w:rPr>
                <w:color w:val="000000" w:themeColor="text1"/>
                <w14:textFill>
                  <w14:solidFill>
                    <w14:schemeClr w14:val="tx1"/>
                  </w14:solidFill>
                </w14:textFill>
              </w:rPr>
              <w:t>6.88</w:t>
            </w:r>
            <w:r>
              <w:rPr>
                <w:rFonts w:hint="eastAsia"/>
                <w:color w:val="000000" w:themeColor="text1"/>
                <w14:textFill>
                  <w14:solidFill>
                    <w14:schemeClr w14:val="tx1"/>
                  </w14:solidFill>
                </w14:textFill>
              </w:rPr>
              <w:t>万m³本工程利用，作为截（排）水沟、沉沙池、挡墙等附属设施的原材料利用；剩余弃方（9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万m³）拟运往福清市城市管理委员会批准的余方指定堆放点进行综合利用。</w:t>
            </w:r>
          </w:p>
          <w:p w14:paraId="6A68D375">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项目不设弃渣场。</w:t>
            </w:r>
          </w:p>
        </w:tc>
      </w:tr>
      <w:tr w14:paraId="1A5A63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restart"/>
            <w:vAlign w:val="center"/>
          </w:tcPr>
          <w:p w14:paraId="57DA9A5D">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工程占地</w:t>
            </w:r>
          </w:p>
        </w:tc>
        <w:tc>
          <w:tcPr>
            <w:tcW w:w="392" w:type="pct"/>
            <w:gridSpan w:val="2"/>
            <w:vAlign w:val="center"/>
          </w:tcPr>
          <w:p w14:paraId="59B75C6E">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永久占地</w:t>
            </w:r>
          </w:p>
        </w:tc>
        <w:tc>
          <w:tcPr>
            <w:tcW w:w="4373" w:type="pct"/>
            <w:gridSpan w:val="3"/>
            <w:vAlign w:val="center"/>
          </w:tcPr>
          <w:p w14:paraId="520BB610">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本项目永久</w:t>
            </w:r>
            <w:r>
              <w:rPr>
                <w:color w:val="000000" w:themeColor="text1"/>
                <w:kern w:val="0"/>
                <w:szCs w:val="24"/>
                <w:lang w:val="zh-CN"/>
                <w14:textFill>
                  <w14:solidFill>
                    <w14:schemeClr w14:val="tx1"/>
                  </w14:solidFill>
                </w14:textFill>
              </w:rPr>
              <w:t>用地总面积</w:t>
            </w:r>
            <w:r>
              <w:rPr>
                <w:rFonts w:hint="eastAsia"/>
                <w:color w:val="000000" w:themeColor="text1"/>
                <w14:textFill>
                  <w14:solidFill>
                    <w14:schemeClr w14:val="tx1"/>
                  </w14:solidFill>
                </w14:textFill>
              </w:rPr>
              <w:t>为</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kern w:val="0"/>
                <w:szCs w:val="24"/>
                <w:lang w:val="zh-CN"/>
                <w14:textFill>
                  <w14:solidFill>
                    <w14:schemeClr w14:val="tx1"/>
                  </w14:solidFill>
                </w14:textFill>
              </w:rPr>
              <w:t>耕地</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.424</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kern w:val="0"/>
                <w:szCs w:val="24"/>
                <w14:textFill>
                  <w14:solidFill>
                    <w14:schemeClr w14:val="tx1"/>
                  </w14:solidFill>
                </w14:textFill>
              </w:rPr>
              <w:t>，</w:t>
            </w:r>
            <w:r>
              <w:rPr>
                <w:color w:val="000000" w:themeColor="text1"/>
                <w:kern w:val="0"/>
                <w:szCs w:val="24"/>
                <w:lang w:val="zh-CN"/>
                <w14:textFill>
                  <w14:solidFill>
                    <w14:schemeClr w14:val="tx1"/>
                  </w14:solidFill>
                </w14:textFill>
              </w:rPr>
              <w:t>林地</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.487</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、园地</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.6056</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、其他农用地</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.052</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kern w:val="0"/>
                <w:szCs w:val="24"/>
                <w14:textFill>
                  <w14:solidFill>
                    <w14:schemeClr w14:val="tx1"/>
                  </w14:solidFill>
                </w14:textFill>
              </w:rPr>
              <w:t>，</w:t>
            </w:r>
            <w:r>
              <w:rPr>
                <w:color w:val="000000" w:themeColor="text1"/>
                <w:kern w:val="0"/>
                <w:szCs w:val="24"/>
                <w:lang w:val="zh-CN"/>
                <w14:textFill>
                  <w14:solidFill>
                    <w14:schemeClr w14:val="tx1"/>
                  </w14:solidFill>
                </w14:textFill>
              </w:rPr>
              <w:t>建设用地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.6581</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14:textFill>
                  <w14:solidFill>
                    <w14:schemeClr w14:val="tx1"/>
                  </w14:solidFill>
                </w14:textFill>
              </w:rPr>
              <w:t>，</w:t>
            </w:r>
            <w:r>
              <w:rPr>
                <w:color w:val="000000" w:themeColor="text1"/>
                <w:kern w:val="0"/>
                <w:szCs w:val="24"/>
                <w:lang w:val="zh-CN"/>
                <w14:textFill>
                  <w14:solidFill>
                    <w14:schemeClr w14:val="tx1"/>
                  </w14:solidFill>
                </w14:textFill>
              </w:rPr>
              <w:t>未利用地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.8507</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w:t>
            </w:r>
          </w:p>
        </w:tc>
      </w:tr>
      <w:tr w14:paraId="486FC1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235" w:type="pct"/>
            <w:vMerge w:val="continue"/>
            <w:vAlign w:val="center"/>
          </w:tcPr>
          <w:p w14:paraId="351B8766">
            <w:pPr>
              <w:pStyle w:val="105"/>
              <w:ind w:left="-48" w:leftChars="-20" w:right="-48" w:rightChars="-20"/>
              <w:rPr>
                <w:color w:val="000000" w:themeColor="text1"/>
                <w14:textFill>
                  <w14:solidFill>
                    <w14:schemeClr w14:val="tx1"/>
                  </w14:solidFill>
                </w14:textFill>
              </w:rPr>
            </w:pPr>
          </w:p>
        </w:tc>
        <w:tc>
          <w:tcPr>
            <w:tcW w:w="392" w:type="pct"/>
            <w:gridSpan w:val="2"/>
            <w:vAlign w:val="center"/>
          </w:tcPr>
          <w:p w14:paraId="41D52CBB">
            <w:pPr>
              <w:pStyle w:val="105"/>
              <w:ind w:left="-48" w:leftChars="-20" w:right="-48" w:rightChars="-20"/>
              <w:rPr>
                <w:color w:val="000000" w:themeColor="text1"/>
                <w:szCs w:val="21"/>
                <w14:textFill>
                  <w14:solidFill>
                    <w14:schemeClr w14:val="tx1"/>
                  </w14:solidFill>
                </w14:textFill>
              </w:rPr>
            </w:pPr>
            <w:r>
              <w:rPr>
                <w:color w:val="000000" w:themeColor="text1"/>
                <w:szCs w:val="21"/>
                <w14:textFill>
                  <w14:solidFill>
                    <w14:schemeClr w14:val="tx1"/>
                  </w14:solidFill>
                </w14:textFill>
              </w:rPr>
              <w:t>临时占地</w:t>
            </w:r>
          </w:p>
        </w:tc>
        <w:tc>
          <w:tcPr>
            <w:tcW w:w="4373" w:type="pct"/>
            <w:gridSpan w:val="3"/>
            <w:vAlign w:val="center"/>
          </w:tcPr>
          <w:p w14:paraId="13E7E7F2">
            <w:pPr>
              <w:pStyle w:val="105"/>
              <w:ind w:left="-48" w:leftChars="-20" w:right="-48" w:rightChars="-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施工临时占地：</w:t>
            </w:r>
            <w:r>
              <w:rPr>
                <w:rFonts w:hint="eastAsia"/>
                <w:color w:val="000000" w:themeColor="text1"/>
                <w:spacing w:val="-7"/>
                <w14:textFill>
                  <w14:solidFill>
                    <w14:schemeClr w14:val="tx1"/>
                  </w14:solidFill>
                </w14:textFill>
              </w:rPr>
              <w:t xml:space="preserve">临时占地 </w:t>
            </w:r>
            <w:r>
              <w:rPr>
                <w:color w:val="000000" w:themeColor="text1"/>
                <w:spacing w:val="-7"/>
                <w14:textFill>
                  <w14:solidFill>
                    <w14:schemeClr w14:val="tx1"/>
                  </w14:solidFill>
                </w14:textFill>
              </w:rPr>
              <w:t>2.045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其中施工便道临时占地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.085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 ，施工场地临时占地</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 xml:space="preserve">2 </w:t>
            </w:r>
            <w:r>
              <w:rPr>
                <w:rFonts w:hint="eastAsia"/>
                <w:color w:val="000000" w:themeColor="text1"/>
                <w:spacing w:val="-7"/>
                <w14:textFill>
                  <w14:solidFill>
                    <w14:schemeClr w14:val="tx1"/>
                  </w14:solidFill>
                </w14:textFill>
              </w:rPr>
              <w:t>，表土临时堆场临时占地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.91</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 。</w:t>
            </w:r>
          </w:p>
        </w:tc>
      </w:tr>
      <w:tr w14:paraId="71710F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27" w:type="pct"/>
            <w:gridSpan w:val="3"/>
            <w:vAlign w:val="center"/>
          </w:tcPr>
          <w:p w14:paraId="7693B58C">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土石方量</w:t>
            </w:r>
          </w:p>
        </w:tc>
        <w:tc>
          <w:tcPr>
            <w:tcW w:w="4373" w:type="pct"/>
            <w:gridSpan w:val="3"/>
            <w:vAlign w:val="center"/>
          </w:tcPr>
          <w:p w14:paraId="30B740F6">
            <w:pPr>
              <w:pStyle w:val="105"/>
              <w:ind w:left="-48" w:leftChars="-20" w:right="-48" w:rightChars="-20"/>
              <w:rPr>
                <w:color w:val="000000" w:themeColor="text1"/>
                <w14:textFill>
                  <w14:solidFill>
                    <w14:schemeClr w14:val="tx1"/>
                  </w14:solidFill>
                </w14:textFill>
              </w:rPr>
            </w:pPr>
            <w:r>
              <w:rPr>
                <w:rFonts w:hint="eastAsia"/>
                <w:color w:val="000000" w:themeColor="text1"/>
                <w14:textFill>
                  <w14:solidFill>
                    <w14:schemeClr w14:val="tx1"/>
                  </w14:solidFill>
                </w14:textFill>
              </w:rPr>
              <w:t>项目土石方挖填总量63.61万m³，其中挖方总量40.22万m³（含表土1.80万m³），填方总量23.39万m³（含覆土1.80万m³），本项目建设过程中共产生</w:t>
            </w:r>
            <w:bookmarkStart w:id="255" w:name="hmcheck_41d1cbfd8b744cd595bb14aaa71bccef"/>
            <w:r>
              <w:rPr>
                <w:rFonts w:hint="eastAsia"/>
                <w:color w:val="000000" w:themeColor="text1"/>
                <w:shd w:val="clear" w:fill="FFAFAA"/>
                <w14:textFill>
                  <w14:solidFill>
                    <w14:schemeClr w14:val="tx1"/>
                  </w14:solidFill>
                </w14:textFill>
              </w:rPr>
              <w:t>余方</w:t>
            </w:r>
            <w:bookmarkEnd w:id="255"/>
            <w:r>
              <w:rPr>
                <w:rFonts w:hint="eastAsia"/>
                <w:color w:val="000000" w:themeColor="text1"/>
                <w14:textFill>
                  <w14:solidFill>
                    <w14:schemeClr w14:val="tx1"/>
                  </w14:solidFill>
                </w14:textFill>
              </w:rPr>
              <w:t>16.</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3万m³（其中土方</w:t>
            </w:r>
            <w:r>
              <w:rPr>
                <w:color w:val="000000" w:themeColor="text1"/>
                <w14:textFill>
                  <w14:solidFill>
                    <w14:schemeClr w14:val="tx1"/>
                  </w14:solidFill>
                </w14:textFill>
              </w:rPr>
              <w:t>4.62</w:t>
            </w:r>
            <w:r>
              <w:rPr>
                <w:rFonts w:hint="eastAsia"/>
                <w:color w:val="000000" w:themeColor="text1"/>
                <w14:textFill>
                  <w14:solidFill>
                    <w14:schemeClr w14:val="tx1"/>
                  </w14:solidFill>
                </w14:textFill>
              </w:rPr>
              <w:t>万m³，石方</w:t>
            </w:r>
            <w:r>
              <w:rPr>
                <w:color w:val="000000" w:themeColor="text1"/>
                <w14:textFill>
                  <w14:solidFill>
                    <w14:schemeClr w14:val="tx1"/>
                  </w14:solidFill>
                </w14:textFill>
              </w:rPr>
              <w:t>12.21</w:t>
            </w:r>
            <w:r>
              <w:rPr>
                <w:rFonts w:hint="eastAsia"/>
                <w:color w:val="000000" w:themeColor="text1"/>
                <w14:textFill>
                  <w14:solidFill>
                    <w14:schemeClr w14:val="tx1"/>
                  </w14:solidFill>
                </w14:textFill>
              </w:rPr>
              <w:t>万m³）。</w:t>
            </w:r>
            <w:r>
              <w:rPr>
                <w:rFonts w:hint="eastAsia"/>
                <w:color w:val="000000" w:themeColor="text1"/>
                <w:spacing w:val="-3"/>
                <w14:textFill>
                  <w14:solidFill>
                    <w14:schemeClr w14:val="tx1"/>
                  </w14:solidFill>
                </w14:textFill>
              </w:rPr>
              <w:t>余方中可利用石方</w:t>
            </w:r>
            <w:r>
              <w:rPr>
                <w:color w:val="000000" w:themeColor="text1"/>
                <w14:textFill>
                  <w14:solidFill>
                    <w14:schemeClr w14:val="tx1"/>
                  </w14:solidFill>
                </w14:textFill>
              </w:rPr>
              <w:t>6.88</w:t>
            </w:r>
            <w:r>
              <w:rPr>
                <w:rFonts w:hint="eastAsia"/>
                <w:color w:val="000000" w:themeColor="text1"/>
                <w:spacing w:val="-3"/>
                <w14:textFill>
                  <w14:solidFill>
                    <w14:schemeClr w14:val="tx1"/>
                  </w14:solidFill>
                </w14:textFill>
              </w:rPr>
              <w:t>万m</w:t>
            </w:r>
            <w:r>
              <w:rPr>
                <w:rFonts w:hint="eastAsia"/>
                <w:color w:val="000000" w:themeColor="text1"/>
                <w:spacing w:val="-3"/>
                <w:vertAlign w:val="superscript"/>
                <w14:textFill>
                  <w14:solidFill>
                    <w14:schemeClr w14:val="tx1"/>
                  </w14:solidFill>
                </w14:textFill>
              </w:rPr>
              <w:t>3</w:t>
            </w:r>
            <w:r>
              <w:rPr>
                <w:rFonts w:hint="eastAsia"/>
                <w:color w:val="000000" w:themeColor="text1"/>
                <w:spacing w:val="-3"/>
                <w14:textFill>
                  <w14:solidFill>
                    <w14:schemeClr w14:val="tx1"/>
                  </w14:solidFill>
                </w14:textFill>
              </w:rPr>
              <w:t>，用于本项目综合利用，剩余弃方</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w:t>
            </w:r>
          </w:p>
        </w:tc>
      </w:tr>
      <w:tr w14:paraId="562A8B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27" w:type="pct"/>
            <w:gridSpan w:val="3"/>
            <w:vAlign w:val="center"/>
          </w:tcPr>
          <w:p w14:paraId="37362E16">
            <w:pPr>
              <w:pStyle w:val="105"/>
              <w:ind w:left="-48" w:leftChars="-20" w:right="-48" w:rightChars="-20"/>
              <w:rPr>
                <w:color w:val="000000" w:themeColor="text1"/>
                <w14:textFill>
                  <w14:solidFill>
                    <w14:schemeClr w14:val="tx1"/>
                  </w14:solidFill>
                </w14:textFill>
              </w:rPr>
            </w:pPr>
            <w:r>
              <w:rPr>
                <w:color w:val="000000" w:themeColor="text1"/>
                <w14:textFill>
                  <w14:solidFill>
                    <w14:schemeClr w14:val="tx1"/>
                  </w14:solidFill>
                </w14:textFill>
              </w:rPr>
              <w:t>拆迁</w:t>
            </w:r>
          </w:p>
        </w:tc>
        <w:tc>
          <w:tcPr>
            <w:tcW w:w="4373" w:type="pct"/>
            <w:gridSpan w:val="3"/>
            <w:vAlign w:val="center"/>
          </w:tcPr>
          <w:p w14:paraId="0EC83AFD">
            <w:pPr>
              <w:pStyle w:val="105"/>
              <w:ind w:left="-48" w:leftChars="-20" w:right="-48" w:rightChars="-20"/>
              <w:rPr>
                <w:color w:val="000000" w:themeColor="text1"/>
                <w14:textFill>
                  <w14:solidFill>
                    <w14:schemeClr w14:val="tx1"/>
                  </w14:solidFill>
                </w14:textFill>
              </w:rPr>
            </w:pPr>
            <w:r>
              <w:rPr>
                <w:rFonts w:hint="eastAsia"/>
                <w:color w:val="000000" w:themeColor="text1"/>
                <w:spacing w:val="-2"/>
                <w14:textFill>
                  <w14:solidFill>
                    <w14:schemeClr w14:val="tx1"/>
                  </w14:solidFill>
                </w14:textFill>
              </w:rPr>
              <w:t xml:space="preserve">项目共拆迁房屋 2474.98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lang w:val="zh-CN"/>
                <w14:textFill>
                  <w14:solidFill>
                    <w14:schemeClr w14:val="tx1"/>
                  </w14:solidFill>
                </w14:textFill>
              </w:rPr>
              <w:t>，</w:t>
            </w:r>
            <w:r>
              <w:rPr>
                <w:rFonts w:hint="eastAsia"/>
                <w:color w:val="000000" w:themeColor="text1"/>
                <w:spacing w:val="-2"/>
                <w14:textFill>
                  <w14:solidFill>
                    <w14:schemeClr w14:val="tx1"/>
                  </w14:solidFill>
                </w14:textFill>
              </w:rPr>
              <w:t xml:space="preserve">其中砖砼房 2269.42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spacing w:val="-2"/>
                <w14:textFill>
                  <w14:solidFill>
                    <w14:schemeClr w14:val="tx1"/>
                  </w14:solidFill>
                </w14:textFill>
              </w:rPr>
              <w:t xml:space="preserve">、厕所猪圈 39.56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spacing w:val="-2"/>
                <w14:textFill>
                  <w14:solidFill>
                    <w14:schemeClr w14:val="tx1"/>
                  </w14:solidFill>
                </w14:textFill>
              </w:rPr>
              <w:t xml:space="preserve">，简房 166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spacing w:val="-2"/>
                <w14:textFill>
                  <w14:solidFill>
                    <w14:schemeClr w14:val="tx1"/>
                  </w14:solidFill>
                </w14:textFill>
              </w:rPr>
              <w:t>，鳗鱼场 2 座。征迁10kV 电力杆线 1.4 km/3 根；征迁 0.4kV 低压线 5.1 km/10 根。征迁电讯线 5.8 km/15根。迁移变压器 2 处。</w:t>
            </w:r>
          </w:p>
        </w:tc>
      </w:tr>
      <w:bookmarkEnd w:id="251"/>
    </w:tbl>
    <w:p w14:paraId="008CD002">
      <w:pPr>
        <w:pStyle w:val="116"/>
        <w:spacing w:before="240"/>
        <w:rPr>
          <w:color w:val="000000" w:themeColor="text1"/>
          <w14:textFill>
            <w14:solidFill>
              <w14:schemeClr w14:val="tx1"/>
            </w14:solidFill>
          </w14:textFill>
        </w:rPr>
      </w:pPr>
      <w:bookmarkStart w:id="256" w:name="_Toc458669850"/>
      <w:bookmarkStart w:id="257" w:name="_Toc159405461"/>
      <w:bookmarkStart w:id="258" w:name="_Toc193912367"/>
      <w:bookmarkStart w:id="259" w:name="_Toc153957817"/>
      <w:r>
        <w:rPr>
          <w:color w:val="000000" w:themeColor="text1"/>
          <w14:textFill>
            <w14:solidFill>
              <w14:schemeClr w14:val="tx1"/>
            </w14:solidFill>
          </w14:textFill>
        </w:rPr>
        <w:t>工程</w:t>
      </w:r>
      <w:bookmarkEnd w:id="256"/>
      <w:r>
        <w:rPr>
          <w:rFonts w:hint="eastAsia"/>
          <w:color w:val="000000" w:themeColor="text1"/>
          <w14:textFill>
            <w14:solidFill>
              <w14:schemeClr w14:val="tx1"/>
            </w14:solidFill>
          </w14:textFill>
        </w:rPr>
        <w:t>建设方案</w:t>
      </w:r>
      <w:bookmarkEnd w:id="257"/>
      <w:bookmarkEnd w:id="258"/>
      <w:bookmarkEnd w:id="259"/>
    </w:p>
    <w:p w14:paraId="371E4BC2">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路线平面设计</w:t>
      </w:r>
    </w:p>
    <w:p w14:paraId="692E4A3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路线走向</w:t>
      </w:r>
    </w:p>
    <w:p w14:paraId="350F29AD">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本项目路线起于上迳镇牌边村，起点与G324平交，自东向西下穿福厦高铁（下穿段落已完工）后，新建桥梁跨越沈海高速，经溪北、木厝洋、三落厝后，终点至黄檗山万福寺，设置接线接入规划黄檗文化产业园。</w:t>
      </w:r>
    </w:p>
    <w:p w14:paraId="0089B5F1">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沿线主要控制点有：国防光缆、G324、福厦高铁、沈海高速、中海油LNG管道、拟建中石油LNG管道、基本农田（已预留走廊）、高压铁塔、沿线房屋、东张福渠、河道等。项目经过城镇（村庄）有：上迳镇、渔溪镇。</w:t>
      </w:r>
    </w:p>
    <w:p w14:paraId="00B3B186">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本项目所经路段主要河流：本项目所经区域水系主要为迳</w:t>
      </w:r>
      <w:r>
        <w:rPr>
          <w:rFonts w:hint="eastAsia"/>
          <w:color w:val="000000" w:themeColor="text1"/>
          <w:lang w:val="zh-CN"/>
          <w14:textFill>
            <w14:solidFill>
              <w14:schemeClr w14:val="tx1"/>
            </w14:solidFill>
          </w14:textFill>
        </w:rPr>
        <w:t>江</w:t>
      </w:r>
      <w:r>
        <w:rPr>
          <w:color w:val="000000" w:themeColor="text1"/>
          <w:lang w:val="zh-CN"/>
          <w14:textFill>
            <w14:solidFill>
              <w14:schemeClr w14:val="tx1"/>
            </w14:solidFill>
          </w14:textFill>
        </w:rPr>
        <w:t>。</w:t>
      </w:r>
    </w:p>
    <w:p w14:paraId="4053DC94">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本项目沿线主要道路：G324、侨丰路、枝钟路</w:t>
      </w:r>
      <w:r>
        <w:rPr>
          <w:rFonts w:hint="eastAsia"/>
          <w:color w:val="000000" w:themeColor="text1"/>
          <w:lang w:val="zh-CN"/>
          <w14:textFill>
            <w14:solidFill>
              <w14:schemeClr w14:val="tx1"/>
            </w14:solidFill>
          </w14:textFill>
        </w:rPr>
        <w:t>及其他</w:t>
      </w:r>
      <w:r>
        <w:rPr>
          <w:color w:val="000000" w:themeColor="text1"/>
          <w:lang w:val="zh-CN"/>
          <w14:textFill>
            <w14:solidFill>
              <w14:schemeClr w14:val="tx1"/>
            </w14:solidFill>
          </w14:textFill>
        </w:rPr>
        <w:t>村道等。</w:t>
      </w:r>
    </w:p>
    <w:p w14:paraId="71C63EF3">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本项目路线全长5.200km，其中主线5.110km，接线0.090km，均按双向二车道、路基宽度12m的二级公路标准建设。桥梁589.5m/2座（含终点接线桥37m/1座），涵洞28道，按设计速度60km/h、路基宽12m、双向二车道的二级公路标准建设。</w:t>
      </w:r>
    </w:p>
    <w:p w14:paraId="442009B0">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其中：K1+324.8~K1+389.8段已完成路面施工；K1+030~K1+324.8段防护工程已完工，本项目实施范围不含该段防护工程，仅实施路面、边沟及附属设施。</w:t>
      </w:r>
    </w:p>
    <w:p w14:paraId="2A801D38">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路线起终点论证</w:t>
      </w:r>
    </w:p>
    <w:p w14:paraId="719F188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起点：起点位于上迳镇，与现状国道G324平交。现状国道G324线为二级公路，设计速度60km/h，路基宽22m，沥青路面，双向四车道，起点交叉处为直线，道路纵坡1.2%，前后500m范围无交叉口，平纵指标满足设置交叉口要求；本项目为二级公路，设计速度60km/h，路基宽12m。本项目起点与G324平面交叉，起点方案合理可行。</w:t>
      </w:r>
    </w:p>
    <w:p w14:paraId="1951D3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终点：终点位于黄檗山万福寺，设置接线接入黄檗规划产业园。本项目为二级公路，设计速度 60km/h，路基宽 12m。本项目终点方案合理可行。</w:t>
      </w:r>
    </w:p>
    <w:p w14:paraId="1FE9344B">
      <w:pPr>
        <w:pStyle w:val="105"/>
        <w:spacing w:before="0" w:after="0"/>
        <w:ind w:left="-2" w:leftChars="-59" w:hanging="140" w:hangingChars="67"/>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999480" cy="4789805"/>
            <wp:effectExtent l="0" t="0" r="127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84" cstate="email"/>
                    <a:stretch>
                      <a:fillRect/>
                    </a:stretch>
                  </pic:blipFill>
                  <pic:spPr>
                    <a:xfrm>
                      <a:off x="0" y="0"/>
                      <a:ext cx="6017954" cy="4804946"/>
                    </a:xfrm>
                    <a:prstGeom prst="rect">
                      <a:avLst/>
                    </a:prstGeom>
                  </pic:spPr>
                </pic:pic>
              </a:graphicData>
            </a:graphic>
          </wp:inline>
        </w:drawing>
      </w:r>
    </w:p>
    <w:p w14:paraId="7C294E90">
      <w:pPr>
        <w:pStyle w:val="122"/>
        <w:rPr>
          <w:color w:val="000000" w:themeColor="text1"/>
          <w14:textFill>
            <w14:solidFill>
              <w14:schemeClr w14:val="tx1"/>
            </w14:solidFill>
          </w14:textFill>
        </w:rPr>
      </w:pPr>
      <w:r>
        <w:rPr>
          <w:rFonts w:hint="eastAsia"/>
          <w:color w:val="000000" w:themeColor="text1"/>
          <w14:textFill>
            <w14:solidFill>
              <w14:schemeClr w14:val="tx1"/>
            </w14:solidFill>
          </w14:textFill>
        </w:rPr>
        <w:t>起终点方案示意图</w:t>
      </w:r>
    </w:p>
    <w:p w14:paraId="0AC1C88C">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路线</w:t>
      </w:r>
      <w:r>
        <w:rPr>
          <w:color w:val="000000" w:themeColor="text1"/>
          <w14:textFill>
            <w14:solidFill>
              <w14:schemeClr w14:val="tx1"/>
            </w14:solidFill>
          </w14:textFill>
        </w:rPr>
        <w:t>纵断面</w:t>
      </w:r>
      <w:r>
        <w:rPr>
          <w:rFonts w:hint="eastAsia"/>
          <w:color w:val="000000" w:themeColor="text1"/>
          <w14:textFill>
            <w14:solidFill>
              <w14:schemeClr w14:val="tx1"/>
            </w14:solidFill>
          </w14:textFill>
        </w:rPr>
        <w:t>设计</w:t>
      </w:r>
    </w:p>
    <w:p w14:paraId="2BD8D25E">
      <w:pPr>
        <w:ind w:firstLine="480"/>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全线共设置12个处平曲线，最小半径260m，最大半径1520m，缓和曲线最小长度Ls-50m；路线共设置17处竖曲线，最大纵坡5.7%，最小纵坡0.3%，最短坡长30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lang w:val="zh-CN"/>
          <w14:textFill>
            <w14:solidFill>
              <w14:schemeClr w14:val="tx1"/>
            </w14:solidFill>
          </w14:textFill>
        </w:rPr>
        <w:t>（起点段），竖曲线最小半径凸形1700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lang w:val="zh-CN"/>
          <w14:textFill>
            <w14:solidFill>
              <w14:schemeClr w14:val="tx1"/>
            </w14:solidFill>
          </w14:textFill>
        </w:rPr>
        <w:t>，凹形1000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lang w:val="zh-CN"/>
          <w14:textFill>
            <w14:solidFill>
              <w14:schemeClr w14:val="tx1"/>
            </w14:solidFill>
          </w14:textFill>
        </w:rPr>
        <w:t>。</w:t>
      </w:r>
    </w:p>
    <w:p w14:paraId="40E3A996">
      <w:pPr>
        <w:ind w:firstLine="480"/>
        <w:rPr>
          <w:color w:val="000000" w:themeColor="text1"/>
          <w14:textFill>
            <w14:solidFill>
              <w14:schemeClr w14:val="tx1"/>
            </w14:solidFill>
          </w14:textFill>
        </w:rPr>
        <w:sectPr>
          <w:pgSz w:w="11910" w:h="16840"/>
          <w:pgMar w:top="1418" w:right="1418" w:bottom="1418" w:left="1418" w:header="851" w:footer="851" w:gutter="0"/>
          <w:cols w:space="720" w:num="1"/>
        </w:sectPr>
      </w:pPr>
    </w:p>
    <w:p w14:paraId="70B331B6">
      <w:pPr>
        <w:pStyle w:val="118"/>
        <w:rPr>
          <w:color w:val="000000" w:themeColor="text1"/>
          <w14:textFill>
            <w14:solidFill>
              <w14:schemeClr w14:val="tx1"/>
            </w14:solidFill>
          </w14:textFill>
        </w:rPr>
      </w:pPr>
      <w:bookmarkStart w:id="260" w:name="（1）路基总体方案"/>
      <w:bookmarkEnd w:id="260"/>
      <w:r>
        <w:rPr>
          <w:rFonts w:hint="eastAsia"/>
          <w:color w:val="000000" w:themeColor="text1"/>
          <w14:textFill>
            <w14:solidFill>
              <w14:schemeClr w14:val="tx1"/>
            </w14:solidFill>
          </w14:textFill>
        </w:rPr>
        <w:t>路基横断面设计</w:t>
      </w:r>
    </w:p>
    <w:p w14:paraId="585689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（1）路基设计标准</w:t>
      </w:r>
    </w:p>
    <w:p w14:paraId="13A579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二级公路，双向 2 车道；</w:t>
      </w:r>
    </w:p>
    <w:p w14:paraId="372917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设计速度：60 km/h；</w:t>
      </w:r>
    </w:p>
    <w:p w14:paraId="10290BB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路基宽度：12m；</w:t>
      </w:r>
    </w:p>
    <w:p w14:paraId="05D6ECA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路基设计洪水频率：1/50；</w:t>
      </w:r>
    </w:p>
    <w:p w14:paraId="599F99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设计荷载：公路－Ⅰ级；</w:t>
      </w:r>
    </w:p>
    <w:p w14:paraId="74F9B5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（2）路基横断面布设如下：</w:t>
      </w:r>
    </w:p>
    <w:p w14:paraId="03B99A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本项目路线路基宽度12.0m，路基断面</w:t>
      </w:r>
      <w:bookmarkStart w:id="261" w:name="hmcheck_470dba9f08c44af795f6af2fee0c5ddf"/>
      <w:r>
        <w:rPr>
          <w:rFonts w:hint="eastAsia"/>
          <w:color w:val="000000" w:themeColor="text1"/>
          <w:shd w:val="clear" w:fill="FFAFAA"/>
          <w14:textFill>
            <w14:solidFill>
              <w14:schemeClr w14:val="tx1"/>
            </w14:solidFill>
          </w14:textFill>
        </w:rPr>
        <w:t>型式</w:t>
      </w:r>
      <w:bookmarkEnd w:id="261"/>
      <w:r>
        <w:rPr>
          <w:rFonts w:hint="eastAsia"/>
          <w:color w:val="000000" w:themeColor="text1"/>
          <w14:textFill>
            <w14:solidFill>
              <w14:schemeClr w14:val="tx1"/>
            </w14:solidFill>
          </w14:textFill>
        </w:rPr>
        <w:t>为：0.75m土路肩+1.75m硬路肩+2×3.50m行车道+1.75m硬路肩+0.75m土路肩。</w:t>
      </w:r>
    </w:p>
    <w:p w14:paraId="59C1C2B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其中大埔大桥段：0.5 m（护栏）+0.75m（硬路肩）+2×3.5m（机动车道）+0.5m（路缘带）+1.0m（中央护栏）+0.5m（路缘带）+2×3.5m（机动车道）+0.75m（硬路肩）+0.5 m（护栏）</w:t>
      </w:r>
      <w:r>
        <w:rPr>
          <w:color w:val="000000" w:themeColor="text1"/>
          <w14:textFill>
            <w14:solidFill>
              <w14:schemeClr w14:val="tx1"/>
            </w14:solidFill>
          </w14:textFill>
        </w:rPr>
        <w:t>=18.5m</w:t>
      </w:r>
    </w:p>
    <w:p w14:paraId="317CED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（3）路面横坡</w:t>
      </w:r>
    </w:p>
    <w:p w14:paraId="2AB762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不设超高段行车道、路缘带及硬路肩采用 2.0%，正常路段及超高小等于 4%的路段土路肩以 4.0%横坡向外倾斜。当超高大于 4%位于曲线内侧的土路肩与路拱横坡一致。</w:t>
      </w:r>
    </w:p>
    <w:p w14:paraId="2FF30505">
      <w:pPr>
        <w:pStyle w:val="118"/>
        <w:rPr>
          <w:color w:val="000000" w:themeColor="text1"/>
          <w14:textFill>
            <w14:solidFill>
              <w14:schemeClr w14:val="tx1"/>
            </w14:solidFill>
          </w14:textFill>
        </w:rPr>
      </w:pPr>
      <w:bookmarkStart w:id="262" w:name="2.2.3路面工程"/>
      <w:bookmarkEnd w:id="262"/>
      <w:r>
        <w:rPr>
          <w:color w:val="000000" w:themeColor="text1"/>
          <w14:textFill>
            <w14:solidFill>
              <w14:schemeClr w14:val="tx1"/>
            </w14:solidFill>
          </w14:textFill>
        </w:rPr>
        <w:t>交叉工程</w:t>
      </w:r>
    </w:p>
    <w:p w14:paraId="523625A3">
      <w:pPr>
        <w:ind w:firstLine="480"/>
        <w:rPr>
          <w:rFonts w:cs="Times New Roman"/>
          <w:color w:val="000000" w:themeColor="text1"/>
          <w:spacing w:val="-15"/>
          <w:szCs w:val="24"/>
          <w14:textFill>
            <w14:solidFill>
              <w14:schemeClr w14:val="tx1"/>
            </w14:solidFill>
          </w14:textFill>
        </w:rPr>
      </w:pPr>
      <w:r>
        <w:rPr>
          <w:rFonts w:hint="eastAsia"/>
          <w:color w:val="000000" w:themeColor="text1"/>
          <w14:textFill>
            <w14:solidFill>
              <w14:schemeClr w14:val="tx1"/>
            </w14:solidFill>
          </w14:textFill>
        </w:rPr>
        <w:t>根据路线总体布局及地方路网及城镇规划，同时满足沿线交通量发展需求，本项目沿线与七条道路相交，其中</w:t>
      </w:r>
      <w:bookmarkStart w:id="263" w:name="hmcheck_3f0a2c77271642dfa5ea98e4d36d9c94"/>
      <w:r>
        <w:rPr>
          <w:rFonts w:hint="eastAsia"/>
          <w:color w:val="000000" w:themeColor="text1"/>
          <w:shd w:val="clear" w:fill="FFAFAA"/>
          <w14:textFill>
            <w14:solidFill>
              <w14:schemeClr w14:val="tx1"/>
            </w14:solidFill>
          </w14:textFill>
        </w:rPr>
        <w:t>十字型</w:t>
      </w:r>
      <w:bookmarkEnd w:id="263"/>
      <w:r>
        <w:rPr>
          <w:rFonts w:hint="eastAsia"/>
          <w:color w:val="000000" w:themeColor="text1"/>
          <w14:textFill>
            <w14:solidFill>
              <w14:schemeClr w14:val="tx1"/>
            </w14:solidFill>
          </w14:textFill>
        </w:rPr>
        <w:t>交叉的三条被交道路为沿线村道，T</w:t>
      </w:r>
      <w:bookmarkStart w:id="264" w:name="hmcheck_66054424191d467ebec3abef62c5403b"/>
      <w:r>
        <w:rPr>
          <w:rFonts w:hint="eastAsia"/>
          <w:color w:val="000000" w:themeColor="text1"/>
          <w:shd w:val="clear" w:fill="FFAFAA"/>
          <w14:textFill>
            <w14:solidFill>
              <w14:schemeClr w14:val="tx1"/>
            </w14:solidFill>
          </w14:textFill>
        </w:rPr>
        <w:t>字型</w:t>
      </w:r>
      <w:bookmarkEnd w:id="264"/>
      <w:r>
        <w:rPr>
          <w:rFonts w:hint="eastAsia"/>
          <w:color w:val="000000" w:themeColor="text1"/>
          <w14:textFill>
            <w14:solidFill>
              <w14:schemeClr w14:val="tx1"/>
            </w14:solidFill>
          </w14:textFill>
        </w:rPr>
        <w:t>交叉的四条为起点与国道G324（信号灯控制）终点与黄檗文化产业园规划路及另外两条村道（右进右出）。项目平面交叉共9处，分离式立体交叉4处</w:t>
      </w:r>
      <w:r>
        <w:rPr>
          <w:rFonts w:cs="Times New Roman"/>
          <w:color w:val="000000" w:themeColor="text1"/>
          <w:spacing w:val="-7"/>
          <w:szCs w:val="24"/>
          <w14:textFill>
            <w14:solidFill>
              <w14:schemeClr w14:val="tx1"/>
            </w14:solidFill>
          </w14:textFill>
        </w:rPr>
        <w:t>。本项目交叉工程设置详见</w:t>
      </w:r>
      <w:r>
        <w:rPr>
          <w:rFonts w:cs="Times New Roman"/>
          <w:color w:val="000000" w:themeColor="text1"/>
          <w:spacing w:val="-7"/>
          <w:szCs w:val="24"/>
          <w14:textFill>
            <w14:solidFill>
              <w14:schemeClr w14:val="tx1"/>
            </w14:solidFill>
          </w14:textFill>
        </w:rPr>
        <w:fldChar w:fldCharType="begin"/>
      </w:r>
      <w:r>
        <w:rPr>
          <w:rFonts w:cs="Times New Roman"/>
          <w:color w:val="000000" w:themeColor="text1"/>
          <w:spacing w:val="-7"/>
          <w:szCs w:val="24"/>
          <w14:textFill>
            <w14:solidFill>
              <w14:schemeClr w14:val="tx1"/>
            </w14:solidFill>
          </w14:textFill>
        </w:rPr>
        <w:instrText xml:space="preserve"> REF _Ref156225475 \r \h  \* MERGEFORMAT </w:instrText>
      </w:r>
      <w:r>
        <w:rPr>
          <w:rFonts w:cs="Times New Roman"/>
          <w:color w:val="000000" w:themeColor="text1"/>
          <w:spacing w:val="-7"/>
          <w:szCs w:val="24"/>
          <w14:textFill>
            <w14:solidFill>
              <w14:schemeClr w14:val="tx1"/>
            </w14:solidFill>
          </w14:textFill>
        </w:rPr>
        <w:fldChar w:fldCharType="separate"/>
      </w:r>
      <w:r>
        <w:rPr>
          <w:rFonts w:hint="eastAsia" w:cs="Times New Roman"/>
          <w:color w:val="000000" w:themeColor="text1"/>
          <w:spacing w:val="-7"/>
          <w:szCs w:val="24"/>
          <w14:textFill>
            <w14:solidFill>
              <w14:schemeClr w14:val="tx1"/>
            </w14:solidFill>
          </w14:textFill>
        </w:rPr>
        <w:t>表3.3-1</w:t>
      </w:r>
      <w:r>
        <w:rPr>
          <w:rFonts w:cs="Times New Roman"/>
          <w:color w:val="000000" w:themeColor="text1"/>
          <w:spacing w:val="-7"/>
          <w:szCs w:val="24"/>
          <w14:textFill>
            <w14:solidFill>
              <w14:schemeClr w14:val="tx1"/>
            </w14:solidFill>
          </w14:textFill>
        </w:rPr>
        <w:fldChar w:fldCharType="end"/>
      </w:r>
      <w:r>
        <w:rPr>
          <w:rFonts w:cs="Times New Roman"/>
          <w:color w:val="000000" w:themeColor="text1"/>
          <w:spacing w:val="-15"/>
          <w:szCs w:val="24"/>
          <w14:textFill>
            <w14:solidFill>
              <w14:schemeClr w14:val="tx1"/>
            </w14:solidFill>
          </w14:textFill>
        </w:rPr>
        <w:t>。</w:t>
      </w:r>
    </w:p>
    <w:p w14:paraId="4B7064DC">
      <w:pPr>
        <w:pStyle w:val="87"/>
        <w:spacing w:before="120"/>
        <w:rPr>
          <w:color w:val="000000" w:themeColor="text1"/>
          <w14:textFill>
            <w14:solidFill>
              <w14:schemeClr w14:val="tx1"/>
            </w14:solidFill>
          </w14:textFill>
        </w:rPr>
      </w:pPr>
      <w:bookmarkStart w:id="265" w:name="_Ref156225475"/>
      <w:r>
        <w:rPr>
          <w:color w:val="000000" w:themeColor="text1"/>
          <w14:textFill>
            <w14:solidFill>
              <w14:schemeClr w14:val="tx1"/>
            </w14:solidFill>
          </w14:textFill>
        </w:rPr>
        <w:t>本项目交叉工程设置情况一览表</w:t>
      </w:r>
      <w:bookmarkEnd w:id="265"/>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6"/>
        <w:gridCol w:w="1531"/>
        <w:gridCol w:w="1407"/>
        <w:gridCol w:w="1518"/>
        <w:gridCol w:w="2153"/>
        <w:gridCol w:w="1026"/>
        <w:gridCol w:w="1009"/>
      </w:tblGrid>
      <w:tr w14:paraId="246E1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348" w:type="pct"/>
            <w:vAlign w:val="center"/>
          </w:tcPr>
          <w:p w14:paraId="36072F61">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序号</w:t>
            </w:r>
          </w:p>
        </w:tc>
        <w:tc>
          <w:tcPr>
            <w:tcW w:w="824" w:type="pct"/>
            <w:vAlign w:val="center"/>
          </w:tcPr>
          <w:p w14:paraId="26BC5636">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交叉中心桩号</w:t>
            </w:r>
          </w:p>
        </w:tc>
        <w:tc>
          <w:tcPr>
            <w:tcW w:w="757" w:type="pct"/>
            <w:vAlign w:val="center"/>
          </w:tcPr>
          <w:p w14:paraId="70C9C554">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交叉角度</w:t>
            </w:r>
          </w:p>
        </w:tc>
        <w:tc>
          <w:tcPr>
            <w:tcW w:w="817" w:type="pct"/>
            <w:vAlign w:val="center"/>
          </w:tcPr>
          <w:p w14:paraId="382A297C">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被交道路名称</w:t>
            </w:r>
          </w:p>
        </w:tc>
        <w:tc>
          <w:tcPr>
            <w:tcW w:w="1159" w:type="pct"/>
            <w:vAlign w:val="center"/>
          </w:tcPr>
          <w:p w14:paraId="6238DEDD">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交叉</w:t>
            </w:r>
            <w:bookmarkStart w:id="266" w:name="hmcheck_2faa25c1141a4b6d98d5d88364d505c5"/>
            <w:r>
              <w:rPr>
                <w:rFonts w:hint="eastAsia"/>
                <w:snapToGrid w:val="0"/>
                <w:color w:val="000000" w:themeColor="text1"/>
                <w:sz w:val="18"/>
                <w:szCs w:val="22"/>
                <w:shd w:val="clear" w:fill="FFAFAA"/>
                <w14:textFill>
                  <w14:solidFill>
                    <w14:schemeClr w14:val="tx1"/>
                  </w14:solidFill>
                </w14:textFill>
              </w:rPr>
              <w:t>型式</w:t>
            </w:r>
            <w:bookmarkEnd w:id="266"/>
          </w:p>
        </w:tc>
        <w:tc>
          <w:tcPr>
            <w:tcW w:w="552" w:type="pct"/>
            <w:vAlign w:val="center"/>
          </w:tcPr>
          <w:p w14:paraId="42F06B06">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被交道路宽度（</w:t>
            </w:r>
            <w:r>
              <w:rPr>
                <w:snapToGrid w:val="0"/>
                <w:color w:val="000000" w:themeColor="text1"/>
                <w:sz w:val="18"/>
                <w:szCs w:val="22"/>
                <w14:textFill>
                  <w14:solidFill>
                    <w14:schemeClr w14:val="tx1"/>
                  </w14:solidFill>
                </w14:textFill>
              </w:rPr>
              <w:t>m</w:t>
            </w:r>
            <w:r>
              <w:rPr>
                <w:rFonts w:hint="eastAsia"/>
                <w:snapToGrid w:val="0"/>
                <w:color w:val="000000" w:themeColor="text1"/>
                <w:sz w:val="18"/>
                <w:szCs w:val="22"/>
                <w14:textFill>
                  <w14:solidFill>
                    <w14:schemeClr w14:val="tx1"/>
                  </w14:solidFill>
                </w14:textFill>
              </w:rPr>
              <w:t>）</w:t>
            </w:r>
          </w:p>
        </w:tc>
        <w:tc>
          <w:tcPr>
            <w:tcW w:w="543" w:type="pct"/>
            <w:vAlign w:val="center"/>
          </w:tcPr>
          <w:p w14:paraId="34E8F8B9">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被交道路等级</w:t>
            </w:r>
          </w:p>
        </w:tc>
      </w:tr>
      <w:tr w14:paraId="54B35F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348" w:type="pct"/>
            <w:vAlign w:val="center"/>
          </w:tcPr>
          <w:p w14:paraId="3BDD00AD">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1</w:t>
            </w:r>
          </w:p>
        </w:tc>
        <w:tc>
          <w:tcPr>
            <w:tcW w:w="824" w:type="pct"/>
            <w:vAlign w:val="center"/>
          </w:tcPr>
          <w:p w14:paraId="4D386CA9">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K0+000</w:t>
            </w:r>
          </w:p>
        </w:tc>
        <w:tc>
          <w:tcPr>
            <w:tcW w:w="757" w:type="pct"/>
            <w:vAlign w:val="center"/>
          </w:tcPr>
          <w:p w14:paraId="182422A1">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85° 47′8″</w:t>
            </w:r>
          </w:p>
        </w:tc>
        <w:tc>
          <w:tcPr>
            <w:tcW w:w="817" w:type="pct"/>
            <w:vAlign w:val="center"/>
          </w:tcPr>
          <w:p w14:paraId="1241D9CC">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G324</w:t>
            </w:r>
          </w:p>
        </w:tc>
        <w:tc>
          <w:tcPr>
            <w:tcW w:w="1159" w:type="pct"/>
            <w:vAlign w:val="center"/>
          </w:tcPr>
          <w:p w14:paraId="08F30D1B">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T</w:t>
            </w:r>
            <w:r>
              <w:rPr>
                <w:rFonts w:hint="eastAsia"/>
                <w:snapToGrid w:val="0"/>
                <w:color w:val="000000" w:themeColor="text1"/>
                <w:sz w:val="18"/>
                <w:szCs w:val="22"/>
                <w14:textFill>
                  <w14:solidFill>
                    <w14:schemeClr w14:val="tx1"/>
                  </w14:solidFill>
                </w14:textFill>
              </w:rPr>
              <w:t>型交叉（信号灯控制）</w:t>
            </w:r>
          </w:p>
        </w:tc>
        <w:tc>
          <w:tcPr>
            <w:tcW w:w="552" w:type="pct"/>
            <w:vAlign w:val="center"/>
          </w:tcPr>
          <w:p w14:paraId="624BBC79">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23.5</w:t>
            </w:r>
          </w:p>
        </w:tc>
        <w:tc>
          <w:tcPr>
            <w:tcW w:w="543" w:type="pct"/>
            <w:vAlign w:val="center"/>
          </w:tcPr>
          <w:p w14:paraId="703F2C0D">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二级公路</w:t>
            </w:r>
          </w:p>
        </w:tc>
      </w:tr>
      <w:tr w14:paraId="35E17B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8" w:type="pct"/>
            <w:vAlign w:val="center"/>
          </w:tcPr>
          <w:p w14:paraId="27FB201A">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2</w:t>
            </w:r>
          </w:p>
        </w:tc>
        <w:tc>
          <w:tcPr>
            <w:tcW w:w="824" w:type="pct"/>
            <w:vAlign w:val="center"/>
          </w:tcPr>
          <w:p w14:paraId="19CC37DB">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K1+539.810</w:t>
            </w:r>
          </w:p>
        </w:tc>
        <w:tc>
          <w:tcPr>
            <w:tcW w:w="757" w:type="pct"/>
            <w:vAlign w:val="center"/>
          </w:tcPr>
          <w:p w14:paraId="763C4AAB">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79° 27′59″</w:t>
            </w:r>
          </w:p>
        </w:tc>
        <w:tc>
          <w:tcPr>
            <w:tcW w:w="817" w:type="pct"/>
            <w:vAlign w:val="center"/>
          </w:tcPr>
          <w:p w14:paraId="1F8E5414">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村道</w:t>
            </w:r>
          </w:p>
        </w:tc>
        <w:tc>
          <w:tcPr>
            <w:tcW w:w="1159" w:type="pct"/>
            <w:vAlign w:val="center"/>
          </w:tcPr>
          <w:p w14:paraId="06DFFDA1">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T</w:t>
            </w:r>
            <w:r>
              <w:rPr>
                <w:rFonts w:hint="eastAsia"/>
                <w:snapToGrid w:val="0"/>
                <w:color w:val="000000" w:themeColor="text1"/>
                <w:sz w:val="18"/>
                <w:szCs w:val="22"/>
                <w14:textFill>
                  <w14:solidFill>
                    <w14:schemeClr w14:val="tx1"/>
                  </w14:solidFill>
                </w14:textFill>
              </w:rPr>
              <w:t>型交叉（右进右出）</w:t>
            </w:r>
          </w:p>
        </w:tc>
        <w:tc>
          <w:tcPr>
            <w:tcW w:w="552" w:type="pct"/>
            <w:vAlign w:val="center"/>
          </w:tcPr>
          <w:p w14:paraId="7FCAE830">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4.5</w:t>
            </w:r>
          </w:p>
        </w:tc>
        <w:tc>
          <w:tcPr>
            <w:tcW w:w="543" w:type="pct"/>
            <w:vAlign w:val="center"/>
          </w:tcPr>
          <w:p w14:paraId="63BCB472">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等外路</w:t>
            </w:r>
          </w:p>
        </w:tc>
      </w:tr>
      <w:tr w14:paraId="142553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348" w:type="pct"/>
            <w:vAlign w:val="center"/>
          </w:tcPr>
          <w:p w14:paraId="5C20209C">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3</w:t>
            </w:r>
          </w:p>
        </w:tc>
        <w:tc>
          <w:tcPr>
            <w:tcW w:w="824" w:type="pct"/>
            <w:vAlign w:val="center"/>
          </w:tcPr>
          <w:p w14:paraId="70EC4349">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K1+723.143</w:t>
            </w:r>
          </w:p>
        </w:tc>
        <w:tc>
          <w:tcPr>
            <w:tcW w:w="757" w:type="pct"/>
            <w:vAlign w:val="center"/>
          </w:tcPr>
          <w:p w14:paraId="5A22FC68">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72°23′48″</w:t>
            </w:r>
          </w:p>
        </w:tc>
        <w:tc>
          <w:tcPr>
            <w:tcW w:w="817" w:type="pct"/>
            <w:vAlign w:val="center"/>
          </w:tcPr>
          <w:p w14:paraId="6828615B">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侨丰路</w:t>
            </w:r>
          </w:p>
        </w:tc>
        <w:tc>
          <w:tcPr>
            <w:tcW w:w="1159" w:type="pct"/>
            <w:vAlign w:val="center"/>
          </w:tcPr>
          <w:p w14:paraId="425126E2">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十字交叉（信号灯控制）</w:t>
            </w:r>
          </w:p>
        </w:tc>
        <w:tc>
          <w:tcPr>
            <w:tcW w:w="552" w:type="pct"/>
            <w:vAlign w:val="center"/>
          </w:tcPr>
          <w:p w14:paraId="468E76DE">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8.5</w:t>
            </w:r>
          </w:p>
        </w:tc>
        <w:tc>
          <w:tcPr>
            <w:tcW w:w="543" w:type="pct"/>
            <w:vAlign w:val="center"/>
          </w:tcPr>
          <w:p w14:paraId="55E8018F">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四级公路</w:t>
            </w:r>
          </w:p>
        </w:tc>
      </w:tr>
      <w:tr w14:paraId="7320F5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8" w:type="pct"/>
            <w:vAlign w:val="center"/>
          </w:tcPr>
          <w:p w14:paraId="085FD21F">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4</w:t>
            </w:r>
          </w:p>
        </w:tc>
        <w:tc>
          <w:tcPr>
            <w:tcW w:w="824" w:type="pct"/>
            <w:vAlign w:val="center"/>
          </w:tcPr>
          <w:p w14:paraId="5898F6D1">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K2+590.700</w:t>
            </w:r>
          </w:p>
        </w:tc>
        <w:tc>
          <w:tcPr>
            <w:tcW w:w="757" w:type="pct"/>
            <w:vAlign w:val="center"/>
          </w:tcPr>
          <w:p w14:paraId="66F9087C">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54°4′8″</w:t>
            </w:r>
          </w:p>
        </w:tc>
        <w:tc>
          <w:tcPr>
            <w:tcW w:w="817" w:type="pct"/>
            <w:vAlign w:val="center"/>
          </w:tcPr>
          <w:p w14:paraId="565FB58A">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村道</w:t>
            </w:r>
          </w:p>
        </w:tc>
        <w:tc>
          <w:tcPr>
            <w:tcW w:w="1159" w:type="pct"/>
            <w:vAlign w:val="center"/>
          </w:tcPr>
          <w:p w14:paraId="2D2348F7">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十字交叉（右进右出）</w:t>
            </w:r>
          </w:p>
        </w:tc>
        <w:tc>
          <w:tcPr>
            <w:tcW w:w="552" w:type="pct"/>
            <w:vAlign w:val="center"/>
          </w:tcPr>
          <w:p w14:paraId="0F0860CC">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4.5</w:t>
            </w:r>
          </w:p>
        </w:tc>
        <w:tc>
          <w:tcPr>
            <w:tcW w:w="543" w:type="pct"/>
            <w:vAlign w:val="center"/>
          </w:tcPr>
          <w:p w14:paraId="52B096BC">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等外路</w:t>
            </w:r>
          </w:p>
        </w:tc>
      </w:tr>
      <w:tr w14:paraId="00ED9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348" w:type="pct"/>
            <w:vAlign w:val="center"/>
          </w:tcPr>
          <w:p w14:paraId="657E0419">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5</w:t>
            </w:r>
          </w:p>
        </w:tc>
        <w:tc>
          <w:tcPr>
            <w:tcW w:w="824" w:type="pct"/>
            <w:vAlign w:val="center"/>
          </w:tcPr>
          <w:p w14:paraId="0B154C85">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K2+885.112</w:t>
            </w:r>
          </w:p>
        </w:tc>
        <w:tc>
          <w:tcPr>
            <w:tcW w:w="757" w:type="pct"/>
            <w:vAlign w:val="center"/>
          </w:tcPr>
          <w:p w14:paraId="4ED49927">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42°21′25″</w:t>
            </w:r>
          </w:p>
        </w:tc>
        <w:tc>
          <w:tcPr>
            <w:tcW w:w="817" w:type="pct"/>
            <w:vAlign w:val="center"/>
          </w:tcPr>
          <w:p w14:paraId="39D9ED23">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村道</w:t>
            </w:r>
          </w:p>
        </w:tc>
        <w:tc>
          <w:tcPr>
            <w:tcW w:w="1159" w:type="pct"/>
            <w:vAlign w:val="center"/>
          </w:tcPr>
          <w:p w14:paraId="651D7CC9">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十字交叉（右进右出）</w:t>
            </w:r>
          </w:p>
        </w:tc>
        <w:tc>
          <w:tcPr>
            <w:tcW w:w="552" w:type="pct"/>
            <w:vAlign w:val="center"/>
          </w:tcPr>
          <w:p w14:paraId="14EAD494">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4.5</w:t>
            </w:r>
          </w:p>
        </w:tc>
        <w:tc>
          <w:tcPr>
            <w:tcW w:w="543" w:type="pct"/>
            <w:vAlign w:val="center"/>
          </w:tcPr>
          <w:p w14:paraId="47A4BC69">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等外路</w:t>
            </w:r>
          </w:p>
        </w:tc>
      </w:tr>
      <w:tr w14:paraId="5DF9EF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8" w:type="pct"/>
            <w:vAlign w:val="center"/>
          </w:tcPr>
          <w:p w14:paraId="496D2321">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6</w:t>
            </w:r>
          </w:p>
        </w:tc>
        <w:tc>
          <w:tcPr>
            <w:tcW w:w="824" w:type="pct"/>
            <w:vAlign w:val="center"/>
          </w:tcPr>
          <w:p w14:paraId="0A3D49F4">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K3+259.275</w:t>
            </w:r>
          </w:p>
        </w:tc>
        <w:tc>
          <w:tcPr>
            <w:tcW w:w="757" w:type="pct"/>
            <w:vAlign w:val="center"/>
          </w:tcPr>
          <w:p w14:paraId="1C78D0FE">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63° 15′57″</w:t>
            </w:r>
          </w:p>
        </w:tc>
        <w:tc>
          <w:tcPr>
            <w:tcW w:w="817" w:type="pct"/>
            <w:vAlign w:val="center"/>
          </w:tcPr>
          <w:p w14:paraId="2DA4ECC1">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枝钟路</w:t>
            </w:r>
          </w:p>
        </w:tc>
        <w:tc>
          <w:tcPr>
            <w:tcW w:w="1159" w:type="pct"/>
            <w:vAlign w:val="center"/>
          </w:tcPr>
          <w:p w14:paraId="0BAE602E">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十字交叉</w:t>
            </w:r>
          </w:p>
        </w:tc>
        <w:tc>
          <w:tcPr>
            <w:tcW w:w="552" w:type="pct"/>
            <w:vAlign w:val="center"/>
          </w:tcPr>
          <w:p w14:paraId="5EE3AF78">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8.5</w:t>
            </w:r>
          </w:p>
        </w:tc>
        <w:tc>
          <w:tcPr>
            <w:tcW w:w="543" w:type="pct"/>
            <w:vAlign w:val="center"/>
          </w:tcPr>
          <w:p w14:paraId="71BB32F4">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四级公路</w:t>
            </w:r>
          </w:p>
        </w:tc>
      </w:tr>
      <w:tr w14:paraId="119CAE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348" w:type="pct"/>
            <w:vAlign w:val="center"/>
          </w:tcPr>
          <w:p w14:paraId="0F45A72A">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7</w:t>
            </w:r>
          </w:p>
        </w:tc>
        <w:tc>
          <w:tcPr>
            <w:tcW w:w="824" w:type="pct"/>
            <w:vAlign w:val="center"/>
          </w:tcPr>
          <w:p w14:paraId="2CD50E6D">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K3+494.098</w:t>
            </w:r>
          </w:p>
        </w:tc>
        <w:tc>
          <w:tcPr>
            <w:tcW w:w="757" w:type="pct"/>
            <w:vAlign w:val="center"/>
          </w:tcPr>
          <w:p w14:paraId="111B3A83">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71°28′59″</w:t>
            </w:r>
          </w:p>
        </w:tc>
        <w:tc>
          <w:tcPr>
            <w:tcW w:w="817" w:type="pct"/>
            <w:vAlign w:val="center"/>
          </w:tcPr>
          <w:p w14:paraId="3B4F4549">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村道</w:t>
            </w:r>
          </w:p>
        </w:tc>
        <w:tc>
          <w:tcPr>
            <w:tcW w:w="1159" w:type="pct"/>
            <w:vAlign w:val="center"/>
          </w:tcPr>
          <w:p w14:paraId="7277FD45">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十字交叉（右进右出）</w:t>
            </w:r>
          </w:p>
        </w:tc>
        <w:tc>
          <w:tcPr>
            <w:tcW w:w="552" w:type="pct"/>
            <w:vAlign w:val="center"/>
          </w:tcPr>
          <w:p w14:paraId="5C0E6FA2">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4.5</w:t>
            </w:r>
          </w:p>
        </w:tc>
        <w:tc>
          <w:tcPr>
            <w:tcW w:w="543" w:type="pct"/>
            <w:vAlign w:val="center"/>
          </w:tcPr>
          <w:p w14:paraId="5EEF3E28">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等外路</w:t>
            </w:r>
          </w:p>
        </w:tc>
      </w:tr>
      <w:tr w14:paraId="1E4BDC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348" w:type="pct"/>
            <w:vAlign w:val="center"/>
          </w:tcPr>
          <w:p w14:paraId="036FD0FF">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8</w:t>
            </w:r>
          </w:p>
        </w:tc>
        <w:tc>
          <w:tcPr>
            <w:tcW w:w="824" w:type="pct"/>
            <w:vAlign w:val="center"/>
          </w:tcPr>
          <w:p w14:paraId="0BF1F51F">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K3+667.734</w:t>
            </w:r>
          </w:p>
        </w:tc>
        <w:tc>
          <w:tcPr>
            <w:tcW w:w="757" w:type="pct"/>
            <w:vAlign w:val="center"/>
          </w:tcPr>
          <w:p w14:paraId="41239827">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79°3′26″</w:t>
            </w:r>
          </w:p>
        </w:tc>
        <w:tc>
          <w:tcPr>
            <w:tcW w:w="817" w:type="pct"/>
            <w:vAlign w:val="center"/>
          </w:tcPr>
          <w:p w14:paraId="1F2F8426">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村道</w:t>
            </w:r>
          </w:p>
        </w:tc>
        <w:tc>
          <w:tcPr>
            <w:tcW w:w="1159" w:type="pct"/>
            <w:vAlign w:val="center"/>
          </w:tcPr>
          <w:p w14:paraId="5B4955AF">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T</w:t>
            </w:r>
            <w:r>
              <w:rPr>
                <w:rFonts w:hint="eastAsia"/>
                <w:snapToGrid w:val="0"/>
                <w:color w:val="000000" w:themeColor="text1"/>
                <w:sz w:val="18"/>
                <w:szCs w:val="22"/>
                <w14:textFill>
                  <w14:solidFill>
                    <w14:schemeClr w14:val="tx1"/>
                  </w14:solidFill>
                </w14:textFill>
              </w:rPr>
              <w:t>型交叉（右进右出）</w:t>
            </w:r>
          </w:p>
        </w:tc>
        <w:tc>
          <w:tcPr>
            <w:tcW w:w="552" w:type="pct"/>
            <w:vAlign w:val="center"/>
          </w:tcPr>
          <w:p w14:paraId="7555B1D7">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4.5</w:t>
            </w:r>
          </w:p>
        </w:tc>
        <w:tc>
          <w:tcPr>
            <w:tcW w:w="543" w:type="pct"/>
            <w:vAlign w:val="center"/>
          </w:tcPr>
          <w:p w14:paraId="2802E55F">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等外路</w:t>
            </w:r>
          </w:p>
        </w:tc>
      </w:tr>
      <w:tr w14:paraId="50527C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348" w:type="pct"/>
            <w:vAlign w:val="center"/>
          </w:tcPr>
          <w:p w14:paraId="37A4AD23">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9</w:t>
            </w:r>
          </w:p>
        </w:tc>
        <w:tc>
          <w:tcPr>
            <w:tcW w:w="824" w:type="pct"/>
            <w:vAlign w:val="center"/>
          </w:tcPr>
          <w:p w14:paraId="594E208D">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K5+110</w:t>
            </w:r>
          </w:p>
        </w:tc>
        <w:tc>
          <w:tcPr>
            <w:tcW w:w="757" w:type="pct"/>
            <w:vAlign w:val="center"/>
          </w:tcPr>
          <w:p w14:paraId="202095E7">
            <w:pPr>
              <w:pStyle w:val="105"/>
              <w:spacing w:before="0" w:after="0"/>
              <w:jc w:val="center"/>
              <w:rPr>
                <w:rFonts w:cs="Times New Roman"/>
                <w:snapToGrid w:val="0"/>
                <w:color w:val="000000" w:themeColor="text1"/>
                <w:sz w:val="18"/>
                <w:szCs w:val="22"/>
                <w14:textFill>
                  <w14:solidFill>
                    <w14:schemeClr w14:val="tx1"/>
                  </w14:solidFill>
                </w14:textFill>
              </w:rPr>
            </w:pPr>
            <w:r>
              <w:rPr>
                <w:rFonts w:cs="Times New Roman"/>
                <w:snapToGrid w:val="0"/>
                <w:color w:val="000000" w:themeColor="text1"/>
                <w:sz w:val="18"/>
                <w:szCs w:val="22"/>
                <w14:textFill>
                  <w14:solidFill>
                    <w14:schemeClr w14:val="tx1"/>
                  </w14:solidFill>
                </w14:textFill>
              </w:rPr>
              <w:t>64°20′36″</w:t>
            </w:r>
          </w:p>
        </w:tc>
        <w:tc>
          <w:tcPr>
            <w:tcW w:w="817" w:type="pct"/>
            <w:vAlign w:val="center"/>
          </w:tcPr>
          <w:p w14:paraId="6E6F2ABB">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黄檗文化产业园规划路</w:t>
            </w:r>
          </w:p>
        </w:tc>
        <w:tc>
          <w:tcPr>
            <w:tcW w:w="1159" w:type="pct"/>
            <w:vAlign w:val="center"/>
          </w:tcPr>
          <w:p w14:paraId="6B5FA95A">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T</w:t>
            </w:r>
            <w:r>
              <w:rPr>
                <w:rFonts w:hint="eastAsia"/>
                <w:snapToGrid w:val="0"/>
                <w:color w:val="000000" w:themeColor="text1"/>
                <w:sz w:val="18"/>
                <w:szCs w:val="22"/>
                <w14:textFill>
                  <w14:solidFill>
                    <w14:schemeClr w14:val="tx1"/>
                  </w14:solidFill>
                </w14:textFill>
              </w:rPr>
              <w:t>型交叉</w:t>
            </w:r>
          </w:p>
        </w:tc>
        <w:tc>
          <w:tcPr>
            <w:tcW w:w="552" w:type="pct"/>
            <w:vAlign w:val="center"/>
          </w:tcPr>
          <w:p w14:paraId="3E0CCD54">
            <w:pPr>
              <w:pStyle w:val="105"/>
              <w:spacing w:before="0" w:after="0"/>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12</w:t>
            </w:r>
          </w:p>
        </w:tc>
        <w:tc>
          <w:tcPr>
            <w:tcW w:w="543" w:type="pct"/>
            <w:vAlign w:val="center"/>
          </w:tcPr>
          <w:p w14:paraId="70EA961A">
            <w:pPr>
              <w:pStyle w:val="105"/>
              <w:spacing w:before="0" w:after="0"/>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规划支路</w:t>
            </w:r>
          </w:p>
        </w:tc>
      </w:tr>
    </w:tbl>
    <w:p w14:paraId="78067D8A">
      <w:pPr>
        <w:pStyle w:val="87"/>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分离式立体交叉</w:t>
      </w:r>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9"/>
        <w:gridCol w:w="1362"/>
        <w:gridCol w:w="1161"/>
        <w:gridCol w:w="1838"/>
        <w:gridCol w:w="1711"/>
        <w:gridCol w:w="2529"/>
      </w:tblGrid>
      <w:tr w14:paraId="281874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vAlign w:val="center"/>
          </w:tcPr>
          <w:p w14:paraId="07659C1D">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序号</w:t>
            </w:r>
          </w:p>
        </w:tc>
        <w:tc>
          <w:tcPr>
            <w:tcW w:w="733" w:type="pct"/>
            <w:vAlign w:val="center"/>
          </w:tcPr>
          <w:p w14:paraId="3C6A555F">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交叉中心桩号</w:t>
            </w:r>
          </w:p>
        </w:tc>
        <w:tc>
          <w:tcPr>
            <w:tcW w:w="625" w:type="pct"/>
            <w:vAlign w:val="center"/>
          </w:tcPr>
          <w:p w14:paraId="269ED2BF">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交叉角度</w:t>
            </w:r>
          </w:p>
        </w:tc>
        <w:tc>
          <w:tcPr>
            <w:tcW w:w="989" w:type="pct"/>
            <w:vAlign w:val="center"/>
          </w:tcPr>
          <w:p w14:paraId="6B0476A2">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被交路（构造物）名称</w:t>
            </w:r>
          </w:p>
        </w:tc>
        <w:tc>
          <w:tcPr>
            <w:tcW w:w="921" w:type="pct"/>
            <w:vAlign w:val="center"/>
          </w:tcPr>
          <w:p w14:paraId="07662BD8">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交叉</w:t>
            </w:r>
            <w:r>
              <w:rPr>
                <w:rFonts w:hint="eastAsia" w:cs="Times New Roman"/>
                <w:snapToGrid w:val="0"/>
                <w:color w:val="000000" w:themeColor="text1"/>
                <w:sz w:val="18"/>
                <w:szCs w:val="18"/>
                <w14:textFill>
                  <w14:solidFill>
                    <w14:schemeClr w14:val="tx1"/>
                  </w14:solidFill>
                </w14:textFill>
              </w:rPr>
              <w:t>形式</w:t>
            </w:r>
          </w:p>
        </w:tc>
        <w:tc>
          <w:tcPr>
            <w:tcW w:w="1361" w:type="pct"/>
            <w:vAlign w:val="center"/>
          </w:tcPr>
          <w:p w14:paraId="65741CAD">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备注</w:t>
            </w:r>
          </w:p>
        </w:tc>
      </w:tr>
      <w:tr w14:paraId="1C5A5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vAlign w:val="center"/>
          </w:tcPr>
          <w:p w14:paraId="6D422357">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1</w:t>
            </w:r>
          </w:p>
        </w:tc>
        <w:tc>
          <w:tcPr>
            <w:tcW w:w="733" w:type="pct"/>
            <w:vAlign w:val="center"/>
          </w:tcPr>
          <w:p w14:paraId="120A3A90">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K0+412</w:t>
            </w:r>
          </w:p>
        </w:tc>
        <w:tc>
          <w:tcPr>
            <w:tcW w:w="625" w:type="pct"/>
            <w:vAlign w:val="center"/>
          </w:tcPr>
          <w:p w14:paraId="1B7B8105">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84</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35</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33"</w:t>
            </w:r>
          </w:p>
        </w:tc>
        <w:tc>
          <w:tcPr>
            <w:tcW w:w="989" w:type="pct"/>
            <w:vAlign w:val="center"/>
          </w:tcPr>
          <w:p w14:paraId="2F8A91E2">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渡槽</w:t>
            </w:r>
          </w:p>
        </w:tc>
        <w:tc>
          <w:tcPr>
            <w:tcW w:w="921" w:type="pct"/>
            <w:vAlign w:val="center"/>
          </w:tcPr>
          <w:p w14:paraId="0BE5E91D">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分离式立体交叉</w:t>
            </w:r>
          </w:p>
        </w:tc>
        <w:tc>
          <w:tcPr>
            <w:tcW w:w="1361" w:type="pct"/>
            <w:vAlign w:val="center"/>
          </w:tcPr>
          <w:p w14:paraId="23AE78D7">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主线下穿</w:t>
            </w:r>
          </w:p>
        </w:tc>
      </w:tr>
      <w:tr w14:paraId="2A4DB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vAlign w:val="center"/>
          </w:tcPr>
          <w:p w14:paraId="0D4693FF">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2</w:t>
            </w:r>
          </w:p>
        </w:tc>
        <w:tc>
          <w:tcPr>
            <w:tcW w:w="733" w:type="pct"/>
            <w:vAlign w:val="center"/>
          </w:tcPr>
          <w:p w14:paraId="2D6DF782">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K0+782</w:t>
            </w:r>
          </w:p>
        </w:tc>
        <w:tc>
          <w:tcPr>
            <w:tcW w:w="625" w:type="pct"/>
            <w:vAlign w:val="center"/>
          </w:tcPr>
          <w:p w14:paraId="5BD8EAFB">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67</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 xml:space="preserve"> 0</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0"</w:t>
            </w:r>
          </w:p>
        </w:tc>
        <w:tc>
          <w:tcPr>
            <w:tcW w:w="989" w:type="pct"/>
            <w:vAlign w:val="center"/>
          </w:tcPr>
          <w:p w14:paraId="0C42B1BB">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改路2</w:t>
            </w:r>
          </w:p>
        </w:tc>
        <w:tc>
          <w:tcPr>
            <w:tcW w:w="921" w:type="pct"/>
            <w:vAlign w:val="center"/>
          </w:tcPr>
          <w:p w14:paraId="4C359E0D">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分离式立体交叉</w:t>
            </w:r>
          </w:p>
        </w:tc>
        <w:tc>
          <w:tcPr>
            <w:tcW w:w="1361" w:type="pct"/>
            <w:vAlign w:val="center"/>
          </w:tcPr>
          <w:p w14:paraId="5C08D7C9">
            <w:pPr>
              <w:pStyle w:val="105"/>
              <w:jc w:val="center"/>
              <w:rPr>
                <w:rFonts w:cs="Times New Roman"/>
                <w:snapToGrid w:val="0"/>
                <w:color w:val="000000" w:themeColor="text1"/>
                <w:sz w:val="18"/>
                <w:szCs w:val="18"/>
                <w14:textFill>
                  <w14:solidFill>
                    <w14:schemeClr w14:val="tx1"/>
                  </w14:solidFill>
                </w14:textFill>
              </w:rPr>
            </w:pPr>
            <w:r>
              <w:rPr>
                <w:rFonts w:hint="eastAsia" w:cs="Times New Roman"/>
                <w:snapToGrid w:val="0"/>
                <w:color w:val="000000" w:themeColor="text1"/>
                <w:sz w:val="18"/>
                <w:szCs w:val="18"/>
                <w14:textFill>
                  <w14:solidFill>
                    <w14:schemeClr w14:val="tx1"/>
                  </w14:solidFill>
                </w14:textFill>
              </w:rPr>
              <w:t>改路</w:t>
            </w:r>
            <w:r>
              <w:rPr>
                <w:rFonts w:cs="Times New Roman"/>
                <w:snapToGrid w:val="0"/>
                <w:color w:val="000000" w:themeColor="text1"/>
                <w:sz w:val="18"/>
                <w:szCs w:val="18"/>
                <w14:textFill>
                  <w14:solidFill>
                    <w14:schemeClr w14:val="tx1"/>
                  </w14:solidFill>
                </w14:textFill>
              </w:rPr>
              <w:t>2通道下穿</w:t>
            </w:r>
          </w:p>
        </w:tc>
      </w:tr>
      <w:tr w14:paraId="58AA91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vAlign w:val="center"/>
          </w:tcPr>
          <w:p w14:paraId="1A45A113">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3</w:t>
            </w:r>
          </w:p>
        </w:tc>
        <w:tc>
          <w:tcPr>
            <w:tcW w:w="733" w:type="pct"/>
            <w:vAlign w:val="center"/>
          </w:tcPr>
          <w:p w14:paraId="599CBA9C">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K1+354</w:t>
            </w:r>
          </w:p>
        </w:tc>
        <w:tc>
          <w:tcPr>
            <w:tcW w:w="625" w:type="pct"/>
            <w:vAlign w:val="center"/>
          </w:tcPr>
          <w:p w14:paraId="4DBC6A02">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68</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57</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46"</w:t>
            </w:r>
          </w:p>
        </w:tc>
        <w:tc>
          <w:tcPr>
            <w:tcW w:w="989" w:type="pct"/>
            <w:vAlign w:val="center"/>
          </w:tcPr>
          <w:p w14:paraId="2C89DCE8">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福厦高铁</w:t>
            </w:r>
          </w:p>
        </w:tc>
        <w:tc>
          <w:tcPr>
            <w:tcW w:w="921" w:type="pct"/>
            <w:vAlign w:val="center"/>
          </w:tcPr>
          <w:p w14:paraId="3E883D02">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分离式立体交叉</w:t>
            </w:r>
          </w:p>
        </w:tc>
        <w:tc>
          <w:tcPr>
            <w:tcW w:w="1361" w:type="pct"/>
            <w:vAlign w:val="center"/>
          </w:tcPr>
          <w:p w14:paraId="360924A8">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主线下穿，未含在本项目</w:t>
            </w:r>
            <w:r>
              <w:rPr>
                <w:rFonts w:hint="eastAsia" w:cs="Times New Roman"/>
                <w:snapToGrid w:val="0"/>
                <w:color w:val="000000" w:themeColor="text1"/>
                <w:sz w:val="18"/>
                <w:szCs w:val="18"/>
                <w14:textFill>
                  <w14:solidFill>
                    <w14:schemeClr w14:val="tx1"/>
                  </w14:solidFill>
                </w14:textFill>
              </w:rPr>
              <w:t>（已单独设计、环评）</w:t>
            </w:r>
          </w:p>
        </w:tc>
      </w:tr>
      <w:tr w14:paraId="0497FA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1" w:type="pct"/>
            <w:vAlign w:val="center"/>
          </w:tcPr>
          <w:p w14:paraId="731D5183">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4</w:t>
            </w:r>
          </w:p>
        </w:tc>
        <w:tc>
          <w:tcPr>
            <w:tcW w:w="733" w:type="pct"/>
            <w:vAlign w:val="center"/>
          </w:tcPr>
          <w:p w14:paraId="1653AD93">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K2+220.5</w:t>
            </w:r>
          </w:p>
        </w:tc>
        <w:tc>
          <w:tcPr>
            <w:tcW w:w="625" w:type="pct"/>
            <w:vAlign w:val="center"/>
          </w:tcPr>
          <w:p w14:paraId="21896ECF">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88</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24</w:t>
            </w:r>
            <w:r>
              <w:rPr>
                <w:rFonts w:cs="Times New Roman"/>
                <w:snapToGrid w:val="0"/>
                <w:color w:val="000000" w:themeColor="text1"/>
                <w:sz w:val="18"/>
                <w:szCs w:val="22"/>
                <w14:textFill>
                  <w14:solidFill>
                    <w14:schemeClr w14:val="tx1"/>
                  </w14:solidFill>
                </w14:textFill>
              </w:rPr>
              <w:t>′</w:t>
            </w:r>
            <w:r>
              <w:rPr>
                <w:rFonts w:cs="Times New Roman"/>
                <w:snapToGrid w:val="0"/>
                <w:color w:val="000000" w:themeColor="text1"/>
                <w:sz w:val="18"/>
                <w:szCs w:val="18"/>
                <w14:textFill>
                  <w14:solidFill>
                    <w14:schemeClr w14:val="tx1"/>
                  </w14:solidFill>
                </w14:textFill>
              </w:rPr>
              <w:t>2"</w:t>
            </w:r>
          </w:p>
        </w:tc>
        <w:tc>
          <w:tcPr>
            <w:tcW w:w="989" w:type="pct"/>
            <w:vAlign w:val="center"/>
          </w:tcPr>
          <w:p w14:paraId="41F1787A">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沈海高速</w:t>
            </w:r>
          </w:p>
        </w:tc>
        <w:tc>
          <w:tcPr>
            <w:tcW w:w="921" w:type="pct"/>
            <w:vAlign w:val="center"/>
          </w:tcPr>
          <w:p w14:paraId="081535EC">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分离式立体交叉</w:t>
            </w:r>
          </w:p>
        </w:tc>
        <w:tc>
          <w:tcPr>
            <w:tcW w:w="1361" w:type="pct"/>
            <w:vAlign w:val="center"/>
          </w:tcPr>
          <w:p w14:paraId="52FF9D37">
            <w:pPr>
              <w:pStyle w:val="105"/>
              <w:jc w:val="center"/>
              <w:rPr>
                <w:rFonts w:cs="Times New Roman"/>
                <w:snapToGrid w:val="0"/>
                <w:color w:val="000000" w:themeColor="text1"/>
                <w:sz w:val="18"/>
                <w:szCs w:val="18"/>
                <w14:textFill>
                  <w14:solidFill>
                    <w14:schemeClr w14:val="tx1"/>
                  </w14:solidFill>
                </w14:textFill>
              </w:rPr>
            </w:pPr>
            <w:r>
              <w:rPr>
                <w:rFonts w:cs="Times New Roman"/>
                <w:snapToGrid w:val="0"/>
                <w:color w:val="000000" w:themeColor="text1"/>
                <w:sz w:val="18"/>
                <w:szCs w:val="18"/>
                <w14:textFill>
                  <w14:solidFill>
                    <w14:schemeClr w14:val="tx1"/>
                  </w14:solidFill>
                </w14:textFill>
              </w:rPr>
              <w:t>主线上跨</w:t>
            </w:r>
          </w:p>
        </w:tc>
      </w:tr>
    </w:tbl>
    <w:p w14:paraId="759A0C03">
      <w:pPr>
        <w:pStyle w:val="120"/>
        <w:spacing w:before="24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路基、路面工程设计</w:t>
      </w:r>
    </w:p>
    <w:p w14:paraId="1E1DD5FE">
      <w:pPr>
        <w:pStyle w:val="118"/>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路面工程</w:t>
      </w:r>
    </w:p>
    <w:p w14:paraId="69C0B6C0">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机动车道路路面结构采用：4cm AC-13C 细粒式改性沥青混凝土+6cm AC-20C 中粒式改性沥青混凝土+10cm 密级配沥青稳定碎石上基层（ATB-25）+15cm 级配碎石下基层+1cm 热沥青表处下封层+30cm 5%水泥稳定碎石底基层。</w:t>
      </w:r>
    </w:p>
    <w:p w14:paraId="1BC1C0A2">
      <w:pPr>
        <w:pStyle w:val="118"/>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一般路基设计</w:t>
      </w:r>
    </w:p>
    <w:p w14:paraId="55CB563C">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（1）地基表层处理</w:t>
      </w:r>
    </w:p>
    <w:p w14:paraId="23B1DA50">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①稳定斜坡上，地面横坡为1:5～1:2.5的土质地段，应先清除表层土（水田段厚0.3m，一般路段厚0.2m）后，再挖台阶，台阶宽度≥2.0m，阶面向内倾斜4%。当开挖台阶尺寸有特殊设计要求时，应按设计要求开挖台阶。</w:t>
      </w:r>
    </w:p>
    <w:p w14:paraId="4200DB6B">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②对地面横坡为1:5～1:2.5且基岩面上的覆盖层较薄的石方地段，应先清除覆盖层后再挖台阶，当基岩面覆盖较厚且稳定时，可予保留。</w:t>
      </w:r>
    </w:p>
    <w:p w14:paraId="712F3B57">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w:t>
      </w:r>
      <w:r>
        <w:rPr>
          <w:rFonts w:cs="Times New Roman"/>
          <w:color w:val="000000" w:themeColor="text1"/>
          <w:szCs w:val="24"/>
          <w:lang w:val="zh-CN"/>
          <w14:textFill>
            <w14:solidFill>
              <w14:schemeClr w14:val="tx1"/>
            </w14:solidFill>
          </w14:textFill>
        </w:rPr>
        <w:t>2</w:t>
      </w:r>
      <w:r>
        <w:rPr>
          <w:rFonts w:hint="eastAsia" w:cs="Times New Roman"/>
          <w:color w:val="000000" w:themeColor="text1"/>
          <w:szCs w:val="24"/>
          <w:lang w:val="zh-CN"/>
          <w14:textFill>
            <w14:solidFill>
              <w14:schemeClr w14:val="tx1"/>
            </w14:solidFill>
          </w14:textFill>
        </w:rPr>
        <w:t>）路堤边坡</w:t>
      </w:r>
    </w:p>
    <w:p w14:paraId="247BED23">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本项目填土路基均小于8m，护坡道按1.0m宽度设置。填筑路基时，路基宽度在两侧各加宽填筑50cm，使其压实大于路堤设计宽度，以保证路堤X边缘的压实度，削坡后有效的断面尺寸应符合路基设计宽度。纵横向半填半挖的路段，在距路面150cm处填筑30cm级配碎石垫层内布设φ8mm的钢筋网，间距20×20cm。</w:t>
      </w:r>
    </w:p>
    <w:p w14:paraId="28E8E1E2">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当边坡原地面较陡或者有重要构造物干扰时，采用挡土墙、护肩或护脚处理。</w:t>
      </w:r>
    </w:p>
    <w:p w14:paraId="5572F4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（3）路堑边坡</w:t>
      </w:r>
    </w:p>
    <w:p w14:paraId="01AC9B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土质边坡采用1:0.75～1:1.5，石质边坡采用1:0.</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p>
    <w:p w14:paraId="63A0D21D">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不良路基</w:t>
      </w:r>
    </w:p>
    <w:p w14:paraId="49E9F631">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①</w:t>
      </w:r>
      <w:r>
        <w:rPr>
          <w:rFonts w:cs="Times New Roman"/>
          <w:color w:val="000000" w:themeColor="text1"/>
          <w:kern w:val="0"/>
          <w:szCs w:val="24"/>
          <w:lang w:val="zh-CN"/>
          <w14:textFill>
            <w14:solidFill>
              <w14:schemeClr w14:val="tx1"/>
            </w14:solidFill>
          </w14:textFill>
        </w:rPr>
        <w:t>山坳水田处不良地基处理：山坳水田路段，地表土质湿软，在填筑前，应先进行开沟、拦截、引排地表水和地下水，</w:t>
      </w:r>
      <w:bookmarkStart w:id="267" w:name="hmcheck_f1a920f71f2147c7ac68c2b5d024ae43"/>
      <w:r>
        <w:rPr>
          <w:rFonts w:cs="Times New Roman"/>
          <w:color w:val="000000" w:themeColor="text1"/>
          <w:kern w:val="0"/>
          <w:szCs w:val="24"/>
          <w:shd w:val="clear" w:fill="FFAFAA"/>
          <w:lang w:val="zh-CN"/>
          <w14:textFill>
            <w14:solidFill>
              <w14:schemeClr w14:val="tx1"/>
            </w14:solidFill>
          </w14:textFill>
        </w:rPr>
        <w:t>疏干</w:t>
      </w:r>
      <w:bookmarkEnd w:id="267"/>
      <w:r>
        <w:rPr>
          <w:rFonts w:cs="Times New Roman"/>
          <w:color w:val="000000" w:themeColor="text1"/>
          <w:kern w:val="0"/>
          <w:szCs w:val="24"/>
          <w:lang w:val="zh-CN"/>
          <w14:textFill>
            <w14:solidFill>
              <w14:schemeClr w14:val="tx1"/>
            </w14:solidFill>
          </w14:textFill>
        </w:rPr>
        <w:t>和</w:t>
      </w:r>
      <w:r>
        <w:rPr>
          <w:rFonts w:hint="eastAsia" w:cs="Times New Roman"/>
          <w:color w:val="000000" w:themeColor="text1"/>
          <w:kern w:val="0"/>
          <w:szCs w:val="24"/>
          <w:lang w:val="zh-CN"/>
          <w14:textFill>
            <w14:solidFill>
              <w14:schemeClr w14:val="tx1"/>
            </w14:solidFill>
          </w14:textFill>
        </w:rPr>
        <w:t>晾晒</w:t>
      </w:r>
      <w:r>
        <w:rPr>
          <w:rFonts w:cs="Times New Roman"/>
          <w:color w:val="000000" w:themeColor="text1"/>
          <w:kern w:val="0"/>
          <w:szCs w:val="24"/>
          <w:lang w:val="zh-CN"/>
          <w14:textFill>
            <w14:solidFill>
              <w14:schemeClr w14:val="tx1"/>
            </w14:solidFill>
          </w14:textFill>
        </w:rPr>
        <w:t>后进行填前压实及路堤填筑。因引排有困难路段应增设积水坑，并定期将积水坑内水抽取，使之有良好的地基施工场地。最后进行填筑前压实或换填。视现场地质水文情况，采取如下处理措施：</w:t>
      </w:r>
    </w:p>
    <w:p w14:paraId="35CF2AAE">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A、</w:t>
      </w:r>
      <w:r>
        <w:rPr>
          <w:rFonts w:cs="Times New Roman"/>
          <w:color w:val="000000" w:themeColor="text1"/>
          <w:kern w:val="0"/>
          <w:szCs w:val="24"/>
          <w:lang w:val="zh-CN"/>
          <w14:textFill>
            <w14:solidFill>
              <w14:schemeClr w14:val="tx1"/>
            </w14:solidFill>
          </w14:textFill>
        </w:rPr>
        <w:t>采用碎石盲沟或渗沟排水。</w:t>
      </w:r>
    </w:p>
    <w:p w14:paraId="692EF6F8">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B、</w:t>
      </w:r>
      <w:r>
        <w:rPr>
          <w:rFonts w:cs="Times New Roman"/>
          <w:color w:val="000000" w:themeColor="text1"/>
          <w:kern w:val="0"/>
          <w:szCs w:val="24"/>
          <w:lang w:val="zh-CN"/>
          <w14:textFill>
            <w14:solidFill>
              <w14:schemeClr w14:val="tx1"/>
            </w14:solidFill>
          </w14:textFill>
        </w:rPr>
        <w:t>根据路基稳定和工后沉降情况采用换填透水性材料或设砂垫层处理。一般换填深度控制在3m以内。局部小范围区域换填深度可加深处理。</w:t>
      </w:r>
    </w:p>
    <w:p w14:paraId="42D60860">
      <w:pPr>
        <w:ind w:firstLine="480"/>
        <w:rPr>
          <w:rFonts w:cs="Times New Roman"/>
          <w:color w:val="000000" w:themeColor="text1"/>
          <w:kern w:val="0"/>
          <w:szCs w:val="24"/>
          <w:lang w:val="zh-CN"/>
          <w14:textFill>
            <w14:solidFill>
              <w14:schemeClr w14:val="tx1"/>
            </w14:solidFill>
          </w14:textFill>
        </w:rPr>
      </w:pPr>
      <w:r>
        <w:rPr>
          <w:rFonts w:hint="eastAsia" w:ascii="宋体" w:hAnsi="宋体"/>
          <w:color w:val="000000" w:themeColor="text1"/>
          <w:kern w:val="0"/>
          <w:szCs w:val="24"/>
          <w:lang w:val="zh-CN"/>
          <w14:textFill>
            <w14:solidFill>
              <w14:schemeClr w14:val="tx1"/>
            </w14:solidFill>
          </w14:textFill>
        </w:rPr>
        <w:t>C、</w:t>
      </w:r>
      <w:r>
        <w:rPr>
          <w:rFonts w:cs="Times New Roman"/>
          <w:color w:val="000000" w:themeColor="text1"/>
          <w:kern w:val="0"/>
          <w:szCs w:val="24"/>
          <w:lang w:val="zh-CN"/>
          <w14:textFill>
            <w14:solidFill>
              <w14:schemeClr w14:val="tx1"/>
            </w14:solidFill>
          </w14:textFill>
        </w:rPr>
        <w:t>砂垫层处理。</w:t>
      </w:r>
    </w:p>
    <w:p w14:paraId="14D1F09C">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②</w:t>
      </w:r>
      <w:r>
        <w:rPr>
          <w:rFonts w:cs="Times New Roman"/>
          <w:color w:val="000000" w:themeColor="text1"/>
          <w:kern w:val="0"/>
          <w:szCs w:val="24"/>
          <w:lang w:val="zh-CN"/>
          <w14:textFill>
            <w14:solidFill>
              <w14:schemeClr w14:val="tx1"/>
            </w14:solidFill>
          </w14:textFill>
        </w:rPr>
        <w:t>水塘地段：路基经过水塘地段，采用围堰、抽水、清淤、换填，路基坡面采用铺砌或码砌边坡至正常水位以上0.5m。</w:t>
      </w:r>
    </w:p>
    <w:p w14:paraId="1061CCF4">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③</w:t>
      </w:r>
      <w:r>
        <w:rPr>
          <w:rFonts w:cs="Times New Roman"/>
          <w:color w:val="000000" w:themeColor="text1"/>
          <w:kern w:val="0"/>
          <w:szCs w:val="24"/>
          <w:lang w:val="zh-CN"/>
          <w14:textFill>
            <w14:solidFill>
              <w14:schemeClr w14:val="tx1"/>
            </w14:solidFill>
          </w14:textFill>
        </w:rPr>
        <w:t>废弃杂填土、素填土地段，应先挖除杂填土、素填土或</w:t>
      </w:r>
      <w:bookmarkStart w:id="268" w:name="hmcheck_37aad4cd02304b189f5d4effc89c394c"/>
      <w:r>
        <w:rPr>
          <w:rFonts w:hint="eastAsia" w:cs="Times New Roman"/>
          <w:color w:val="000000" w:themeColor="text1"/>
          <w:kern w:val="0"/>
          <w:szCs w:val="24"/>
          <w:shd w:val="clear" w:fill="FFAFAA"/>
          <w:lang w:val="zh-CN"/>
          <w14:textFill>
            <w14:solidFill>
              <w14:schemeClr w14:val="tx1"/>
            </w14:solidFill>
          </w14:textFill>
        </w:rPr>
        <w:t>做</w:t>
      </w:r>
      <w:r>
        <w:rPr>
          <w:rFonts w:cs="Times New Roman"/>
          <w:color w:val="000000" w:themeColor="text1"/>
          <w:kern w:val="0"/>
          <w:szCs w:val="24"/>
          <w:shd w:val="clear" w:fill="FFAFAA"/>
          <w:lang w:val="zh-CN"/>
          <w14:textFill>
            <w14:solidFill>
              <w14:schemeClr w14:val="tx1"/>
            </w14:solidFill>
          </w14:textFill>
        </w:rPr>
        <w:t>处理</w:t>
      </w:r>
      <w:bookmarkEnd w:id="268"/>
      <w:r>
        <w:rPr>
          <w:rFonts w:cs="Times New Roman"/>
          <w:color w:val="000000" w:themeColor="text1"/>
          <w:kern w:val="0"/>
          <w:szCs w:val="24"/>
          <w:lang w:val="zh-CN"/>
          <w14:textFill>
            <w14:solidFill>
              <w14:schemeClr w14:val="tx1"/>
            </w14:solidFill>
          </w14:textFill>
        </w:rPr>
        <w:t>后回填合格的路基填料。</w:t>
      </w:r>
    </w:p>
    <w:p w14:paraId="1152D5EB">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④</w:t>
      </w:r>
      <w:r>
        <w:rPr>
          <w:rFonts w:cs="Times New Roman"/>
          <w:color w:val="000000" w:themeColor="text1"/>
          <w:kern w:val="0"/>
          <w:szCs w:val="24"/>
          <w:lang w:val="zh-CN"/>
          <w14:textFill>
            <w14:solidFill>
              <w14:schemeClr w14:val="tx1"/>
            </w14:solidFill>
          </w14:textFill>
        </w:rPr>
        <w:t>当为低填路堤时，对不良地基的处理深度不应小于重型汽车荷载作用的工作区深度。</w:t>
      </w:r>
    </w:p>
    <w:p w14:paraId="310FA85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深挖高填路段设计</w:t>
      </w:r>
    </w:p>
    <w:p w14:paraId="166BAAD1">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1）本项目无高填路段。</w:t>
      </w:r>
      <w:bookmarkStart w:id="269" w:name="_Hlk187678337"/>
    </w:p>
    <w:bookmarkEnd w:id="269"/>
    <w:p w14:paraId="7A990C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（2）深挖路堑：深路堑是指土质挖方边坡高度超过 20m、石质挖方边坡高度超过 30m 的挖方边坡。进行专门的工点设计，以确保路堑高边坡坡体稳定和营运安全。本项目深挖路堑段落统计表如下：</w:t>
      </w:r>
    </w:p>
    <w:p w14:paraId="65BF60CA">
      <w:pPr>
        <w:pStyle w:val="87"/>
        <w:spacing w:before="120"/>
        <w:rPr>
          <w:color w:val="000000" w:themeColor="text1"/>
          <w14:textFill>
            <w14:solidFill>
              <w14:schemeClr w14:val="tx1"/>
            </w14:solidFill>
          </w14:textFill>
        </w:rPr>
      </w:pPr>
      <w:bookmarkStart w:id="270" w:name="_Ref137548988"/>
      <w:r>
        <w:rPr>
          <w:rFonts w:hint="eastAsia"/>
          <w:color w:val="000000" w:themeColor="text1"/>
          <w14:textFill>
            <w14:solidFill>
              <w14:schemeClr w14:val="tx1"/>
            </w14:solidFill>
          </w14:textFill>
        </w:rPr>
        <w:t>深挖路堑路段列表</w:t>
      </w:r>
      <w:bookmarkEnd w:id="270"/>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556"/>
        <w:gridCol w:w="1747"/>
        <w:gridCol w:w="800"/>
        <w:gridCol w:w="682"/>
        <w:gridCol w:w="1130"/>
        <w:gridCol w:w="1330"/>
        <w:gridCol w:w="1159"/>
        <w:gridCol w:w="1886"/>
      </w:tblGrid>
      <w:tr w14:paraId="495B9A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427" w:hRule="atLeast"/>
        </w:trPr>
        <w:tc>
          <w:tcPr>
            <w:tcW w:w="301" w:type="pct"/>
            <w:tcBorders>
              <w:top w:val="single" w:color="auto" w:sz="12" w:space="0"/>
              <w:left w:val="nil"/>
              <w:bottom w:val="nil"/>
              <w:right w:val="single" w:color="auto" w:sz="6" w:space="0"/>
              <w:insideH w:val="nil"/>
              <w:insideV w:val="single" w:sz="6" w:space="0"/>
              <w:tl2br w:val="nil"/>
              <w:tr2bl w:val="nil"/>
            </w:tcBorders>
            <w:vAlign w:val="center"/>
          </w:tcPr>
          <w:p w14:paraId="7A438E08">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序号</w:t>
            </w:r>
          </w:p>
        </w:tc>
        <w:tc>
          <w:tcPr>
            <w:tcW w:w="942" w:type="pct"/>
            <w:tcBorders>
              <w:top w:val="single" w:color="auto" w:sz="12" w:space="0"/>
              <w:bottom w:val="nil"/>
              <w:right w:val="single" w:color="auto" w:sz="6" w:space="0"/>
              <w:insideH w:val="nil"/>
              <w:insideV w:val="single" w:sz="6" w:space="0"/>
              <w:tl2br w:val="nil"/>
              <w:tr2bl w:val="nil"/>
            </w:tcBorders>
            <w:vAlign w:val="center"/>
          </w:tcPr>
          <w:p w14:paraId="2906EB82">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起止桩号</w:t>
            </w:r>
          </w:p>
        </w:tc>
        <w:tc>
          <w:tcPr>
            <w:tcW w:w="422" w:type="pct"/>
            <w:tcBorders>
              <w:top w:val="single" w:color="auto" w:sz="12" w:space="0"/>
              <w:bottom w:val="nil"/>
              <w:right w:val="single" w:color="auto" w:sz="6" w:space="0"/>
              <w:insideH w:val="nil"/>
              <w:insideV w:val="single" w:sz="6" w:space="0"/>
              <w:tl2br w:val="nil"/>
              <w:tr2bl w:val="nil"/>
            </w:tcBorders>
            <w:vAlign w:val="center"/>
          </w:tcPr>
          <w:p w14:paraId="08C87C52">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坡长（</w:t>
            </w:r>
            <w:r>
              <w:rPr>
                <w:rFonts w:eastAsia="New York"/>
                <w:color w:val="000000" w:themeColor="text1"/>
                <w14:textFill>
                  <w14:solidFill>
                    <w14:schemeClr w14:val="tx1"/>
                  </w14:solidFill>
                </w14:textFill>
              </w:rPr>
              <w:t>m</w:t>
            </w:r>
            <w:r>
              <w:rPr>
                <w:rFonts w:hint="eastAsia" w:ascii="宋体" w:hAnsi="宋体" w:eastAsia="宋体"/>
                <w:color w:val="000000" w:themeColor="text1"/>
                <w14:textFill>
                  <w14:solidFill>
                    <w14:schemeClr w14:val="tx1"/>
                  </w14:solidFill>
                </w14:textFill>
              </w:rPr>
              <w:t>）</w:t>
            </w:r>
          </w:p>
        </w:tc>
        <w:tc>
          <w:tcPr>
            <w:tcW w:w="368" w:type="pct"/>
            <w:tcBorders>
              <w:top w:val="single" w:color="auto" w:sz="12" w:space="0"/>
              <w:bottom w:val="nil"/>
              <w:right w:val="single" w:color="auto" w:sz="6" w:space="0"/>
              <w:insideH w:val="nil"/>
              <w:insideV w:val="single" w:sz="6" w:space="0"/>
              <w:tl2br w:val="nil"/>
              <w:tr2bl w:val="nil"/>
            </w:tcBorders>
            <w:vAlign w:val="center"/>
          </w:tcPr>
          <w:p w14:paraId="12F1030B">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坡向</w:t>
            </w:r>
          </w:p>
        </w:tc>
        <w:tc>
          <w:tcPr>
            <w:tcW w:w="609" w:type="pct"/>
            <w:tcBorders>
              <w:top w:val="single" w:color="auto" w:sz="12" w:space="0"/>
              <w:bottom w:val="nil"/>
              <w:right w:val="single" w:color="auto" w:sz="6" w:space="0"/>
              <w:insideH w:val="nil"/>
              <w:insideV w:val="single" w:sz="6" w:space="0"/>
              <w:tl2br w:val="nil"/>
              <w:tr2bl w:val="nil"/>
            </w:tcBorders>
            <w:vAlign w:val="center"/>
          </w:tcPr>
          <w:p w14:paraId="5FCD3669">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中心挖</w:t>
            </w:r>
          </w:p>
          <w:p w14:paraId="2134BF3E">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高</w:t>
            </w:r>
            <w:r>
              <w:rPr>
                <w:rFonts w:eastAsia="New York"/>
                <w:color w:val="000000" w:themeColor="text1"/>
                <w14:textFill>
                  <w14:solidFill>
                    <w14:schemeClr w14:val="tx1"/>
                  </w14:solidFill>
                </w14:textFill>
              </w:rPr>
              <w:t xml:space="preserve"> (m)</w:t>
            </w:r>
          </w:p>
        </w:tc>
        <w:tc>
          <w:tcPr>
            <w:tcW w:w="717" w:type="pct"/>
            <w:tcBorders>
              <w:top w:val="single" w:color="auto" w:sz="12" w:space="0"/>
              <w:bottom w:val="nil"/>
              <w:right w:val="single" w:color="auto" w:sz="6" w:space="0"/>
              <w:insideH w:val="nil"/>
              <w:insideV w:val="single" w:sz="6" w:space="0"/>
              <w:tl2br w:val="nil"/>
              <w:tr2bl w:val="nil"/>
            </w:tcBorders>
            <w:vAlign w:val="center"/>
          </w:tcPr>
          <w:p w14:paraId="307E822E">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最大边坡</w:t>
            </w:r>
          </w:p>
          <w:p w14:paraId="22890630">
            <w:pPr>
              <w:pStyle w:val="105"/>
              <w:widowControl w:val="0"/>
              <w:jc w:val="center"/>
              <w:rPr>
                <w:rFonts w:eastAsia="New York"/>
                <w:color w:val="000000" w:themeColor="text1"/>
                <w14:textFill>
                  <w14:solidFill>
                    <w14:schemeClr w14:val="tx1"/>
                  </w14:solidFill>
                </w14:textFill>
              </w:rPr>
            </w:pPr>
            <w:r>
              <w:rPr>
                <w:rFonts w:eastAsia="New York"/>
                <w:color w:val="000000" w:themeColor="text1"/>
                <w14:textFill>
                  <w14:solidFill>
                    <w14:schemeClr w14:val="tx1"/>
                  </w14:solidFill>
                </w14:textFill>
              </w:rPr>
              <w:t xml:space="preserve"> </w:t>
            </w:r>
            <w:r>
              <w:rPr>
                <w:rFonts w:hint="eastAsia" w:ascii="宋体" w:hAnsi="宋体" w:eastAsia="宋体"/>
                <w:color w:val="000000" w:themeColor="text1"/>
                <w14:textFill>
                  <w14:solidFill>
                    <w14:schemeClr w14:val="tx1"/>
                  </w14:solidFill>
                </w14:textFill>
              </w:rPr>
              <w:t>高度（</w:t>
            </w:r>
            <w:r>
              <w:rPr>
                <w:rFonts w:eastAsia="New York"/>
                <w:color w:val="000000" w:themeColor="text1"/>
                <w14:textFill>
                  <w14:solidFill>
                    <w14:schemeClr w14:val="tx1"/>
                  </w14:solidFill>
                </w14:textFill>
              </w:rPr>
              <w:t>m</w:t>
            </w:r>
            <w:r>
              <w:rPr>
                <w:rFonts w:hint="eastAsia" w:ascii="宋体" w:hAnsi="宋体" w:eastAsia="宋体"/>
                <w:color w:val="000000" w:themeColor="text1"/>
                <w14:textFill>
                  <w14:solidFill>
                    <w14:schemeClr w14:val="tx1"/>
                  </w14:solidFill>
                </w14:textFill>
              </w:rPr>
              <w:t>）</w:t>
            </w:r>
          </w:p>
        </w:tc>
        <w:tc>
          <w:tcPr>
            <w:tcW w:w="625" w:type="pct"/>
            <w:tcBorders>
              <w:top w:val="single" w:color="auto" w:sz="12" w:space="0"/>
              <w:bottom w:val="nil"/>
              <w:right w:val="single" w:color="auto" w:sz="6" w:space="0"/>
              <w:insideH w:val="nil"/>
              <w:insideV w:val="single" w:sz="6" w:space="0"/>
              <w:tl2br w:val="nil"/>
              <w:tr2bl w:val="nil"/>
            </w:tcBorders>
            <w:vAlign w:val="center"/>
          </w:tcPr>
          <w:p w14:paraId="556C726B">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最大高度</w:t>
            </w:r>
            <w:r>
              <w:rPr>
                <w:rFonts w:eastAsia="New York"/>
                <w:color w:val="000000" w:themeColor="text1"/>
                <w14:textFill>
                  <w14:solidFill>
                    <w14:schemeClr w14:val="tx1"/>
                  </w14:solidFill>
                </w14:textFill>
              </w:rPr>
              <w:t xml:space="preserve"> </w:t>
            </w:r>
            <w:r>
              <w:rPr>
                <w:rFonts w:hint="eastAsia" w:ascii="宋体" w:hAnsi="宋体" w:eastAsia="宋体"/>
                <w:color w:val="000000" w:themeColor="text1"/>
                <w14:textFill>
                  <w14:solidFill>
                    <w14:schemeClr w14:val="tx1"/>
                  </w14:solidFill>
                </w14:textFill>
              </w:rPr>
              <w:t>对应里程</w:t>
            </w:r>
          </w:p>
        </w:tc>
        <w:tc>
          <w:tcPr>
            <w:tcW w:w="1016" w:type="pct"/>
            <w:tcBorders>
              <w:top w:val="single" w:color="auto" w:sz="12" w:space="0"/>
              <w:bottom w:val="nil"/>
              <w:right w:val="nil"/>
              <w:insideH w:val="nil"/>
              <w:insideV w:val="single" w:sz="6" w:space="0"/>
              <w:tl2br w:val="nil"/>
              <w:tr2bl w:val="nil"/>
            </w:tcBorders>
            <w:vAlign w:val="center"/>
          </w:tcPr>
          <w:p w14:paraId="504801F6">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防护工程</w:t>
            </w:r>
          </w:p>
        </w:tc>
      </w:tr>
      <w:tr w14:paraId="1AF853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08" w:hRule="atLeast"/>
        </w:trPr>
        <w:tc>
          <w:tcPr>
            <w:tcW w:w="301" w:type="pct"/>
            <w:vAlign w:val="center"/>
          </w:tcPr>
          <w:p w14:paraId="06BA335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942" w:type="pct"/>
            <w:vAlign w:val="center"/>
          </w:tcPr>
          <w:p w14:paraId="6A3C92D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K0+220~K0+420</w:t>
            </w:r>
          </w:p>
        </w:tc>
        <w:tc>
          <w:tcPr>
            <w:tcW w:w="422" w:type="pct"/>
            <w:vAlign w:val="center"/>
          </w:tcPr>
          <w:p w14:paraId="68DF71B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368" w:type="pct"/>
            <w:vAlign w:val="center"/>
          </w:tcPr>
          <w:p w14:paraId="320B644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左右侧</w:t>
            </w:r>
          </w:p>
        </w:tc>
        <w:tc>
          <w:tcPr>
            <w:tcW w:w="609" w:type="pct"/>
            <w:vAlign w:val="center"/>
          </w:tcPr>
          <w:p w14:paraId="1C8C3B7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44. 20</w:t>
            </w:r>
          </w:p>
        </w:tc>
        <w:tc>
          <w:tcPr>
            <w:tcW w:w="717" w:type="pct"/>
            <w:vAlign w:val="center"/>
          </w:tcPr>
          <w:p w14:paraId="0C0CD6C5">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8.4</w:t>
            </w:r>
          </w:p>
        </w:tc>
        <w:tc>
          <w:tcPr>
            <w:tcW w:w="625" w:type="pct"/>
            <w:vAlign w:val="center"/>
          </w:tcPr>
          <w:p w14:paraId="7D76FA1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K0+340</w:t>
            </w:r>
          </w:p>
        </w:tc>
        <w:tc>
          <w:tcPr>
            <w:tcW w:w="1016" w:type="pct"/>
            <w:vAlign w:val="center"/>
          </w:tcPr>
          <w:p w14:paraId="11918AA3">
            <w:pPr>
              <w:pStyle w:val="105"/>
              <w:widowControl w:val="0"/>
              <w:jc w:val="center"/>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TBS植草灌进行防护</w:t>
            </w:r>
          </w:p>
        </w:tc>
      </w:tr>
      <w:tr w14:paraId="6F0911A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30" w:hRule="atLeast"/>
        </w:trPr>
        <w:tc>
          <w:tcPr>
            <w:tcW w:w="301" w:type="pct"/>
            <w:vAlign w:val="center"/>
          </w:tcPr>
          <w:p w14:paraId="3B15B50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942" w:type="pct"/>
            <w:vAlign w:val="center"/>
          </w:tcPr>
          <w:p w14:paraId="7790269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K4+840~K5+020</w:t>
            </w:r>
          </w:p>
        </w:tc>
        <w:tc>
          <w:tcPr>
            <w:tcW w:w="422" w:type="pct"/>
            <w:vAlign w:val="center"/>
          </w:tcPr>
          <w:p w14:paraId="3CDDEB8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180</w:t>
            </w:r>
          </w:p>
        </w:tc>
        <w:tc>
          <w:tcPr>
            <w:tcW w:w="368" w:type="pct"/>
            <w:vAlign w:val="center"/>
          </w:tcPr>
          <w:p w14:paraId="04BA983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左侧</w:t>
            </w:r>
          </w:p>
        </w:tc>
        <w:tc>
          <w:tcPr>
            <w:tcW w:w="609" w:type="pct"/>
            <w:vAlign w:val="center"/>
          </w:tcPr>
          <w:p w14:paraId="25ACA36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16.44</w:t>
            </w:r>
          </w:p>
        </w:tc>
        <w:tc>
          <w:tcPr>
            <w:tcW w:w="717" w:type="pct"/>
            <w:vAlign w:val="center"/>
          </w:tcPr>
          <w:p w14:paraId="3630E68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28</w:t>
            </w:r>
          </w:p>
        </w:tc>
        <w:tc>
          <w:tcPr>
            <w:tcW w:w="625" w:type="pct"/>
            <w:vAlign w:val="center"/>
          </w:tcPr>
          <w:p w14:paraId="1F050EE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K4+920</w:t>
            </w:r>
          </w:p>
        </w:tc>
        <w:tc>
          <w:tcPr>
            <w:tcW w:w="1016" w:type="pct"/>
            <w:vAlign w:val="center"/>
          </w:tcPr>
          <w:p w14:paraId="562A7C54">
            <w:pPr>
              <w:pStyle w:val="105"/>
              <w:widowControl w:val="0"/>
              <w:jc w:val="center"/>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TBS植草灌进行防护</w:t>
            </w:r>
          </w:p>
        </w:tc>
      </w:tr>
    </w:tbl>
    <w:p w14:paraId="223BB11F">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边坡防护</w:t>
      </w:r>
    </w:p>
    <w:p w14:paraId="44A5A3C2">
      <w:pPr>
        <w:ind w:firstLine="482"/>
        <w:rPr>
          <w:color w:val="000000" w:themeColor="text1"/>
          <w:lang w:val="zh-CN"/>
          <w14:textFill>
            <w14:solidFill>
              <w14:schemeClr w14:val="tx1"/>
            </w14:solidFill>
          </w14:textFill>
        </w:rPr>
      </w:pPr>
      <w:r>
        <w:rPr>
          <w:rFonts w:hint="eastAsia"/>
          <w:b/>
          <w:bCs/>
          <w:color w:val="000000" w:themeColor="text1"/>
          <w:lang w:val="zh-CN"/>
          <w14:textFill>
            <w14:solidFill>
              <w14:schemeClr w14:val="tx1"/>
            </w14:solidFill>
          </w14:textFill>
        </w:rPr>
        <w:t>（1）</w:t>
      </w:r>
      <w:r>
        <w:rPr>
          <w:b/>
          <w:bCs/>
          <w:color w:val="000000" w:themeColor="text1"/>
          <w:lang w:val="zh-CN"/>
          <w14:textFill>
            <w14:solidFill>
              <w14:schemeClr w14:val="tx1"/>
            </w14:solidFill>
          </w14:textFill>
        </w:rPr>
        <w:t>路堤边坡支挡及防护</w:t>
      </w:r>
      <w:r>
        <w:rPr>
          <w:rFonts w:hint="eastAsia"/>
          <w:b/>
          <w:bCs/>
          <w:color w:val="000000" w:themeColor="text1"/>
          <w:lang w:val="zh-CN"/>
          <w14:textFill>
            <w14:solidFill>
              <w14:schemeClr w14:val="tx1"/>
            </w14:solidFill>
          </w14:textFill>
        </w:rPr>
        <w:t>：</w:t>
      </w:r>
      <w:r>
        <w:rPr>
          <w:color w:val="000000" w:themeColor="text1"/>
          <w:lang w:val="zh-CN"/>
          <w14:textFill>
            <w14:solidFill>
              <w14:schemeClr w14:val="tx1"/>
            </w14:solidFill>
          </w14:textFill>
        </w:rPr>
        <w:t>路堤高度&gt;3m时，边坡采用路堤</w:t>
      </w:r>
      <w:bookmarkStart w:id="271" w:name="hmcheck_c022856b13c14b81a0de472a938c5d75"/>
      <w:r>
        <w:rPr>
          <w:color w:val="000000" w:themeColor="text1"/>
          <w:shd w:val="clear" w:fill="FFAFAA"/>
          <w:lang w:val="zh-CN"/>
          <w14:textFill>
            <w14:solidFill>
              <w14:schemeClr w14:val="tx1"/>
            </w14:solidFill>
          </w14:textFill>
        </w:rPr>
        <w:t>拱型</w:t>
      </w:r>
      <w:bookmarkEnd w:id="271"/>
      <w:r>
        <w:rPr>
          <w:color w:val="000000" w:themeColor="text1"/>
          <w:lang w:val="zh-CN"/>
          <w14:textFill>
            <w14:solidFill>
              <w14:schemeClr w14:val="tx1"/>
            </w14:solidFill>
          </w14:textFill>
        </w:rPr>
        <w:t>骨架撒播草（植乔木）边坡防护，</w:t>
      </w:r>
      <w:r>
        <w:rPr>
          <w:rFonts w:hint="eastAsia"/>
          <w:color w:val="000000" w:themeColor="text1"/>
          <w:lang w:val="zh-CN"/>
          <w14:textFill>
            <w14:solidFill>
              <w14:schemeClr w14:val="tx1"/>
            </w14:solidFill>
          </w14:textFill>
        </w:rPr>
        <w:t>中间</w:t>
      </w:r>
      <w:r>
        <w:rPr>
          <w:color w:val="000000" w:themeColor="text1"/>
          <w:lang w:val="zh-CN"/>
          <w14:textFill>
            <w14:solidFill>
              <w14:schemeClr w14:val="tx1"/>
            </w14:solidFill>
          </w14:textFill>
        </w:rPr>
        <w:t>护坡道采用M7.5浆砌片石或预制块铺砌，并预留种树位置。路堤高度&lt;3m时，采用边坡撒播草（植乔木）防护。</w:t>
      </w:r>
    </w:p>
    <w:p w14:paraId="4E1609F1">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填石路堤边坡采用码砌防护，填石路堤高度与码砌厚度的关系为：路基高度小于5m时，厚度大等于1m；路基高度大等于</w:t>
      </w:r>
      <w:bookmarkStart w:id="272" w:name="hmcheck_2dcb65fee8034fddbca078e0aac86e5f"/>
      <w:r>
        <w:rPr>
          <w:color w:val="000000" w:themeColor="text1"/>
          <w:shd w:val="clear" w:fill="FFAFAA"/>
          <w:lang w:val="zh-CN"/>
          <w14:textFill>
            <w14:solidFill>
              <w14:schemeClr w14:val="tx1"/>
            </w14:solidFill>
          </w14:textFill>
        </w:rPr>
        <w:t>5m小</w:t>
      </w:r>
      <w:bookmarkEnd w:id="272"/>
      <w:r>
        <w:rPr>
          <w:color w:val="000000" w:themeColor="text1"/>
          <w:lang w:val="zh-CN"/>
          <w14:textFill>
            <w14:solidFill>
              <w14:schemeClr w14:val="tx1"/>
            </w14:solidFill>
          </w14:textFill>
        </w:rPr>
        <w:t>等于12m时，厚度大等于 1.5m；路基高度大于12m时，厚度大等于2m。当有景观要求时，可考虑绿化防护设计。码砌石块最小尺寸不应小于300mm。当有景观要求时采用</w:t>
      </w:r>
      <w:r>
        <w:rPr>
          <w:rFonts w:hint="eastAsia"/>
          <w:color w:val="000000" w:themeColor="text1"/>
          <w:lang w:val="zh-CN"/>
          <w14:textFill>
            <w14:solidFill>
              <w14:schemeClr w14:val="tx1"/>
            </w14:solidFill>
          </w14:textFill>
        </w:rPr>
        <w:t>培土</w:t>
      </w:r>
      <w:r>
        <w:rPr>
          <w:color w:val="000000" w:themeColor="text1"/>
          <w:lang w:val="zh-CN"/>
          <w14:textFill>
            <w14:solidFill>
              <w14:schemeClr w14:val="tx1"/>
            </w14:solidFill>
          </w14:textFill>
        </w:rPr>
        <w:t>绿化。</w:t>
      </w:r>
    </w:p>
    <w:p w14:paraId="3AC60755">
      <w:pPr>
        <w:ind w:firstLine="482"/>
        <w:rPr>
          <w:color w:val="000000" w:themeColor="text1"/>
          <w:lang w:val="zh-CN"/>
          <w14:textFill>
            <w14:solidFill>
              <w14:schemeClr w14:val="tx1"/>
            </w14:solidFill>
          </w14:textFill>
        </w:rPr>
      </w:pPr>
      <w:r>
        <w:rPr>
          <w:rFonts w:hint="eastAsia"/>
          <w:b/>
          <w:bCs/>
          <w:color w:val="000000" w:themeColor="text1"/>
          <w:lang w:val="zh-CN"/>
          <w14:textFill>
            <w14:solidFill>
              <w14:schemeClr w14:val="tx1"/>
            </w14:solidFill>
          </w14:textFill>
        </w:rPr>
        <w:t>（2）</w:t>
      </w:r>
      <w:r>
        <w:rPr>
          <w:b/>
          <w:bCs/>
          <w:color w:val="000000" w:themeColor="text1"/>
          <w:lang w:val="zh-CN"/>
          <w14:textFill>
            <w14:solidFill>
              <w14:schemeClr w14:val="tx1"/>
            </w14:solidFill>
          </w14:textFill>
        </w:rPr>
        <w:t>挡土墙防护</w:t>
      </w:r>
      <w:r>
        <w:rPr>
          <w:rFonts w:hint="eastAsia"/>
          <w:b/>
          <w:bCs/>
          <w:color w:val="000000" w:themeColor="text1"/>
          <w:lang w:val="zh-CN"/>
          <w14:textFill>
            <w14:solidFill>
              <w14:schemeClr w14:val="tx1"/>
            </w14:solidFill>
          </w14:textFill>
        </w:rPr>
        <w:t>：</w:t>
      </w:r>
      <w:r>
        <w:rPr>
          <w:color w:val="000000" w:themeColor="text1"/>
          <w:lang w:val="zh-CN"/>
          <w14:textFill>
            <w14:solidFill>
              <w14:schemeClr w14:val="tx1"/>
            </w14:solidFill>
          </w14:textFill>
        </w:rPr>
        <w:t>砌筑挡土墙所用材料采用片石混凝土、混凝土等。一般原则：挡土墙高度&lt;12m，采用C20片石混凝土。</w:t>
      </w:r>
    </w:p>
    <w:p w14:paraId="1940BE09">
      <w:pPr>
        <w:ind w:firstLine="482"/>
        <w:rPr>
          <w:color w:val="000000" w:themeColor="text1"/>
          <w:lang w:val="zh-CN"/>
          <w14:textFill>
            <w14:solidFill>
              <w14:schemeClr w14:val="tx1"/>
            </w14:solidFill>
          </w14:textFill>
        </w:rPr>
      </w:pPr>
      <w:r>
        <w:rPr>
          <w:rFonts w:hint="eastAsia"/>
          <w:b/>
          <w:bCs/>
          <w:color w:val="000000" w:themeColor="text1"/>
          <w:lang w:val="zh-CN"/>
          <w14:textFill>
            <w14:solidFill>
              <w14:schemeClr w14:val="tx1"/>
            </w14:solidFill>
          </w14:textFill>
        </w:rPr>
        <w:t>（3）</w:t>
      </w:r>
      <w:r>
        <w:rPr>
          <w:b/>
          <w:bCs/>
          <w:color w:val="000000" w:themeColor="text1"/>
          <w:lang w:val="zh-CN"/>
          <w14:textFill>
            <w14:solidFill>
              <w14:schemeClr w14:val="tx1"/>
            </w14:solidFill>
          </w14:textFill>
        </w:rPr>
        <w:t>路堑边坡支挡及防护</w:t>
      </w:r>
      <w:r>
        <w:rPr>
          <w:rFonts w:hint="eastAsia"/>
          <w:b/>
          <w:bCs/>
          <w:color w:val="000000" w:themeColor="text1"/>
          <w:lang w:val="zh-CN"/>
          <w14:textFill>
            <w14:solidFill>
              <w14:schemeClr w14:val="tx1"/>
            </w14:solidFill>
          </w14:textFill>
        </w:rPr>
        <w:t>：</w:t>
      </w:r>
      <w:r>
        <w:rPr>
          <w:color w:val="000000" w:themeColor="text1"/>
          <w:lang w:val="zh-CN"/>
          <w14:textFill>
            <w14:solidFill>
              <w14:schemeClr w14:val="tx1"/>
            </w14:solidFill>
          </w14:textFill>
        </w:rPr>
        <w:t>边坡高度&lt;8m时，边坡防护采用边坡机械液压客土喷草（植乔木）防护、路堑</w:t>
      </w:r>
      <w:bookmarkStart w:id="273" w:name="hmcheck_d93a06ae6cfd42a28a867fba28564239"/>
      <w:r>
        <w:rPr>
          <w:color w:val="000000" w:themeColor="text1"/>
          <w:shd w:val="clear" w:fill="FFAFAA"/>
          <w:lang w:val="zh-CN"/>
          <w14:textFill>
            <w14:solidFill>
              <w14:schemeClr w14:val="tx1"/>
            </w14:solidFill>
          </w14:textFill>
        </w:rPr>
        <w:t>拱型</w:t>
      </w:r>
      <w:bookmarkEnd w:id="273"/>
      <w:r>
        <w:rPr>
          <w:color w:val="000000" w:themeColor="text1"/>
          <w:lang w:val="zh-CN"/>
          <w14:textFill>
            <w14:solidFill>
              <w14:schemeClr w14:val="tx1"/>
            </w14:solidFill>
          </w14:textFill>
        </w:rPr>
        <w:t>骨架喷草（植乔木）防护</w:t>
      </w:r>
      <w:r>
        <w:rPr>
          <w:rFonts w:hint="eastAsia"/>
          <w:color w:val="000000" w:themeColor="text1"/>
          <w:lang w:val="zh-CN"/>
          <w14:textFill>
            <w14:solidFill>
              <w14:schemeClr w14:val="tx1"/>
            </w14:solidFill>
          </w14:textFill>
        </w:rPr>
        <w:t>或</w:t>
      </w:r>
      <w:r>
        <w:rPr>
          <w:color w:val="000000" w:themeColor="text1"/>
          <w:lang w:val="zh-CN"/>
          <w14:textFill>
            <w14:solidFill>
              <w14:schemeClr w14:val="tx1"/>
            </w14:solidFill>
          </w14:textFill>
        </w:rPr>
        <w:t>根据边坡稳定性采用支挡防护。边坡高度28m时，边坡防护形式有：边坡机械液压客土喷草（植乔木）防护、</w:t>
      </w:r>
      <w:bookmarkStart w:id="274" w:name="hmcheck_b55e76ab8ed045bb9f355d805228fb03"/>
      <w:r>
        <w:rPr>
          <w:color w:val="000000" w:themeColor="text1"/>
          <w:shd w:val="clear" w:fill="FFAFAA"/>
          <w:lang w:val="zh-CN"/>
          <w14:textFill>
            <w14:solidFill>
              <w14:schemeClr w14:val="tx1"/>
            </w14:solidFill>
          </w14:textFill>
        </w:rPr>
        <w:t>拱型</w:t>
      </w:r>
      <w:bookmarkEnd w:id="274"/>
      <w:r>
        <w:rPr>
          <w:color w:val="000000" w:themeColor="text1"/>
          <w:lang w:val="zh-CN"/>
          <w14:textFill>
            <w14:solidFill>
              <w14:schemeClr w14:val="tx1"/>
            </w14:solidFill>
          </w14:textFill>
        </w:rPr>
        <w:t>骨架喷草（植乔木）防护、边坡（锚杆）TBS 植草防护、锚索（锚杆）框架等。</w:t>
      </w:r>
    </w:p>
    <w:p w14:paraId="2C3086AE">
      <w:pPr>
        <w:pStyle w:val="118"/>
        <w:rPr>
          <w:color w:val="000000" w:themeColor="text1"/>
          <w:lang w:val="zh-CN"/>
          <w14:textFill>
            <w14:solidFill>
              <w14:schemeClr w14:val="tx1"/>
            </w14:solidFill>
          </w14:textFill>
        </w:rPr>
      </w:pPr>
      <w:r>
        <w:rPr>
          <w:rFonts w:hint="eastAsia"/>
          <w:color w:val="000000" w:themeColor="text1"/>
          <w14:textFill>
            <w14:solidFill>
              <w14:schemeClr w14:val="tx1"/>
            </w14:solidFill>
          </w14:textFill>
        </w:rPr>
        <w:t>路基</w:t>
      </w:r>
      <w:r>
        <w:rPr>
          <w:rFonts w:hint="eastAsia"/>
          <w:color w:val="000000" w:themeColor="text1"/>
          <w:lang w:val="zh-CN"/>
          <w14:textFill>
            <w14:solidFill>
              <w14:schemeClr w14:val="tx1"/>
            </w14:solidFill>
          </w14:textFill>
        </w:rPr>
        <w:t>排水工程</w:t>
      </w:r>
    </w:p>
    <w:p w14:paraId="19B5D0FD">
      <w:pPr>
        <w:ind w:firstLine="480"/>
        <w:rPr>
          <w:rFonts w:cs="Times New Roman"/>
          <w:color w:val="000000" w:themeColor="text1"/>
          <w:szCs w:val="24"/>
          <w:lang w:val="zh-CN"/>
          <w14:textFill>
            <w14:solidFill>
              <w14:schemeClr w14:val="tx1"/>
            </w14:solidFill>
          </w14:textFill>
        </w:rPr>
      </w:pPr>
      <w:r>
        <w:rPr>
          <w:rFonts w:cs="Times New Roman"/>
          <w:color w:val="000000" w:themeColor="text1"/>
          <w:kern w:val="0"/>
          <w:szCs w:val="24"/>
          <w:lang w:val="zh-CN"/>
          <w14:textFill>
            <w14:solidFill>
              <w14:schemeClr w14:val="tx1"/>
            </w14:solidFill>
          </w14:textFill>
        </w:rPr>
        <w:t>路基排水有边沟、截水沟、排水沟、急流槽；路基地下排水有盲沟、渗沟、检查井等地下排水设施。</w:t>
      </w:r>
    </w:p>
    <w:p w14:paraId="7B2CAE98">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①路堑边沟：路堑边沟形式采用矩形边沟，根据汇水面积确定尺寸一般为40cm×80cm、60cm×80cm、80cm×80cm；无市政排水管网系统的路面及边坡汇水直接流入边沟。</w:t>
      </w:r>
    </w:p>
    <w:p w14:paraId="49A22210">
      <w:pPr>
        <w:ind w:firstLine="480"/>
        <w:rPr>
          <w:rFonts w:cs="Times New Roman"/>
          <w:color w:val="000000" w:themeColor="text1"/>
          <w:szCs w:val="24"/>
          <w:lang w:val="zh-CN"/>
          <w14:textFill>
            <w14:solidFill>
              <w14:schemeClr w14:val="tx1"/>
            </w14:solidFill>
          </w14:textFill>
        </w:rPr>
      </w:pPr>
      <w:r>
        <w:rPr>
          <w:rFonts w:hint="eastAsia"/>
          <w:color w:val="000000" w:themeColor="text1"/>
          <w:lang w:val="zh-CN"/>
          <w14:textFill>
            <w14:solidFill>
              <w14:schemeClr w14:val="tx1"/>
            </w14:solidFill>
          </w14:textFill>
        </w:rPr>
        <w:t>②坡顶截水沟：</w:t>
      </w:r>
      <w:r>
        <w:rPr>
          <w:rFonts w:hint="eastAsia" w:cs="Times New Roman"/>
          <w:color w:val="000000" w:themeColor="text1"/>
          <w:szCs w:val="24"/>
          <w:lang w:val="zh-CN"/>
          <w14:textFill>
            <w14:solidFill>
              <w14:schemeClr w14:val="tx1"/>
            </w14:solidFill>
          </w14:textFill>
        </w:rPr>
        <w:t>坡顶截水沟一般设于汇水面积较大的挖方边坡坡口以外至少5m的位置，用于拦截边坡上部的坡面水。坡顶截水沟可视汇水面积与地质、地形情况采用矩形，沟身尺寸采用50cm×50cm或60cm×60cm，沟长不应大于500m。</w:t>
      </w:r>
    </w:p>
    <w:p w14:paraId="55F41E06">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③排水沟：将边沟、截水沟、边坡和路基附近积水引入桥涵或路基以外，排水沟纵坡不宜小于0.5%，长度不超过300m。排水沟根据流量采用矩形沟或梯形沟，根据汇水面积确定尺寸一般为60cm×60cm、60cm×80cm。</w:t>
      </w:r>
    </w:p>
    <w:p w14:paraId="37D1DED3">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④跌水、急流槽：进、出口</w:t>
      </w:r>
      <w:bookmarkStart w:id="275" w:name="hmcheck_b1e13d47bd66448698cb348ca9ed5311"/>
      <w:r>
        <w:rPr>
          <w:rFonts w:hint="eastAsia" w:cs="Times New Roman"/>
          <w:color w:val="000000" w:themeColor="text1"/>
          <w:szCs w:val="24"/>
          <w:shd w:val="clear" w:fill="FFAFAA"/>
          <w:lang w:val="zh-CN"/>
          <w14:textFill>
            <w14:solidFill>
              <w14:schemeClr w14:val="tx1"/>
            </w14:solidFill>
          </w14:textFill>
        </w:rPr>
        <w:t>采用设</w:t>
      </w:r>
      <w:bookmarkEnd w:id="275"/>
      <w:r>
        <w:rPr>
          <w:rFonts w:hint="eastAsia" w:cs="Times New Roman"/>
          <w:color w:val="000000" w:themeColor="text1"/>
          <w:szCs w:val="24"/>
          <w:lang w:val="zh-CN"/>
          <w14:textFill>
            <w14:solidFill>
              <w14:schemeClr w14:val="tx1"/>
            </w14:solidFill>
          </w14:textFill>
        </w:rPr>
        <w:t>消力池等消力措施以防止冲刷。急流槽纵坡不宜陡于1</w:t>
      </w:r>
      <w:bookmarkStart w:id="276" w:name="hmcheck_e9f52884895b44ef84c63ea101cbb805"/>
      <w:r>
        <w:rPr>
          <w:rFonts w:hint="eastAsia" w:cs="Times New Roman"/>
          <w:color w:val="000000" w:themeColor="text1"/>
          <w:szCs w:val="24"/>
          <w:shd w:val="clear" w:fill="FFAFAA"/>
          <w:lang w:val="zh-CN"/>
          <w14:textFill>
            <w14:solidFill>
              <w14:schemeClr w14:val="tx1"/>
            </w14:solidFill>
          </w14:textFill>
        </w:rPr>
        <w:t>：</w:t>
      </w:r>
      <w:bookmarkEnd w:id="276"/>
      <w:r>
        <w:rPr>
          <w:rFonts w:hint="eastAsia" w:cs="Times New Roman"/>
          <w:color w:val="000000" w:themeColor="text1"/>
          <w:szCs w:val="24"/>
          <w:lang w:val="zh-CN"/>
          <w14:textFill>
            <w14:solidFill>
              <w14:schemeClr w14:val="tx1"/>
            </w14:solidFill>
          </w14:textFill>
        </w:rPr>
        <w:t>1.5。急流槽出水口接排水沟或自然山沟，一般采用M7.5浆砌片石砌筑，流速、流量大时采用C15片石混凝土。</w:t>
      </w:r>
    </w:p>
    <w:p w14:paraId="46C4D403">
      <w:pPr>
        <w:pStyle w:val="120"/>
        <w:rPr>
          <w:color w:val="000000" w:themeColor="text1"/>
          <w14:textFill>
            <w14:solidFill>
              <w14:schemeClr w14:val="tx1"/>
            </w14:solidFill>
          </w14:textFill>
        </w:rPr>
      </w:pPr>
      <w:bookmarkStart w:id="277" w:name="2.2.4桥涵工程"/>
      <w:bookmarkEnd w:id="277"/>
      <w:r>
        <w:rPr>
          <w:rFonts w:hint="eastAsia"/>
          <w:color w:val="000000" w:themeColor="text1"/>
          <w14:textFill>
            <w14:solidFill>
              <w14:schemeClr w14:val="tx1"/>
            </w14:solidFill>
          </w14:textFill>
        </w:rPr>
        <w:t>桥梁工</w:t>
      </w:r>
      <w:r>
        <w:rPr>
          <w:color w:val="000000" w:themeColor="text1"/>
          <w14:textFill>
            <w14:solidFill>
              <w14:schemeClr w14:val="tx1"/>
            </w14:solidFill>
          </w14:textFill>
        </w:rPr>
        <w:t>程</w:t>
      </w:r>
    </w:p>
    <w:p w14:paraId="3ACC6218">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（1）设计标准</w:t>
      </w:r>
    </w:p>
    <w:p w14:paraId="2D0393E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①道路等级：二级公路，大埔大桥双向四车道，枝钟中桥双向两车道；</w:t>
      </w:r>
    </w:p>
    <w:p w14:paraId="1F2C1B0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②设计速度：60km/h；</w:t>
      </w:r>
    </w:p>
    <w:p w14:paraId="770996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③结构设计基准期：100年；</w:t>
      </w:r>
    </w:p>
    <w:p w14:paraId="7F3A96D0">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④</w:t>
      </w:r>
      <w:r>
        <w:rPr>
          <w:rFonts w:cs="Times New Roman"/>
          <w:color w:val="000000" w:themeColor="text1"/>
          <w:kern w:val="0"/>
          <w:szCs w:val="24"/>
          <w:lang w:val="zh-CN"/>
          <w14:textFill>
            <w14:solidFill>
              <w14:schemeClr w14:val="tx1"/>
            </w14:solidFill>
          </w14:textFill>
        </w:rPr>
        <w:t>桥面宽度：</w:t>
      </w:r>
    </w:p>
    <w:p w14:paraId="5BBBD443">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大埔大桥：0.5米护栏+净8.447</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 xml:space="preserve"> +0.606</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护栏+净8.447</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 xml:space="preserve"> +0.5</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护栏=18.5</w:t>
      </w:r>
      <w:r>
        <w:rPr>
          <w:rFonts w:hint="eastAsia"/>
          <w:color w:val="000000" w:themeColor="text1"/>
          <w:lang w:val="zh-CN"/>
          <w14:textFill>
            <w14:solidFill>
              <w14:schemeClr w14:val="tx1"/>
            </w14:solidFill>
          </w14:textFill>
        </w:rPr>
        <w:t>m</w:t>
      </w:r>
      <w:r>
        <w:rPr>
          <w:color w:val="000000" w:themeColor="text1"/>
          <w:lang w:val="zh-CN"/>
          <w14:textFill>
            <w14:solidFill>
              <w14:schemeClr w14:val="tx1"/>
            </w14:solidFill>
          </w14:textFill>
        </w:rPr>
        <w:t>；</w:t>
      </w:r>
    </w:p>
    <w:p w14:paraId="6F6865EE">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枝钟中桥：0.5</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护栏+净11.0</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 xml:space="preserve"> +0.5</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护栏=12</w:t>
      </w:r>
      <w:r>
        <w:rPr>
          <w:rFonts w:hint="eastAsia"/>
          <w:color w:val="000000" w:themeColor="text1"/>
          <w:lang w:val="zh-CN"/>
          <w14:textFill>
            <w14:solidFill>
              <w14:schemeClr w14:val="tx1"/>
            </w14:solidFill>
          </w14:textFill>
        </w:rPr>
        <w:t xml:space="preserve"> m</w:t>
      </w:r>
      <w:r>
        <w:rPr>
          <w:color w:val="000000" w:themeColor="text1"/>
          <w:lang w:val="zh-CN"/>
          <w14:textFill>
            <w14:solidFill>
              <w14:schemeClr w14:val="tx1"/>
            </w14:solidFill>
          </w14:textFill>
        </w:rPr>
        <w:t>；</w:t>
      </w:r>
    </w:p>
    <w:p w14:paraId="123F0646">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⑤</w:t>
      </w:r>
      <w:r>
        <w:rPr>
          <w:color w:val="000000" w:themeColor="text1"/>
          <w:lang w:val="zh-CN"/>
          <w14:textFill>
            <w14:solidFill>
              <w14:schemeClr w14:val="tx1"/>
            </w14:solidFill>
          </w14:textFill>
        </w:rPr>
        <w:t>设计洪水频率：100年一遇；（6）汽车荷载等级：公路</w:t>
      </w:r>
      <w:bookmarkStart w:id="278" w:name="hmcheck_025c753b09b549828bfffd709f6e0216"/>
      <w:r>
        <w:rPr>
          <w:color w:val="000000" w:themeColor="text1"/>
          <w:shd w:val="clear" w:fill="FFAFAA"/>
          <w:lang w:val="zh-CN"/>
          <w14:textFill>
            <w14:solidFill>
              <w14:schemeClr w14:val="tx1"/>
            </w14:solidFill>
          </w14:textFill>
        </w:rPr>
        <w:t>-</w:t>
      </w:r>
      <w:bookmarkEnd w:id="278"/>
      <w:r>
        <w:rPr>
          <w:color w:val="000000" w:themeColor="text1"/>
          <w:lang w:val="zh-CN"/>
          <w14:textFill>
            <w14:solidFill>
              <w14:schemeClr w14:val="tx1"/>
            </w14:solidFill>
          </w14:textFill>
        </w:rPr>
        <w:t>Ⅰ 级；</w:t>
      </w:r>
    </w:p>
    <w:p w14:paraId="48F3E9B7">
      <w:pPr>
        <w:ind w:firstLine="480"/>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⑥</w:t>
      </w:r>
      <w:r>
        <w:rPr>
          <w:color w:val="000000" w:themeColor="text1"/>
          <w:lang w:val="zh-CN"/>
          <w14:textFill>
            <w14:solidFill>
              <w14:schemeClr w14:val="tx1"/>
            </w14:solidFill>
          </w14:textFill>
        </w:rPr>
        <w:t>抗震设防标准：</w:t>
      </w:r>
      <w:bookmarkStart w:id="279" w:name="hmcheck_2a4e25953c0a4698b28abd56bc04cd4a"/>
      <w:r>
        <w:rPr>
          <w:color w:val="000000" w:themeColor="text1"/>
          <w:shd w:val="clear" w:fill="FFAFAA"/>
          <w:lang w:val="zh-CN"/>
          <w14:textFill>
            <w14:solidFill>
              <w14:schemeClr w14:val="tx1"/>
            </w14:solidFill>
          </w14:textFill>
        </w:rPr>
        <w:t>场地地</w:t>
      </w:r>
      <w:bookmarkEnd w:id="279"/>
      <w:r>
        <w:rPr>
          <w:color w:val="000000" w:themeColor="text1"/>
          <w:lang w:val="zh-CN"/>
          <w14:textFill>
            <w14:solidFill>
              <w14:schemeClr w14:val="tx1"/>
            </w14:solidFill>
          </w14:textFill>
        </w:rPr>
        <w:t>震动加速度峰值为0.10g，地震动反应谱特征周期为0.45s，桥梁抗震设防烈度为7度，大埔大桥抗震设防措施等级为三级，枝钟中桥抗震设防措施等级为二级。</w:t>
      </w:r>
    </w:p>
    <w:p w14:paraId="64F79218">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）线路桥梁分布</w:t>
      </w:r>
    </w:p>
    <w:p w14:paraId="01F220D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主线设置大桥1座，接线设置中桥1座。</w:t>
      </w:r>
      <w:r>
        <w:rPr>
          <w:color w:val="000000" w:themeColor="text1"/>
          <w14:textFill>
            <w14:solidFill>
              <w14:schemeClr w14:val="tx1"/>
            </w14:solidFill>
          </w14:textFill>
        </w:rPr>
        <w:t>桥梁设置一览表</w:t>
      </w: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_Ref137548936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表3.3-4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2DFA0E29">
      <w:pPr>
        <w:pStyle w:val="87"/>
        <w:spacing w:before="120"/>
        <w:ind w:firstLine="480"/>
        <w:rPr>
          <w:color w:val="000000" w:themeColor="text1"/>
          <w14:textFill>
            <w14:solidFill>
              <w14:schemeClr w14:val="tx1"/>
            </w14:solidFill>
          </w14:textFill>
        </w:rPr>
      </w:pPr>
      <w:bookmarkStart w:id="280" w:name="_Ref137548936"/>
      <w:r>
        <w:rPr>
          <w:color w:val="000000" w:themeColor="text1"/>
          <w14:textFill>
            <w14:solidFill>
              <w14:schemeClr w14:val="tx1"/>
            </w14:solidFill>
          </w14:textFill>
        </w:rPr>
        <w:t>推荐方案桥梁设置一览表</w:t>
      </w:r>
      <w:bookmarkEnd w:id="280"/>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3"/>
        <w:gridCol w:w="765"/>
        <w:gridCol w:w="715"/>
        <w:gridCol w:w="860"/>
        <w:gridCol w:w="884"/>
        <w:gridCol w:w="611"/>
        <w:gridCol w:w="765"/>
        <w:gridCol w:w="858"/>
        <w:gridCol w:w="718"/>
        <w:gridCol w:w="720"/>
        <w:gridCol w:w="2021"/>
      </w:tblGrid>
      <w:tr w14:paraId="4275CE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201" w:type="pct"/>
            <w:vMerge w:val="restart"/>
            <w:vAlign w:val="center"/>
          </w:tcPr>
          <w:p w14:paraId="03ACC034">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序</w:t>
            </w:r>
          </w:p>
          <w:p w14:paraId="22B80EF8">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号</w:t>
            </w:r>
          </w:p>
        </w:tc>
        <w:tc>
          <w:tcPr>
            <w:tcW w:w="412" w:type="pct"/>
            <w:vMerge w:val="restart"/>
            <w:vAlign w:val="center"/>
          </w:tcPr>
          <w:p w14:paraId="2C70270D">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桥梁</w:t>
            </w:r>
          </w:p>
          <w:p w14:paraId="35CF145C">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名称</w:t>
            </w:r>
          </w:p>
        </w:tc>
        <w:tc>
          <w:tcPr>
            <w:tcW w:w="385" w:type="pct"/>
            <w:vMerge w:val="restart"/>
            <w:vAlign w:val="center"/>
          </w:tcPr>
          <w:p w14:paraId="101AECDF">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中心</w:t>
            </w:r>
          </w:p>
          <w:p w14:paraId="36D36EA4">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桩号</w:t>
            </w:r>
          </w:p>
        </w:tc>
        <w:tc>
          <w:tcPr>
            <w:tcW w:w="463" w:type="pct"/>
            <w:vMerge w:val="restart"/>
            <w:vAlign w:val="center"/>
          </w:tcPr>
          <w:p w14:paraId="27B04BE2">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起讫桩号</w:t>
            </w:r>
          </w:p>
        </w:tc>
        <w:tc>
          <w:tcPr>
            <w:tcW w:w="476" w:type="pct"/>
            <w:vMerge w:val="restart"/>
            <w:vAlign w:val="center"/>
          </w:tcPr>
          <w:p w14:paraId="36FC23AB">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孔数及孔径（孔</w:t>
            </w:r>
            <w:r>
              <w:rPr>
                <w:color w:val="000000" w:themeColor="text1"/>
                <w:sz w:val="18"/>
                <w:szCs w:val="18"/>
                <w14:textFill>
                  <w14:solidFill>
                    <w14:schemeClr w14:val="tx1"/>
                  </w14:solidFill>
                </w14:textFill>
              </w:rPr>
              <w:t>-m</w:t>
            </w:r>
            <w:r>
              <w:rPr>
                <w:rFonts w:hint="eastAsia"/>
                <w:color w:val="000000" w:themeColor="text1"/>
                <w:sz w:val="18"/>
                <w:szCs w:val="18"/>
                <w14:textFill>
                  <w14:solidFill>
                    <w14:schemeClr w14:val="tx1"/>
                  </w14:solidFill>
                </w14:textFill>
              </w:rPr>
              <w:t>）</w:t>
            </w:r>
          </w:p>
        </w:tc>
        <w:tc>
          <w:tcPr>
            <w:tcW w:w="329" w:type="pct"/>
            <w:vMerge w:val="restart"/>
            <w:vAlign w:val="center"/>
          </w:tcPr>
          <w:p w14:paraId="4EF6225C">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桥面</w:t>
            </w:r>
          </w:p>
          <w:p w14:paraId="1C36835A">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宽度</w:t>
            </w:r>
          </w:p>
          <w:p w14:paraId="7F83179A">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(m)</w:t>
            </w:r>
          </w:p>
        </w:tc>
        <w:tc>
          <w:tcPr>
            <w:tcW w:w="412" w:type="pct"/>
            <w:vMerge w:val="restart"/>
            <w:vAlign w:val="center"/>
          </w:tcPr>
          <w:p w14:paraId="61827CB7">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桥梁</w:t>
            </w:r>
          </w:p>
          <w:p w14:paraId="61B18336">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全长</w:t>
            </w:r>
          </w:p>
          <w:p w14:paraId="653DFA17">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(m)</w:t>
            </w:r>
          </w:p>
        </w:tc>
        <w:tc>
          <w:tcPr>
            <w:tcW w:w="1234" w:type="pct"/>
            <w:gridSpan w:val="3"/>
            <w:vAlign w:val="center"/>
          </w:tcPr>
          <w:p w14:paraId="1199E179">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结构类型</w:t>
            </w:r>
          </w:p>
        </w:tc>
        <w:tc>
          <w:tcPr>
            <w:tcW w:w="1088" w:type="pct"/>
            <w:vMerge w:val="restart"/>
            <w:vAlign w:val="center"/>
          </w:tcPr>
          <w:p w14:paraId="5AD94393">
            <w:pPr>
              <w:pStyle w:val="105"/>
              <w:wordWrap w:val="0"/>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交叉道路、河流</w:t>
            </w:r>
          </w:p>
        </w:tc>
      </w:tr>
      <w:tr w14:paraId="337849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 w:type="pct"/>
            <w:vMerge w:val="continue"/>
            <w:vAlign w:val="center"/>
          </w:tcPr>
          <w:p w14:paraId="178F4562">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12" w:type="pct"/>
            <w:vMerge w:val="continue"/>
            <w:vAlign w:val="center"/>
          </w:tcPr>
          <w:p w14:paraId="6E8B706D">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385" w:type="pct"/>
            <w:vMerge w:val="continue"/>
            <w:vAlign w:val="center"/>
          </w:tcPr>
          <w:p w14:paraId="1267EE3F">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63" w:type="pct"/>
            <w:vMerge w:val="continue"/>
            <w:vAlign w:val="center"/>
          </w:tcPr>
          <w:p w14:paraId="793BDB9C">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76" w:type="pct"/>
            <w:vMerge w:val="continue"/>
            <w:vAlign w:val="center"/>
          </w:tcPr>
          <w:p w14:paraId="5F62611C">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329" w:type="pct"/>
            <w:vMerge w:val="continue"/>
            <w:vAlign w:val="center"/>
          </w:tcPr>
          <w:p w14:paraId="6C59A206">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12" w:type="pct"/>
            <w:vMerge w:val="continue"/>
            <w:vAlign w:val="center"/>
          </w:tcPr>
          <w:p w14:paraId="55BD2F03">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62" w:type="pct"/>
            <w:vMerge w:val="restart"/>
            <w:vAlign w:val="center"/>
          </w:tcPr>
          <w:p w14:paraId="1BF3FD51">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上部</w:t>
            </w:r>
          </w:p>
          <w:p w14:paraId="634AB743">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结构</w:t>
            </w:r>
          </w:p>
        </w:tc>
        <w:tc>
          <w:tcPr>
            <w:tcW w:w="773" w:type="pct"/>
            <w:gridSpan w:val="2"/>
            <w:vAlign w:val="center"/>
          </w:tcPr>
          <w:p w14:paraId="19B7985B">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下部结构</w:t>
            </w:r>
          </w:p>
        </w:tc>
        <w:tc>
          <w:tcPr>
            <w:tcW w:w="1088" w:type="pct"/>
            <w:vMerge w:val="continue"/>
            <w:vAlign w:val="center"/>
          </w:tcPr>
          <w:p w14:paraId="2CBA368E">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r>
      <w:tr w14:paraId="128179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 w:type="pct"/>
            <w:vMerge w:val="continue"/>
            <w:vAlign w:val="center"/>
          </w:tcPr>
          <w:p w14:paraId="2DA163B3">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12" w:type="pct"/>
            <w:vMerge w:val="continue"/>
            <w:vAlign w:val="center"/>
          </w:tcPr>
          <w:p w14:paraId="6DE85BDA">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385" w:type="pct"/>
            <w:vMerge w:val="continue"/>
            <w:vAlign w:val="center"/>
          </w:tcPr>
          <w:p w14:paraId="758E9FE9">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63" w:type="pct"/>
            <w:vMerge w:val="continue"/>
            <w:vAlign w:val="center"/>
          </w:tcPr>
          <w:p w14:paraId="14D649C3">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76" w:type="pct"/>
            <w:vMerge w:val="continue"/>
            <w:vAlign w:val="center"/>
          </w:tcPr>
          <w:p w14:paraId="32848C33">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329" w:type="pct"/>
            <w:vMerge w:val="continue"/>
            <w:vAlign w:val="center"/>
          </w:tcPr>
          <w:p w14:paraId="16388D2E">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12" w:type="pct"/>
            <w:vMerge w:val="continue"/>
            <w:vAlign w:val="center"/>
          </w:tcPr>
          <w:p w14:paraId="71C3C36A">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462" w:type="pct"/>
            <w:vMerge w:val="continue"/>
            <w:vAlign w:val="center"/>
          </w:tcPr>
          <w:p w14:paraId="4FED3BD0">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c>
          <w:tcPr>
            <w:tcW w:w="386" w:type="pct"/>
            <w:vAlign w:val="center"/>
          </w:tcPr>
          <w:p w14:paraId="0CD601CB">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桥台及基础</w:t>
            </w:r>
          </w:p>
        </w:tc>
        <w:tc>
          <w:tcPr>
            <w:tcW w:w="386" w:type="pct"/>
            <w:vAlign w:val="center"/>
          </w:tcPr>
          <w:p w14:paraId="5B5214B8">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桥墩及基础</w:t>
            </w:r>
          </w:p>
        </w:tc>
        <w:tc>
          <w:tcPr>
            <w:tcW w:w="1088" w:type="pct"/>
            <w:vMerge w:val="continue"/>
            <w:vAlign w:val="center"/>
          </w:tcPr>
          <w:p w14:paraId="354FCD63">
            <w:pPr>
              <w:pStyle w:val="105"/>
              <w:wordWrap w:val="0"/>
              <w:spacing w:before="0" w:after="0"/>
              <w:ind w:left="-48" w:leftChars="-20" w:right="-48" w:rightChars="-20"/>
              <w:jc w:val="center"/>
              <w:rPr>
                <w:color w:val="000000" w:themeColor="text1"/>
                <w:sz w:val="18"/>
                <w:szCs w:val="18"/>
                <w14:textFill>
                  <w14:solidFill>
                    <w14:schemeClr w14:val="tx1"/>
                  </w14:solidFill>
                </w14:textFill>
              </w:rPr>
            </w:pPr>
          </w:p>
        </w:tc>
      </w:tr>
      <w:tr w14:paraId="02806E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 w:type="pct"/>
            <w:vAlign w:val="center"/>
          </w:tcPr>
          <w:p w14:paraId="187F4098">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p>
        </w:tc>
        <w:tc>
          <w:tcPr>
            <w:tcW w:w="412" w:type="pct"/>
            <w:vAlign w:val="center"/>
          </w:tcPr>
          <w:p w14:paraId="7E0D5A79">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cs="Times New Roman"/>
                <w:color w:val="000000" w:themeColor="text1"/>
                <w:kern w:val="0"/>
                <w:sz w:val="18"/>
                <w:szCs w:val="18"/>
                <w:lang w:val="zh-CN"/>
                <w14:textFill>
                  <w14:solidFill>
                    <w14:schemeClr w14:val="tx1"/>
                  </w14:solidFill>
                </w14:textFill>
              </w:rPr>
              <w:t>大埔大桥</w:t>
            </w:r>
            <w:r>
              <w:rPr>
                <w:rFonts w:hint="eastAsia" w:cs="Times New Roman"/>
                <w:color w:val="000000" w:themeColor="text1"/>
                <w:kern w:val="0"/>
                <w:sz w:val="18"/>
                <w:szCs w:val="18"/>
                <w:lang w:val="zh-CN"/>
                <w14:textFill>
                  <w14:solidFill>
                    <w14:schemeClr w14:val="tx1"/>
                  </w14:solidFill>
                </w14:textFill>
              </w:rPr>
              <w:t>（主线）</w:t>
            </w:r>
          </w:p>
        </w:tc>
        <w:tc>
          <w:tcPr>
            <w:tcW w:w="385" w:type="pct"/>
            <w:vAlign w:val="center"/>
          </w:tcPr>
          <w:p w14:paraId="386086CB">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cs="Times New Roman"/>
                <w:color w:val="000000" w:themeColor="text1"/>
                <w:kern w:val="0"/>
                <w:sz w:val="18"/>
                <w:szCs w:val="18"/>
                <w:lang w:val="zh-CN"/>
                <w14:textFill>
                  <w14:solidFill>
                    <w14:schemeClr w14:val="tx1"/>
                  </w14:solidFill>
                </w14:textFill>
              </w:rPr>
              <w:t>K2+250.25</w:t>
            </w:r>
          </w:p>
        </w:tc>
        <w:tc>
          <w:tcPr>
            <w:tcW w:w="463" w:type="pct"/>
            <w:vAlign w:val="center"/>
          </w:tcPr>
          <w:p w14:paraId="338B4596">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K1+974 ~K2+526.5</w:t>
            </w:r>
          </w:p>
        </w:tc>
        <w:tc>
          <w:tcPr>
            <w:tcW w:w="476" w:type="pct"/>
            <w:vAlign w:val="center"/>
          </w:tcPr>
          <w:p w14:paraId="2C6FB4FD">
            <w:pPr>
              <w:pStyle w:val="105"/>
              <w:wordWrap w:val="0"/>
              <w:jc w:val="center"/>
              <w:rPr>
                <w:color w:val="000000" w:themeColor="text1"/>
                <w:sz w:val="18"/>
                <w:szCs w:val="18"/>
                <w14:textFill>
                  <w14:solidFill>
                    <w14:schemeClr w14:val="tx1"/>
                  </w14:solidFill>
                </w14:textFill>
              </w:rPr>
            </w:pPr>
            <w:r>
              <w:rPr>
                <w:color w:val="000000" w:themeColor="text1"/>
                <w:sz w:val="18"/>
                <w:szCs w:val="18"/>
                <w:lang w:val="zh-CN"/>
                <w14:textFill>
                  <w14:solidFill>
                    <w14:schemeClr w14:val="tx1"/>
                  </w14:solidFill>
                </w14:textFill>
              </w:rPr>
              <w:t>3×30+1×30+65+5×30+4×30</w:t>
            </w:r>
          </w:p>
        </w:tc>
        <w:tc>
          <w:tcPr>
            <w:tcW w:w="329" w:type="pct"/>
            <w:vAlign w:val="center"/>
          </w:tcPr>
          <w:p w14:paraId="19D8E30E">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18.5</w:t>
            </w:r>
          </w:p>
        </w:tc>
        <w:tc>
          <w:tcPr>
            <w:tcW w:w="412" w:type="pct"/>
            <w:vAlign w:val="center"/>
          </w:tcPr>
          <w:p w14:paraId="66C8D288">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cs="Times New Roman"/>
                <w:color w:val="000000" w:themeColor="text1"/>
                <w:kern w:val="0"/>
                <w:sz w:val="18"/>
                <w:szCs w:val="18"/>
                <w:lang w:val="zh-CN"/>
                <w14:textFill>
                  <w14:solidFill>
                    <w14:schemeClr w14:val="tx1"/>
                  </w14:solidFill>
                </w14:textFill>
              </w:rPr>
              <w:t>552.5</w:t>
            </w:r>
          </w:p>
        </w:tc>
        <w:tc>
          <w:tcPr>
            <w:tcW w:w="462" w:type="pct"/>
            <w:vAlign w:val="center"/>
          </w:tcPr>
          <w:p w14:paraId="7ACA8787">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预制小箱梁</w:t>
            </w:r>
          </w:p>
        </w:tc>
        <w:tc>
          <w:tcPr>
            <w:tcW w:w="386" w:type="pct"/>
            <w:vAlign w:val="center"/>
          </w:tcPr>
          <w:p w14:paraId="2802FA3E">
            <w:pPr>
              <w:pStyle w:val="105"/>
              <w:wordWrap w:val="0"/>
              <w:jc w:val="center"/>
              <w:rPr>
                <w:color w:val="000000" w:themeColor="text1"/>
                <w:sz w:val="18"/>
                <w:szCs w:val="18"/>
                <w14:textFill>
                  <w14:solidFill>
                    <w14:schemeClr w14:val="tx1"/>
                  </w14:solidFill>
                </w14:textFill>
              </w:rPr>
            </w:pPr>
            <w:r>
              <w:rPr>
                <w:color w:val="000000" w:themeColor="text1"/>
                <w:sz w:val="18"/>
                <w:szCs w:val="18"/>
                <w:lang w:val="zh-CN"/>
                <w14:textFill>
                  <w14:solidFill>
                    <w14:schemeClr w14:val="tx1"/>
                  </w14:solidFill>
                </w14:textFill>
              </w:rPr>
              <w:t>U台、柱台</w:t>
            </w:r>
            <w:r>
              <w:rPr>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桩基础</w:t>
            </w:r>
          </w:p>
        </w:tc>
        <w:tc>
          <w:tcPr>
            <w:tcW w:w="386" w:type="pct"/>
            <w:vAlign w:val="center"/>
          </w:tcPr>
          <w:p w14:paraId="420E8F5D">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柱墩</w:t>
            </w:r>
            <w:r>
              <w:rPr>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桩基础</w:t>
            </w:r>
          </w:p>
        </w:tc>
        <w:tc>
          <w:tcPr>
            <w:tcW w:w="1088" w:type="pct"/>
            <w:vAlign w:val="center"/>
          </w:tcPr>
          <w:p w14:paraId="7D29B9B3">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上跨L</w:t>
            </w:r>
            <w:r>
              <w:rPr>
                <w:color w:val="000000" w:themeColor="text1"/>
                <w:sz w:val="18"/>
                <w:szCs w:val="18"/>
                <w14:textFill>
                  <w14:solidFill>
                    <w14:schemeClr w14:val="tx1"/>
                  </w14:solidFill>
                </w14:textFill>
              </w:rPr>
              <w:t>NG</w:t>
            </w:r>
            <w:r>
              <w:rPr>
                <w:rFonts w:hint="eastAsia"/>
                <w:color w:val="000000" w:themeColor="text1"/>
                <w:sz w:val="18"/>
                <w:szCs w:val="18"/>
                <w14:textFill>
                  <w14:solidFill>
                    <w14:schemeClr w14:val="tx1"/>
                  </w14:solidFill>
                </w14:textFill>
              </w:rPr>
              <w:t>成品油线路、沈海高速、迳江支流（改渠）。</w:t>
            </w:r>
          </w:p>
          <w:p w14:paraId="0E8256D4">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改河后桥墩不涉水。</w:t>
            </w:r>
          </w:p>
        </w:tc>
      </w:tr>
      <w:tr w14:paraId="1E4E9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1" w:type="pct"/>
            <w:vAlign w:val="center"/>
          </w:tcPr>
          <w:p w14:paraId="1FE498D8">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p>
        </w:tc>
        <w:tc>
          <w:tcPr>
            <w:tcW w:w="412" w:type="pct"/>
            <w:vAlign w:val="center"/>
          </w:tcPr>
          <w:p w14:paraId="4A5323F8">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枝钟中桥</w:t>
            </w:r>
            <w:r>
              <w:rPr>
                <w:rFonts w:hint="eastAsia"/>
                <w:color w:val="000000" w:themeColor="text1"/>
                <w:sz w:val="18"/>
                <w:szCs w:val="18"/>
                <w14:textFill>
                  <w14:solidFill>
                    <w14:schemeClr w14:val="tx1"/>
                  </w14:solidFill>
                </w14:textFill>
              </w:rPr>
              <w:t>（接线）</w:t>
            </w:r>
          </w:p>
        </w:tc>
        <w:tc>
          <w:tcPr>
            <w:tcW w:w="385" w:type="pct"/>
            <w:vAlign w:val="center"/>
          </w:tcPr>
          <w:p w14:paraId="03740BC7">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lang w:val="zh-CN"/>
                <w14:textFill>
                  <w14:solidFill>
                    <w14:schemeClr w14:val="tx1"/>
                  </w14:solidFill>
                </w14:textFill>
              </w:rPr>
              <w:t>LK0+049.500</w:t>
            </w:r>
          </w:p>
        </w:tc>
        <w:tc>
          <w:tcPr>
            <w:tcW w:w="463" w:type="pct"/>
            <w:vAlign w:val="center"/>
          </w:tcPr>
          <w:p w14:paraId="0157F0DF">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lang w:val="zh-CN"/>
                <w14:textFill>
                  <w14:solidFill>
                    <w14:schemeClr w14:val="tx1"/>
                  </w14:solidFill>
                </w14:textFill>
              </w:rPr>
              <w:t>LK0+031~ LK0+068</w:t>
            </w:r>
          </w:p>
        </w:tc>
        <w:tc>
          <w:tcPr>
            <w:tcW w:w="476" w:type="pct"/>
            <w:vAlign w:val="center"/>
          </w:tcPr>
          <w:p w14:paraId="46E9C15E">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lang w:val="zh-CN"/>
                <w14:textFill>
                  <w14:solidFill>
                    <w14:schemeClr w14:val="tx1"/>
                  </w14:solidFill>
                </w14:textFill>
              </w:rPr>
              <w:t>2×16</w:t>
            </w:r>
          </w:p>
        </w:tc>
        <w:tc>
          <w:tcPr>
            <w:tcW w:w="329" w:type="pct"/>
            <w:vAlign w:val="center"/>
          </w:tcPr>
          <w:p w14:paraId="5F1F0234">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w:t>
            </w:r>
          </w:p>
        </w:tc>
        <w:tc>
          <w:tcPr>
            <w:tcW w:w="412" w:type="pct"/>
            <w:vAlign w:val="center"/>
          </w:tcPr>
          <w:p w14:paraId="0BF2028B">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7</w:t>
            </w:r>
          </w:p>
        </w:tc>
        <w:tc>
          <w:tcPr>
            <w:tcW w:w="462" w:type="pct"/>
            <w:vAlign w:val="center"/>
          </w:tcPr>
          <w:p w14:paraId="12FDFE86">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cs="Times New Roman"/>
                <w:color w:val="000000" w:themeColor="text1"/>
                <w:kern w:val="0"/>
                <w:sz w:val="18"/>
                <w:szCs w:val="18"/>
                <w:lang w:val="zh-CN"/>
                <w14:textFill>
                  <w14:solidFill>
                    <w14:schemeClr w14:val="tx1"/>
                  </w14:solidFill>
                </w14:textFill>
              </w:rPr>
              <w:t>PC简支预制空心板</w:t>
            </w:r>
          </w:p>
        </w:tc>
        <w:tc>
          <w:tcPr>
            <w:tcW w:w="386" w:type="pct"/>
            <w:vAlign w:val="center"/>
          </w:tcPr>
          <w:p w14:paraId="51EE9E15">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lang w:val="zh-CN"/>
                <w14:textFill>
                  <w14:solidFill>
                    <w14:schemeClr w14:val="tx1"/>
                  </w14:solidFill>
                </w14:textFill>
              </w:rPr>
              <w:t>柱台</w:t>
            </w:r>
            <w:r>
              <w:rPr>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桩基础</w:t>
            </w:r>
          </w:p>
        </w:tc>
        <w:tc>
          <w:tcPr>
            <w:tcW w:w="386" w:type="pct"/>
            <w:vAlign w:val="center"/>
          </w:tcPr>
          <w:p w14:paraId="66DE9AED">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柱墩</w:t>
            </w:r>
            <w:r>
              <w:rPr>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桩基础</w:t>
            </w:r>
          </w:p>
        </w:tc>
        <w:tc>
          <w:tcPr>
            <w:tcW w:w="1088" w:type="pct"/>
            <w:vAlign w:val="center"/>
          </w:tcPr>
          <w:p w14:paraId="0A4A63AF">
            <w:pPr>
              <w:pStyle w:val="105"/>
              <w:wordWrap w:val="0"/>
              <w:spacing w:before="0" w:after="0"/>
              <w:ind w:left="-48" w:leftChars="-20" w:right="-48" w:rightChars="-2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上跨迳江支流，2号桥墩涉水</w:t>
            </w:r>
          </w:p>
        </w:tc>
      </w:tr>
    </w:tbl>
    <w:p w14:paraId="4F9DEBAB">
      <w:pPr>
        <w:ind w:firstLine="480"/>
        <w:rPr>
          <w:color w:val="000000" w:themeColor="text1"/>
          <w:lang w:val="zh-CN"/>
          <w14:textFill>
            <w14:solidFill>
              <w14:schemeClr w14:val="tx1"/>
            </w14:solidFill>
          </w14:textFill>
        </w:rPr>
        <w:sectPr>
          <w:headerReference r:id="rId18" w:type="default"/>
          <w:footerReference r:id="rId19" w:type="default"/>
          <w:pgSz w:w="11910" w:h="16840"/>
          <w:pgMar w:top="1418" w:right="1418" w:bottom="1418" w:left="1418" w:header="851" w:footer="851" w:gutter="0"/>
          <w:cols w:space="720" w:num="1"/>
        </w:sectPr>
      </w:pPr>
    </w:p>
    <w:p w14:paraId="58A680BB">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涵洞</w:t>
      </w:r>
      <w:r>
        <w:rPr>
          <w:color w:val="000000" w:themeColor="text1"/>
          <w14:textFill>
            <w14:solidFill>
              <w14:schemeClr w14:val="tx1"/>
            </w14:solidFill>
          </w14:textFill>
        </w:rPr>
        <w:t>工程</w:t>
      </w:r>
    </w:p>
    <w:p w14:paraId="4E12DD1F">
      <w:pPr>
        <w:ind w:firstLine="480"/>
        <w:rPr>
          <w:color w:val="000000" w:themeColor="text1"/>
          <w:lang w:val="zh-CN"/>
          <w14:textFill>
            <w14:solidFill>
              <w14:schemeClr w14:val="tx1"/>
            </w14:solidFill>
          </w14:textFill>
        </w:rPr>
      </w:pPr>
      <w:bookmarkStart w:id="281" w:name="_Hlk187651160"/>
      <w:r>
        <w:rPr>
          <w:rFonts w:hint="eastAsia"/>
          <w:color w:val="000000" w:themeColor="text1"/>
          <w14:textFill>
            <w14:solidFill>
              <w14:schemeClr w14:val="tx1"/>
            </w14:solidFill>
          </w14:textFill>
        </w:rPr>
        <w:t>项目共设置涵洞</w:t>
      </w:r>
      <w:r>
        <w:rPr>
          <w:color w:val="000000" w:themeColor="text1"/>
          <w14:textFill>
            <w14:solidFill>
              <w14:schemeClr w14:val="tx1"/>
            </w14:solidFill>
          </w14:textFill>
        </w:rPr>
        <w:t>28</w:t>
      </w:r>
      <w:r>
        <w:rPr>
          <w:rFonts w:hint="eastAsia"/>
          <w:color w:val="000000" w:themeColor="text1"/>
          <w14:textFill>
            <w14:solidFill>
              <w14:schemeClr w14:val="tx1"/>
            </w14:solidFill>
          </w14:textFill>
        </w:rPr>
        <w:t>道。其中</w:t>
      </w:r>
      <w:r>
        <w:rPr>
          <w:color w:val="000000" w:themeColor="text1"/>
          <w:lang w:val="zh-CN"/>
          <w14:textFill>
            <w14:solidFill>
              <w14:schemeClr w14:val="tx1"/>
            </w14:solidFill>
          </w14:textFill>
        </w:rPr>
        <w:t>主线</w:t>
      </w:r>
      <w:r>
        <w:rPr>
          <w:rFonts w:hint="eastAsia"/>
          <w:color w:val="000000" w:themeColor="text1"/>
          <w:lang w:val="zh-CN"/>
          <w14:textFill>
            <w14:solidFill>
              <w14:schemeClr w14:val="tx1"/>
            </w14:solidFill>
          </w14:textFill>
        </w:rPr>
        <w:t>内</w:t>
      </w:r>
      <w:r>
        <w:rPr>
          <w:color w:val="000000" w:themeColor="text1"/>
          <w:lang w:val="zh-CN"/>
          <w14:textFill>
            <w14:solidFill>
              <w14:schemeClr w14:val="tx1"/>
            </w14:solidFill>
          </w14:textFill>
        </w:rPr>
        <w:t>共设涵洞 21 道，其中设置钢筋混凝土盖板涵 7 道，圆管涵 10 道，箱涵 4 道，总长431.51m。</w:t>
      </w:r>
      <w:bookmarkEnd w:id="281"/>
      <w:r>
        <w:rPr>
          <w:color w:val="000000" w:themeColor="text1"/>
          <w:lang w:val="zh-CN"/>
          <w14:textFill>
            <w14:solidFill>
              <w14:schemeClr w14:val="tx1"/>
            </w14:solidFill>
          </w14:textFill>
        </w:rPr>
        <w:t>其中</w:t>
      </w:r>
      <w:r>
        <w:rPr>
          <w:rFonts w:hint="eastAsia"/>
          <w:color w:val="000000" w:themeColor="text1"/>
          <w:lang w:val="zh-CN"/>
          <w14:textFill>
            <w14:solidFill>
              <w14:schemeClr w14:val="tx1"/>
            </w14:solidFill>
          </w14:textFill>
        </w:rPr>
        <w:t>①</w:t>
      </w:r>
      <w:r>
        <w:rPr>
          <w:color w:val="000000" w:themeColor="text1"/>
          <w:lang w:val="zh-CN"/>
          <w14:textFill>
            <w14:solidFill>
              <w14:schemeClr w14:val="tx1"/>
            </w14:solidFill>
          </w14:textFill>
        </w:rPr>
        <w:t>K1+563.24处涵洞为6-5.5*4.5箱涵。分三联箱涵设计施工，中心桩号分别为K11548.84、K11563.24、K1+577.61，两联之间设置2cm沉降缝。（2）本项目范围内设置两道LNG管道保护涵。</w:t>
      </w:r>
    </w:p>
    <w:p w14:paraId="5EB2F7C0">
      <w:pPr>
        <w:ind w:firstLine="480"/>
        <w:rPr>
          <w:color w:val="000000" w:themeColor="text1"/>
          <w14:textFill>
            <w14:solidFill>
              <w14:schemeClr w14:val="tx1"/>
            </w14:solidFill>
          </w14:textFill>
        </w:rPr>
      </w:pPr>
      <w:r>
        <w:rPr>
          <w:rFonts w:hint="eastAsia"/>
          <w:color w:val="000000" w:themeColor="text1"/>
          <w:lang w:val="zh-TW" w:eastAsia="zh-TW"/>
          <w14:textFill>
            <w14:solidFill>
              <w14:schemeClr w14:val="tx1"/>
            </w14:solidFill>
          </w14:textFill>
        </w:rPr>
        <w:t>项目设线外排水涵洞</w:t>
      </w:r>
      <w:r>
        <w:rPr>
          <w:color w:val="000000" w:themeColor="text1"/>
          <w:lang w:val="zh-TW" w:eastAsia="zh-TW"/>
          <w14:textFill>
            <w14:solidFill>
              <w14:schemeClr w14:val="tx1"/>
            </w14:solidFill>
          </w14:textFill>
        </w:rPr>
        <w:t>7</w:t>
      </w:r>
      <w:r>
        <w:rPr>
          <w:rFonts w:hint="eastAsia"/>
          <w:color w:val="000000" w:themeColor="text1"/>
          <w:lang w:val="zh-TW" w:eastAsia="zh-TW"/>
          <w14:textFill>
            <w14:solidFill>
              <w14:schemeClr w14:val="tx1"/>
            </w14:solidFill>
          </w14:textFill>
        </w:rPr>
        <w:t>道，为钢</w:t>
      </w:r>
      <w:r>
        <w:rPr>
          <w:rFonts w:hint="eastAsia"/>
          <w:color w:val="000000" w:themeColor="text1"/>
          <w14:textFill>
            <w14:solidFill>
              <w14:schemeClr w14:val="tx1"/>
            </w14:solidFill>
          </w14:textFill>
        </w:rPr>
        <w:t>筋混凝土圆管涵，总长</w:t>
      </w:r>
      <w:r>
        <w:rPr>
          <w:color w:val="000000" w:themeColor="text1"/>
          <w14:textFill>
            <w14:solidFill>
              <w14:schemeClr w14:val="tx1"/>
            </w14:solidFill>
          </w14:textFill>
        </w:rPr>
        <w:t>98m</w:t>
      </w:r>
      <w:r>
        <w:rPr>
          <w:rFonts w:hint="eastAsia"/>
          <w:color w:val="000000" w:themeColor="text1"/>
          <w14:textFill>
            <w14:solidFill>
              <w14:schemeClr w14:val="tx1"/>
            </w14:solidFill>
          </w14:textFill>
        </w:rPr>
        <w:t>。</w:t>
      </w:r>
    </w:p>
    <w:p w14:paraId="498220C9">
      <w:pPr>
        <w:pStyle w:val="87"/>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线外涵洞一览表</w:t>
      </w:r>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1011"/>
        <w:gridCol w:w="1778"/>
        <w:gridCol w:w="1347"/>
        <w:gridCol w:w="1459"/>
        <w:gridCol w:w="1013"/>
        <w:gridCol w:w="2682"/>
      </w:tblGrid>
      <w:tr w14:paraId="7134C9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Merge w:val="restart"/>
            <w:tcBorders>
              <w:top w:val="single" w:color="auto" w:sz="12" w:space="0"/>
              <w:left w:val="nil"/>
              <w:bottom w:val="nil"/>
              <w:right w:val="single" w:color="auto" w:sz="6" w:space="0"/>
              <w:insideH w:val="nil"/>
              <w:insideV w:val="single" w:sz="6" w:space="0"/>
              <w:tl2br w:val="nil"/>
              <w:tr2bl w:val="nil"/>
            </w:tcBorders>
            <w:vAlign w:val="center"/>
          </w:tcPr>
          <w:p w14:paraId="07D639BB">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序号</w:t>
            </w:r>
          </w:p>
        </w:tc>
        <w:tc>
          <w:tcPr>
            <w:tcW w:w="957" w:type="pct"/>
            <w:vMerge w:val="restart"/>
            <w:tcBorders>
              <w:top w:val="single" w:color="auto" w:sz="12" w:space="0"/>
              <w:bottom w:val="nil"/>
              <w:right w:val="single" w:color="auto" w:sz="6" w:space="0"/>
              <w:insideH w:val="nil"/>
              <w:insideV w:val="single" w:sz="6" w:space="0"/>
              <w:tl2br w:val="nil"/>
              <w:tr2bl w:val="nil"/>
            </w:tcBorders>
            <w:vAlign w:val="center"/>
          </w:tcPr>
          <w:p w14:paraId="28D0E467">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对应主</w:t>
            </w:r>
          </w:p>
          <w:p w14:paraId="40C82C3A">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线粧号</w:t>
            </w:r>
          </w:p>
        </w:tc>
        <w:tc>
          <w:tcPr>
            <w:tcW w:w="725" w:type="pct"/>
            <w:vMerge w:val="restart"/>
            <w:tcBorders>
              <w:top w:val="single" w:color="auto" w:sz="12" w:space="0"/>
              <w:bottom w:val="nil"/>
              <w:right w:val="single" w:color="auto" w:sz="6" w:space="0"/>
              <w:insideH w:val="nil"/>
              <w:insideV w:val="single" w:sz="6" w:space="0"/>
              <w:tl2br w:val="nil"/>
              <w:tr2bl w:val="nil"/>
            </w:tcBorders>
            <w:vAlign w:val="center"/>
          </w:tcPr>
          <w:p w14:paraId="55ED94BF">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属性</w:t>
            </w:r>
          </w:p>
        </w:tc>
        <w:tc>
          <w:tcPr>
            <w:tcW w:w="785" w:type="pct"/>
            <w:tcBorders>
              <w:top w:val="single" w:color="auto" w:sz="12" w:space="0"/>
              <w:bottom w:val="nil"/>
              <w:right w:val="single" w:color="auto" w:sz="6" w:space="0"/>
              <w:insideH w:val="nil"/>
              <w:insideV w:val="single" w:sz="6" w:space="0"/>
              <w:tl2br w:val="nil"/>
              <w:tr2bl w:val="nil"/>
            </w:tcBorders>
            <w:vAlign w:val="center"/>
          </w:tcPr>
          <w:p w14:paraId="71796ABC">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孔数及孔径</w:t>
            </w:r>
          </w:p>
        </w:tc>
        <w:tc>
          <w:tcPr>
            <w:tcW w:w="545" w:type="pct"/>
            <w:tcBorders>
              <w:top w:val="single" w:color="auto" w:sz="12" w:space="0"/>
              <w:bottom w:val="nil"/>
              <w:right w:val="single" w:color="auto" w:sz="6" w:space="0"/>
              <w:insideH w:val="nil"/>
              <w:insideV w:val="single" w:sz="6" w:space="0"/>
              <w:tl2br w:val="nil"/>
              <w:tr2bl w:val="nil"/>
            </w:tcBorders>
            <w:vAlign w:val="center"/>
          </w:tcPr>
          <w:p w14:paraId="37207E27">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长度</w:t>
            </w:r>
          </w:p>
        </w:tc>
        <w:tc>
          <w:tcPr>
            <w:tcW w:w="1443" w:type="pct"/>
            <w:vMerge w:val="restart"/>
            <w:tcBorders>
              <w:top w:val="single" w:color="auto" w:sz="12" w:space="0"/>
              <w:bottom w:val="nil"/>
              <w:right w:val="nil"/>
              <w:insideH w:val="nil"/>
              <w:insideV w:val="single" w:sz="6" w:space="0"/>
              <w:tl2br w:val="nil"/>
              <w:tr2bl w:val="nil"/>
            </w:tcBorders>
            <w:vAlign w:val="center"/>
          </w:tcPr>
          <w:p w14:paraId="54AE7A21">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备注</w:t>
            </w:r>
          </w:p>
        </w:tc>
      </w:tr>
      <w:tr w14:paraId="4A00BB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Merge w:val="continue"/>
            <w:vAlign w:val="center"/>
          </w:tcPr>
          <w:p w14:paraId="76F845A2">
            <w:pPr>
              <w:pStyle w:val="105"/>
              <w:widowControl w:val="0"/>
              <w:jc w:val="center"/>
              <w:rPr>
                <w:color w:val="000000" w:themeColor="text1"/>
                <w14:textFill>
                  <w14:solidFill>
                    <w14:schemeClr w14:val="tx1"/>
                  </w14:solidFill>
                </w14:textFill>
              </w:rPr>
            </w:pPr>
          </w:p>
        </w:tc>
        <w:tc>
          <w:tcPr>
            <w:tcW w:w="957" w:type="pct"/>
            <w:vMerge w:val="continue"/>
            <w:vAlign w:val="center"/>
          </w:tcPr>
          <w:p w14:paraId="584DD381">
            <w:pPr>
              <w:pStyle w:val="105"/>
              <w:widowControl w:val="0"/>
              <w:jc w:val="center"/>
              <w:rPr>
                <w:color w:val="000000" w:themeColor="text1"/>
                <w14:textFill>
                  <w14:solidFill>
                    <w14:schemeClr w14:val="tx1"/>
                  </w14:solidFill>
                </w14:textFill>
              </w:rPr>
            </w:pPr>
          </w:p>
        </w:tc>
        <w:tc>
          <w:tcPr>
            <w:tcW w:w="725" w:type="pct"/>
            <w:vMerge w:val="continue"/>
            <w:vAlign w:val="center"/>
          </w:tcPr>
          <w:p w14:paraId="4B148831">
            <w:pPr>
              <w:pStyle w:val="105"/>
              <w:widowControl w:val="0"/>
              <w:jc w:val="center"/>
              <w:rPr>
                <w:color w:val="000000" w:themeColor="text1"/>
                <w14:textFill>
                  <w14:solidFill>
                    <w14:schemeClr w14:val="tx1"/>
                  </w14:solidFill>
                </w14:textFill>
              </w:rPr>
            </w:pPr>
          </w:p>
        </w:tc>
        <w:tc>
          <w:tcPr>
            <w:tcW w:w="785" w:type="pct"/>
            <w:vAlign w:val="center"/>
          </w:tcPr>
          <w:p w14:paraId="0E18FA7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孔</w:t>
            </w:r>
            <w:bookmarkStart w:id="282" w:name="hmcheck_06c3cee2fc844738b95c355a45417be4"/>
            <w:r>
              <w:rPr>
                <w:color w:val="000000" w:themeColor="text1"/>
                <w:shd w:val="clear" w:fill="FFAFAA"/>
                <w14:textFill>
                  <w14:solidFill>
                    <w14:schemeClr w14:val="tx1"/>
                  </w14:solidFill>
                </w14:textFill>
              </w:rPr>
              <w:t>-</w:t>
            </w:r>
            <w:r>
              <w:rPr>
                <w:rFonts w:hint="eastAsia"/>
                <w:color w:val="000000" w:themeColor="text1"/>
                <w:shd w:val="clear" w:fill="FFAFAA"/>
                <w14:textFill>
                  <w14:solidFill>
                    <w14:schemeClr w14:val="tx1"/>
                  </w14:solidFill>
                </w14:textFill>
              </w:rPr>
              <w:t>米</w:t>
            </w:r>
            <w:bookmarkEnd w:id="282"/>
          </w:p>
        </w:tc>
        <w:tc>
          <w:tcPr>
            <w:tcW w:w="545" w:type="pct"/>
            <w:vAlign w:val="center"/>
          </w:tcPr>
          <w:p w14:paraId="02CC86D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米</w:t>
            </w:r>
          </w:p>
        </w:tc>
        <w:tc>
          <w:tcPr>
            <w:tcW w:w="1443" w:type="pct"/>
            <w:vMerge w:val="continue"/>
            <w:vAlign w:val="center"/>
          </w:tcPr>
          <w:p w14:paraId="0F791CF7">
            <w:pPr>
              <w:pStyle w:val="105"/>
              <w:widowControl w:val="0"/>
              <w:jc w:val="center"/>
              <w:rPr>
                <w:color w:val="000000" w:themeColor="text1"/>
                <w14:textFill>
                  <w14:solidFill>
                    <w14:schemeClr w14:val="tx1"/>
                  </w14:solidFill>
                </w14:textFill>
              </w:rPr>
            </w:pPr>
          </w:p>
        </w:tc>
      </w:tr>
      <w:tr w14:paraId="7FD0FC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0381F63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957" w:type="pct"/>
            <w:vAlign w:val="center"/>
          </w:tcPr>
          <w:p w14:paraId="65CD1F4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725" w:type="pct"/>
            <w:vAlign w:val="center"/>
          </w:tcPr>
          <w:p w14:paraId="3668E3C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785" w:type="pct"/>
            <w:vAlign w:val="center"/>
          </w:tcPr>
          <w:p w14:paraId="2BF7A7C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545" w:type="pct"/>
            <w:vAlign w:val="center"/>
          </w:tcPr>
          <w:p w14:paraId="12A389D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43" w:type="pct"/>
            <w:vAlign w:val="center"/>
          </w:tcPr>
          <w:p w14:paraId="3E76D90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13</w:t>
            </w:r>
          </w:p>
        </w:tc>
      </w:tr>
      <w:tr w14:paraId="1FEA03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2D17A0E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957" w:type="pct"/>
            <w:vAlign w:val="center"/>
          </w:tcPr>
          <w:p w14:paraId="3CEAFAF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K0+170. 0</w:t>
            </w:r>
          </w:p>
        </w:tc>
        <w:tc>
          <w:tcPr>
            <w:tcW w:w="725" w:type="pct"/>
            <w:vAlign w:val="center"/>
          </w:tcPr>
          <w:p w14:paraId="5C74BFE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边沟涵</w:t>
            </w:r>
          </w:p>
        </w:tc>
        <w:tc>
          <w:tcPr>
            <w:tcW w:w="785" w:type="pct"/>
            <w:vAlign w:val="center"/>
          </w:tcPr>
          <w:p w14:paraId="59B0ABE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 75</w:t>
            </w:r>
          </w:p>
        </w:tc>
        <w:tc>
          <w:tcPr>
            <w:tcW w:w="545" w:type="pct"/>
            <w:vAlign w:val="center"/>
          </w:tcPr>
          <w:p w14:paraId="5CD8666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11.0</w:t>
            </w:r>
          </w:p>
        </w:tc>
        <w:tc>
          <w:tcPr>
            <w:tcW w:w="1443" w:type="pct"/>
            <w:vAlign w:val="center"/>
          </w:tcPr>
          <w:p w14:paraId="1B29E0E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改路</w:t>
            </w:r>
            <w:r>
              <w:rPr>
                <w:color w:val="000000" w:themeColor="text1"/>
                <w14:textFill>
                  <w14:solidFill>
                    <w14:schemeClr w14:val="tx1"/>
                  </w14:solidFill>
                </w14:textFill>
              </w:rPr>
              <w:t>3</w:t>
            </w:r>
          </w:p>
        </w:tc>
      </w:tr>
      <w:tr w14:paraId="6A6828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4257F6C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957" w:type="pct"/>
            <w:vAlign w:val="center"/>
          </w:tcPr>
          <w:p w14:paraId="6C6D643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K0+785. 0</w:t>
            </w:r>
          </w:p>
        </w:tc>
        <w:tc>
          <w:tcPr>
            <w:tcW w:w="725" w:type="pct"/>
            <w:vAlign w:val="center"/>
          </w:tcPr>
          <w:p w14:paraId="3E59519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边沟涵</w:t>
            </w:r>
          </w:p>
        </w:tc>
        <w:tc>
          <w:tcPr>
            <w:tcW w:w="785" w:type="pct"/>
            <w:vAlign w:val="center"/>
          </w:tcPr>
          <w:p w14:paraId="2AD4774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 75</w:t>
            </w:r>
          </w:p>
        </w:tc>
        <w:tc>
          <w:tcPr>
            <w:tcW w:w="545" w:type="pct"/>
            <w:vAlign w:val="center"/>
          </w:tcPr>
          <w:p w14:paraId="23D3669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6. 5</w:t>
            </w:r>
          </w:p>
        </w:tc>
        <w:tc>
          <w:tcPr>
            <w:tcW w:w="1443" w:type="pct"/>
            <w:vAlign w:val="center"/>
          </w:tcPr>
          <w:p w14:paraId="587B5C8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改路</w:t>
            </w:r>
            <w:r>
              <w:rPr>
                <w:color w:val="000000" w:themeColor="text1"/>
                <w14:textFill>
                  <w14:solidFill>
                    <w14:schemeClr w14:val="tx1"/>
                  </w14:solidFill>
                </w14:textFill>
              </w:rPr>
              <w:t>2</w:t>
            </w:r>
          </w:p>
        </w:tc>
      </w:tr>
      <w:tr w14:paraId="77E62AB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3A3643C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957" w:type="pct"/>
            <w:vAlign w:val="center"/>
          </w:tcPr>
          <w:p w14:paraId="4C48490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K1+720. 0</w:t>
            </w:r>
          </w:p>
        </w:tc>
        <w:tc>
          <w:tcPr>
            <w:tcW w:w="725" w:type="pct"/>
            <w:vAlign w:val="center"/>
          </w:tcPr>
          <w:p w14:paraId="767241E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边沟涵</w:t>
            </w:r>
          </w:p>
        </w:tc>
        <w:tc>
          <w:tcPr>
            <w:tcW w:w="785" w:type="pct"/>
            <w:vAlign w:val="center"/>
          </w:tcPr>
          <w:p w14:paraId="1AD8772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 75</w:t>
            </w:r>
          </w:p>
        </w:tc>
        <w:tc>
          <w:tcPr>
            <w:tcW w:w="545" w:type="pct"/>
            <w:vAlign w:val="center"/>
          </w:tcPr>
          <w:p w14:paraId="595C491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21.5</w:t>
            </w:r>
          </w:p>
        </w:tc>
        <w:tc>
          <w:tcPr>
            <w:tcW w:w="1443" w:type="pct"/>
            <w:vAlign w:val="center"/>
          </w:tcPr>
          <w:p w14:paraId="711636C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主线左侧侨丰路</w:t>
            </w:r>
          </w:p>
        </w:tc>
      </w:tr>
      <w:tr w14:paraId="319CF94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277ADB5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957" w:type="pct"/>
            <w:vAlign w:val="center"/>
          </w:tcPr>
          <w:p w14:paraId="6457370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K2+580. 0</w:t>
            </w:r>
          </w:p>
        </w:tc>
        <w:tc>
          <w:tcPr>
            <w:tcW w:w="725" w:type="pct"/>
            <w:vAlign w:val="center"/>
          </w:tcPr>
          <w:p w14:paraId="7A1292A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边沟涵</w:t>
            </w:r>
          </w:p>
        </w:tc>
        <w:tc>
          <w:tcPr>
            <w:tcW w:w="785" w:type="pct"/>
            <w:vAlign w:val="center"/>
          </w:tcPr>
          <w:p w14:paraId="4985054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 75</w:t>
            </w:r>
          </w:p>
        </w:tc>
        <w:tc>
          <w:tcPr>
            <w:tcW w:w="545" w:type="pct"/>
            <w:vAlign w:val="center"/>
          </w:tcPr>
          <w:p w14:paraId="6DF6A65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9. 5</w:t>
            </w:r>
          </w:p>
        </w:tc>
        <w:tc>
          <w:tcPr>
            <w:tcW w:w="1443" w:type="pct"/>
            <w:vAlign w:val="center"/>
          </w:tcPr>
          <w:p w14:paraId="0E13CCE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主线左侧</w:t>
            </w:r>
          </w:p>
        </w:tc>
      </w:tr>
      <w:tr w14:paraId="60A765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44D0CAD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957" w:type="pct"/>
            <w:vAlign w:val="center"/>
          </w:tcPr>
          <w:p w14:paraId="5D599B6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K2+600. 0</w:t>
            </w:r>
          </w:p>
        </w:tc>
        <w:tc>
          <w:tcPr>
            <w:tcW w:w="725" w:type="pct"/>
            <w:vAlign w:val="center"/>
          </w:tcPr>
          <w:p w14:paraId="0FB3E3C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边沟涵</w:t>
            </w:r>
          </w:p>
        </w:tc>
        <w:tc>
          <w:tcPr>
            <w:tcW w:w="785" w:type="pct"/>
            <w:vAlign w:val="center"/>
          </w:tcPr>
          <w:p w14:paraId="77FB70F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 75</w:t>
            </w:r>
          </w:p>
        </w:tc>
        <w:tc>
          <w:tcPr>
            <w:tcW w:w="545" w:type="pct"/>
            <w:vAlign w:val="center"/>
          </w:tcPr>
          <w:p w14:paraId="2B753C7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11.5</w:t>
            </w:r>
          </w:p>
        </w:tc>
        <w:tc>
          <w:tcPr>
            <w:tcW w:w="1443" w:type="pct"/>
            <w:vAlign w:val="center"/>
          </w:tcPr>
          <w:p w14:paraId="32C2B9B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主线右侧</w:t>
            </w:r>
          </w:p>
        </w:tc>
      </w:tr>
      <w:tr w14:paraId="123E2B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16351C0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6</w:t>
            </w:r>
          </w:p>
        </w:tc>
        <w:tc>
          <w:tcPr>
            <w:tcW w:w="957" w:type="pct"/>
            <w:vAlign w:val="center"/>
          </w:tcPr>
          <w:p w14:paraId="4D2422A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K2+900. 0</w:t>
            </w:r>
          </w:p>
        </w:tc>
        <w:tc>
          <w:tcPr>
            <w:tcW w:w="725" w:type="pct"/>
            <w:vAlign w:val="center"/>
          </w:tcPr>
          <w:p w14:paraId="4BB1A8E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边沟涵</w:t>
            </w:r>
          </w:p>
        </w:tc>
        <w:tc>
          <w:tcPr>
            <w:tcW w:w="785" w:type="pct"/>
            <w:vAlign w:val="center"/>
          </w:tcPr>
          <w:p w14:paraId="179B246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 75</w:t>
            </w:r>
          </w:p>
        </w:tc>
        <w:tc>
          <w:tcPr>
            <w:tcW w:w="545" w:type="pct"/>
            <w:vAlign w:val="center"/>
          </w:tcPr>
          <w:p w14:paraId="2433845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15.5</w:t>
            </w:r>
          </w:p>
        </w:tc>
        <w:tc>
          <w:tcPr>
            <w:tcW w:w="1443" w:type="pct"/>
            <w:vAlign w:val="center"/>
          </w:tcPr>
          <w:p w14:paraId="2636689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主线右侧</w:t>
            </w:r>
          </w:p>
        </w:tc>
      </w:tr>
      <w:tr w14:paraId="0FB878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340" w:hRule="atLeast"/>
        </w:trPr>
        <w:tc>
          <w:tcPr>
            <w:tcW w:w="544" w:type="pct"/>
            <w:vAlign w:val="center"/>
          </w:tcPr>
          <w:p w14:paraId="3C1047A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7</w:t>
            </w:r>
          </w:p>
        </w:tc>
        <w:tc>
          <w:tcPr>
            <w:tcW w:w="957" w:type="pct"/>
            <w:vAlign w:val="center"/>
          </w:tcPr>
          <w:p w14:paraId="3A8B37B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K3+670. 0</w:t>
            </w:r>
          </w:p>
        </w:tc>
        <w:tc>
          <w:tcPr>
            <w:tcW w:w="725" w:type="pct"/>
            <w:vAlign w:val="center"/>
          </w:tcPr>
          <w:p w14:paraId="3BC67C7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边沟涵</w:t>
            </w:r>
          </w:p>
        </w:tc>
        <w:tc>
          <w:tcPr>
            <w:tcW w:w="785" w:type="pct"/>
            <w:vAlign w:val="center"/>
          </w:tcPr>
          <w:p w14:paraId="78DFF72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 75</w:t>
            </w:r>
          </w:p>
        </w:tc>
        <w:tc>
          <w:tcPr>
            <w:tcW w:w="545" w:type="pct"/>
            <w:vAlign w:val="center"/>
          </w:tcPr>
          <w:p w14:paraId="735558E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22.5</w:t>
            </w:r>
          </w:p>
        </w:tc>
        <w:tc>
          <w:tcPr>
            <w:tcW w:w="1443" w:type="pct"/>
            <w:vAlign w:val="center"/>
          </w:tcPr>
          <w:p w14:paraId="6FE5DBB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主线右侧</w:t>
            </w:r>
          </w:p>
        </w:tc>
      </w:tr>
    </w:tbl>
    <w:p w14:paraId="5191EF32">
      <w:pPr>
        <w:ind w:firstLine="480"/>
        <w:rPr>
          <w:color w:val="000000" w:themeColor="text1"/>
          <w14:textFill>
            <w14:solidFill>
              <w14:schemeClr w14:val="tx1"/>
            </w14:solidFill>
          </w14:textFill>
        </w:rPr>
      </w:pPr>
    </w:p>
    <w:p w14:paraId="73CC9C55">
      <w:pPr>
        <w:ind w:firstLine="480"/>
        <w:rPr>
          <w:color w:val="000000" w:themeColor="text1"/>
          <w14:textFill>
            <w14:solidFill>
              <w14:schemeClr w14:val="tx1"/>
            </w14:solidFill>
          </w14:textFill>
        </w:rPr>
        <w:sectPr>
          <w:pgSz w:w="11910" w:h="16840"/>
          <w:pgMar w:top="1418" w:right="1418" w:bottom="1418" w:left="1418" w:header="851" w:footer="851" w:gutter="0"/>
          <w:cols w:space="720" w:num="1"/>
        </w:sectPr>
      </w:pPr>
    </w:p>
    <w:p w14:paraId="690E3860">
      <w:pPr>
        <w:pStyle w:val="87"/>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线内</w:t>
      </w:r>
      <w:r>
        <w:rPr>
          <w:color w:val="000000" w:themeColor="text1"/>
          <w14:textFill>
            <w14:solidFill>
              <w14:schemeClr w14:val="tx1"/>
            </w14:solidFill>
          </w14:textFill>
        </w:rPr>
        <w:t>涵洞设置一览表</w:t>
      </w:r>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6"/>
        <w:gridCol w:w="1237"/>
        <w:gridCol w:w="1237"/>
        <w:gridCol w:w="1234"/>
        <w:gridCol w:w="899"/>
        <w:gridCol w:w="1146"/>
        <w:gridCol w:w="1317"/>
        <w:gridCol w:w="850"/>
        <w:gridCol w:w="1559"/>
        <w:gridCol w:w="1559"/>
        <w:gridCol w:w="1118"/>
        <w:gridCol w:w="1388"/>
      </w:tblGrid>
      <w:tr w14:paraId="5C404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238" w:type="pct"/>
            <w:vMerge w:val="restart"/>
            <w:vAlign w:val="center"/>
          </w:tcPr>
          <w:p w14:paraId="43D3BFD2">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序号</w:t>
            </w:r>
          </w:p>
        </w:tc>
        <w:tc>
          <w:tcPr>
            <w:tcW w:w="870" w:type="pct"/>
            <w:gridSpan w:val="2"/>
            <w:vMerge w:val="restart"/>
            <w:vAlign w:val="center"/>
          </w:tcPr>
          <w:p w14:paraId="4D8864E9">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中心桩号</w:t>
            </w:r>
          </w:p>
        </w:tc>
        <w:tc>
          <w:tcPr>
            <w:tcW w:w="434" w:type="pct"/>
            <w:vMerge w:val="restart"/>
            <w:vAlign w:val="center"/>
          </w:tcPr>
          <w:p w14:paraId="0C8091B1">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结构类型</w:t>
            </w:r>
          </w:p>
        </w:tc>
        <w:tc>
          <w:tcPr>
            <w:tcW w:w="316" w:type="pct"/>
            <w:vMerge w:val="restart"/>
            <w:vAlign w:val="center"/>
          </w:tcPr>
          <w:p w14:paraId="5FE370F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交角</w:t>
            </w:r>
          </w:p>
          <w:p w14:paraId="00C67631">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w:t>
            </w:r>
          </w:p>
        </w:tc>
        <w:tc>
          <w:tcPr>
            <w:tcW w:w="403" w:type="pct"/>
            <w:vMerge w:val="restart"/>
            <w:vAlign w:val="center"/>
          </w:tcPr>
          <w:p w14:paraId="3A0810D8">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填土高度</w:t>
            </w:r>
          </w:p>
          <w:p w14:paraId="585DE2B1">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(m)</w:t>
            </w:r>
          </w:p>
        </w:tc>
        <w:tc>
          <w:tcPr>
            <w:tcW w:w="463" w:type="pct"/>
            <w:vMerge w:val="restart"/>
            <w:vAlign w:val="center"/>
          </w:tcPr>
          <w:p w14:paraId="0783DAD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孔数</w:t>
            </w:r>
            <w:r>
              <w:rPr>
                <w:snapToGrid w:val="0"/>
                <w:color w:val="000000" w:themeColor="text1"/>
                <w:sz w:val="20"/>
                <w:szCs w:val="24"/>
                <w14:textFill>
                  <w14:solidFill>
                    <w14:schemeClr w14:val="tx1"/>
                  </w14:solidFill>
                </w14:textFill>
              </w:rPr>
              <w:t>—</w:t>
            </w:r>
          </w:p>
          <w:p w14:paraId="220FC96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孔径</w:t>
            </w:r>
          </w:p>
        </w:tc>
        <w:tc>
          <w:tcPr>
            <w:tcW w:w="299" w:type="pct"/>
            <w:vMerge w:val="restart"/>
            <w:vAlign w:val="center"/>
          </w:tcPr>
          <w:p w14:paraId="14DA9B23">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涵长</w:t>
            </w:r>
          </w:p>
          <w:p w14:paraId="18E65BCB">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(m)</w:t>
            </w:r>
          </w:p>
        </w:tc>
        <w:tc>
          <w:tcPr>
            <w:tcW w:w="1096" w:type="pct"/>
            <w:gridSpan w:val="2"/>
            <w:vAlign w:val="center"/>
          </w:tcPr>
          <w:p w14:paraId="14B8BE50">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洞口形式</w:t>
            </w:r>
          </w:p>
        </w:tc>
        <w:tc>
          <w:tcPr>
            <w:tcW w:w="393" w:type="pct"/>
            <w:vMerge w:val="restart"/>
            <w:vAlign w:val="center"/>
          </w:tcPr>
          <w:p w14:paraId="7BE76B03">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设计流量</w:t>
            </w:r>
          </w:p>
          <w:p w14:paraId="08A5AE3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(m</w:t>
            </w:r>
            <w:r>
              <w:rPr>
                <w:snapToGrid w:val="0"/>
                <w:color w:val="000000" w:themeColor="text1"/>
                <w:sz w:val="20"/>
                <w:szCs w:val="24"/>
                <w:vertAlign w:val="superscript"/>
                <w14:textFill>
                  <w14:solidFill>
                    <w14:schemeClr w14:val="tx1"/>
                  </w14:solidFill>
                </w14:textFill>
              </w:rPr>
              <w:t>3</w:t>
            </w:r>
            <w:r>
              <w:rPr>
                <w:snapToGrid w:val="0"/>
                <w:color w:val="000000" w:themeColor="text1"/>
                <w:sz w:val="20"/>
                <w:szCs w:val="24"/>
                <w14:textFill>
                  <w14:solidFill>
                    <w14:schemeClr w14:val="tx1"/>
                  </w14:solidFill>
                </w14:textFill>
              </w:rPr>
              <w:t>/s)</w:t>
            </w:r>
          </w:p>
        </w:tc>
        <w:tc>
          <w:tcPr>
            <w:tcW w:w="488" w:type="pct"/>
            <w:vMerge w:val="restart"/>
            <w:vAlign w:val="center"/>
          </w:tcPr>
          <w:p w14:paraId="53ACC370">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备注：</w:t>
            </w:r>
          </w:p>
        </w:tc>
      </w:tr>
      <w:tr w14:paraId="566DE2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Merge w:val="continue"/>
            <w:vAlign w:val="center"/>
          </w:tcPr>
          <w:p w14:paraId="13E51E52">
            <w:pPr>
              <w:pStyle w:val="105"/>
              <w:spacing w:before="0"/>
              <w:jc w:val="center"/>
              <w:rPr>
                <w:snapToGrid w:val="0"/>
                <w:color w:val="000000" w:themeColor="text1"/>
                <w:sz w:val="20"/>
                <w:szCs w:val="24"/>
                <w14:textFill>
                  <w14:solidFill>
                    <w14:schemeClr w14:val="tx1"/>
                  </w14:solidFill>
                </w14:textFill>
              </w:rPr>
            </w:pPr>
          </w:p>
        </w:tc>
        <w:tc>
          <w:tcPr>
            <w:tcW w:w="870" w:type="pct"/>
            <w:gridSpan w:val="2"/>
            <w:vMerge w:val="continue"/>
            <w:vAlign w:val="center"/>
          </w:tcPr>
          <w:p w14:paraId="188F95E4">
            <w:pPr>
              <w:pStyle w:val="105"/>
              <w:spacing w:before="0"/>
              <w:jc w:val="center"/>
              <w:rPr>
                <w:snapToGrid w:val="0"/>
                <w:color w:val="000000" w:themeColor="text1"/>
                <w:sz w:val="20"/>
                <w:szCs w:val="24"/>
                <w14:textFill>
                  <w14:solidFill>
                    <w14:schemeClr w14:val="tx1"/>
                  </w14:solidFill>
                </w14:textFill>
              </w:rPr>
            </w:pPr>
          </w:p>
        </w:tc>
        <w:tc>
          <w:tcPr>
            <w:tcW w:w="434" w:type="pct"/>
            <w:vMerge w:val="continue"/>
            <w:vAlign w:val="center"/>
          </w:tcPr>
          <w:p w14:paraId="5FAF3F87">
            <w:pPr>
              <w:pStyle w:val="105"/>
              <w:spacing w:before="0"/>
              <w:jc w:val="center"/>
              <w:rPr>
                <w:snapToGrid w:val="0"/>
                <w:color w:val="000000" w:themeColor="text1"/>
                <w:sz w:val="20"/>
                <w:szCs w:val="24"/>
                <w14:textFill>
                  <w14:solidFill>
                    <w14:schemeClr w14:val="tx1"/>
                  </w14:solidFill>
                </w14:textFill>
              </w:rPr>
            </w:pPr>
          </w:p>
        </w:tc>
        <w:tc>
          <w:tcPr>
            <w:tcW w:w="316" w:type="pct"/>
            <w:vMerge w:val="continue"/>
            <w:vAlign w:val="center"/>
          </w:tcPr>
          <w:p w14:paraId="647A3A5B">
            <w:pPr>
              <w:pStyle w:val="105"/>
              <w:spacing w:before="0"/>
              <w:jc w:val="center"/>
              <w:rPr>
                <w:snapToGrid w:val="0"/>
                <w:color w:val="000000" w:themeColor="text1"/>
                <w:sz w:val="20"/>
                <w:szCs w:val="24"/>
                <w14:textFill>
                  <w14:solidFill>
                    <w14:schemeClr w14:val="tx1"/>
                  </w14:solidFill>
                </w14:textFill>
              </w:rPr>
            </w:pPr>
          </w:p>
        </w:tc>
        <w:tc>
          <w:tcPr>
            <w:tcW w:w="403" w:type="pct"/>
            <w:vMerge w:val="continue"/>
            <w:vAlign w:val="center"/>
          </w:tcPr>
          <w:p w14:paraId="2995FF36">
            <w:pPr>
              <w:pStyle w:val="105"/>
              <w:spacing w:before="0"/>
              <w:jc w:val="center"/>
              <w:rPr>
                <w:snapToGrid w:val="0"/>
                <w:color w:val="000000" w:themeColor="text1"/>
                <w:sz w:val="20"/>
                <w:szCs w:val="24"/>
                <w14:textFill>
                  <w14:solidFill>
                    <w14:schemeClr w14:val="tx1"/>
                  </w14:solidFill>
                </w14:textFill>
              </w:rPr>
            </w:pPr>
          </w:p>
        </w:tc>
        <w:tc>
          <w:tcPr>
            <w:tcW w:w="463" w:type="pct"/>
            <w:vMerge w:val="continue"/>
            <w:vAlign w:val="center"/>
          </w:tcPr>
          <w:p w14:paraId="7FD99B9F">
            <w:pPr>
              <w:pStyle w:val="105"/>
              <w:spacing w:before="0"/>
              <w:jc w:val="center"/>
              <w:rPr>
                <w:snapToGrid w:val="0"/>
                <w:color w:val="000000" w:themeColor="text1"/>
                <w:sz w:val="20"/>
                <w:szCs w:val="24"/>
                <w14:textFill>
                  <w14:solidFill>
                    <w14:schemeClr w14:val="tx1"/>
                  </w14:solidFill>
                </w14:textFill>
              </w:rPr>
            </w:pPr>
          </w:p>
        </w:tc>
        <w:tc>
          <w:tcPr>
            <w:tcW w:w="299" w:type="pct"/>
            <w:vMerge w:val="continue"/>
            <w:vAlign w:val="center"/>
          </w:tcPr>
          <w:p w14:paraId="2F0615CB">
            <w:pPr>
              <w:pStyle w:val="105"/>
              <w:spacing w:before="0"/>
              <w:jc w:val="center"/>
              <w:rPr>
                <w:snapToGrid w:val="0"/>
                <w:color w:val="000000" w:themeColor="text1"/>
                <w:sz w:val="20"/>
                <w:szCs w:val="24"/>
                <w14:textFill>
                  <w14:solidFill>
                    <w14:schemeClr w14:val="tx1"/>
                  </w14:solidFill>
                </w14:textFill>
              </w:rPr>
            </w:pPr>
          </w:p>
        </w:tc>
        <w:tc>
          <w:tcPr>
            <w:tcW w:w="548" w:type="pct"/>
            <w:vAlign w:val="center"/>
          </w:tcPr>
          <w:p w14:paraId="0833C509">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进口</w:t>
            </w:r>
          </w:p>
        </w:tc>
        <w:tc>
          <w:tcPr>
            <w:tcW w:w="548" w:type="pct"/>
            <w:vAlign w:val="center"/>
          </w:tcPr>
          <w:p w14:paraId="1AEEEA8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出口</w:t>
            </w:r>
          </w:p>
        </w:tc>
        <w:tc>
          <w:tcPr>
            <w:tcW w:w="393" w:type="pct"/>
            <w:vMerge w:val="continue"/>
            <w:vAlign w:val="center"/>
          </w:tcPr>
          <w:p w14:paraId="565A32B4">
            <w:pPr>
              <w:pStyle w:val="105"/>
              <w:spacing w:before="0"/>
              <w:jc w:val="center"/>
              <w:rPr>
                <w:snapToGrid w:val="0"/>
                <w:color w:val="000000" w:themeColor="text1"/>
                <w:sz w:val="20"/>
                <w:szCs w:val="24"/>
                <w14:textFill>
                  <w14:solidFill>
                    <w14:schemeClr w14:val="tx1"/>
                  </w14:solidFill>
                </w14:textFill>
              </w:rPr>
            </w:pPr>
          </w:p>
        </w:tc>
        <w:tc>
          <w:tcPr>
            <w:tcW w:w="488" w:type="pct"/>
            <w:vMerge w:val="continue"/>
            <w:vAlign w:val="center"/>
          </w:tcPr>
          <w:p w14:paraId="14635E56">
            <w:pPr>
              <w:pStyle w:val="105"/>
              <w:spacing w:before="0"/>
              <w:jc w:val="center"/>
              <w:rPr>
                <w:snapToGrid w:val="0"/>
                <w:color w:val="000000" w:themeColor="text1"/>
                <w:sz w:val="20"/>
                <w:szCs w:val="24"/>
                <w14:textFill>
                  <w14:solidFill>
                    <w14:schemeClr w14:val="tx1"/>
                  </w14:solidFill>
                </w14:textFill>
              </w:rPr>
            </w:pPr>
          </w:p>
        </w:tc>
      </w:tr>
      <w:tr w14:paraId="231162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238" w:type="pct"/>
            <w:vAlign w:val="center"/>
          </w:tcPr>
          <w:p w14:paraId="4E71F17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w:t>
            </w:r>
          </w:p>
        </w:tc>
        <w:tc>
          <w:tcPr>
            <w:tcW w:w="870" w:type="pct"/>
            <w:gridSpan w:val="2"/>
            <w:vAlign w:val="center"/>
          </w:tcPr>
          <w:p w14:paraId="529EF0E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w:t>
            </w:r>
          </w:p>
        </w:tc>
        <w:tc>
          <w:tcPr>
            <w:tcW w:w="434" w:type="pct"/>
            <w:vAlign w:val="center"/>
          </w:tcPr>
          <w:p w14:paraId="35C25A0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w:t>
            </w:r>
          </w:p>
        </w:tc>
        <w:tc>
          <w:tcPr>
            <w:tcW w:w="316" w:type="pct"/>
            <w:vAlign w:val="center"/>
          </w:tcPr>
          <w:p w14:paraId="04D70A4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w:t>
            </w:r>
          </w:p>
        </w:tc>
        <w:tc>
          <w:tcPr>
            <w:tcW w:w="403" w:type="pct"/>
            <w:vAlign w:val="center"/>
          </w:tcPr>
          <w:p w14:paraId="0D00005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5</w:t>
            </w:r>
          </w:p>
        </w:tc>
        <w:tc>
          <w:tcPr>
            <w:tcW w:w="463" w:type="pct"/>
            <w:vAlign w:val="center"/>
          </w:tcPr>
          <w:p w14:paraId="59671B3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6</w:t>
            </w:r>
          </w:p>
        </w:tc>
        <w:tc>
          <w:tcPr>
            <w:tcW w:w="299" w:type="pct"/>
            <w:vAlign w:val="center"/>
          </w:tcPr>
          <w:p w14:paraId="75CDD3A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7</w:t>
            </w:r>
          </w:p>
        </w:tc>
        <w:tc>
          <w:tcPr>
            <w:tcW w:w="548" w:type="pct"/>
            <w:vAlign w:val="center"/>
          </w:tcPr>
          <w:p w14:paraId="2DAF7E4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8</w:t>
            </w:r>
          </w:p>
        </w:tc>
        <w:tc>
          <w:tcPr>
            <w:tcW w:w="548" w:type="pct"/>
            <w:vAlign w:val="center"/>
          </w:tcPr>
          <w:p w14:paraId="38250FF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w:t>
            </w:r>
          </w:p>
        </w:tc>
        <w:tc>
          <w:tcPr>
            <w:tcW w:w="393" w:type="pct"/>
            <w:vAlign w:val="center"/>
          </w:tcPr>
          <w:p w14:paraId="603115C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w:t>
            </w:r>
          </w:p>
        </w:tc>
        <w:tc>
          <w:tcPr>
            <w:tcW w:w="488" w:type="pct"/>
            <w:vAlign w:val="center"/>
          </w:tcPr>
          <w:p w14:paraId="17B0145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w:t>
            </w:r>
          </w:p>
        </w:tc>
      </w:tr>
      <w:tr w14:paraId="47B30F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6C70415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w:t>
            </w:r>
          </w:p>
        </w:tc>
        <w:tc>
          <w:tcPr>
            <w:tcW w:w="870" w:type="pct"/>
            <w:gridSpan w:val="2"/>
            <w:vAlign w:val="center"/>
          </w:tcPr>
          <w:p w14:paraId="6F35DD7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K0+030.00</w:t>
            </w:r>
          </w:p>
        </w:tc>
        <w:tc>
          <w:tcPr>
            <w:tcW w:w="434" w:type="pct"/>
            <w:vAlign w:val="center"/>
          </w:tcPr>
          <w:p w14:paraId="0B49475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盖板涵</w:t>
            </w:r>
          </w:p>
        </w:tc>
        <w:tc>
          <w:tcPr>
            <w:tcW w:w="316" w:type="pct"/>
            <w:vAlign w:val="center"/>
          </w:tcPr>
          <w:p w14:paraId="398A0D5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5CDD6FA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0.12~0.34</w:t>
            </w:r>
          </w:p>
        </w:tc>
        <w:tc>
          <w:tcPr>
            <w:tcW w:w="463" w:type="pct"/>
            <w:vAlign w:val="center"/>
          </w:tcPr>
          <w:p w14:paraId="515DF4A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1-1.5×1.0</w:t>
            </w:r>
          </w:p>
        </w:tc>
        <w:tc>
          <w:tcPr>
            <w:tcW w:w="299" w:type="pct"/>
            <w:vAlign w:val="center"/>
          </w:tcPr>
          <w:p w14:paraId="4D531F2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20.65</w:t>
            </w:r>
          </w:p>
        </w:tc>
        <w:tc>
          <w:tcPr>
            <w:tcW w:w="548" w:type="pct"/>
            <w:vAlign w:val="center"/>
          </w:tcPr>
          <w:p w14:paraId="5408FACD">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边沟跌井</w:t>
            </w:r>
          </w:p>
        </w:tc>
        <w:tc>
          <w:tcPr>
            <w:tcW w:w="548" w:type="pct"/>
            <w:vAlign w:val="center"/>
          </w:tcPr>
          <w:p w14:paraId="4B765908">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21C2689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2.02</w:t>
            </w:r>
          </w:p>
        </w:tc>
        <w:tc>
          <w:tcPr>
            <w:tcW w:w="488" w:type="pct"/>
            <w:vAlign w:val="center"/>
          </w:tcPr>
          <w:p w14:paraId="6A716165">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513F4C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167FDD8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w:t>
            </w:r>
          </w:p>
        </w:tc>
        <w:tc>
          <w:tcPr>
            <w:tcW w:w="870" w:type="pct"/>
            <w:gridSpan w:val="2"/>
            <w:vAlign w:val="center"/>
          </w:tcPr>
          <w:p w14:paraId="3514A25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K0+782.00</w:t>
            </w:r>
          </w:p>
        </w:tc>
        <w:tc>
          <w:tcPr>
            <w:tcW w:w="434" w:type="pct"/>
            <w:vAlign w:val="center"/>
          </w:tcPr>
          <w:p w14:paraId="2C25EB0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箱涵</w:t>
            </w:r>
          </w:p>
        </w:tc>
        <w:tc>
          <w:tcPr>
            <w:tcW w:w="316" w:type="pct"/>
            <w:vAlign w:val="center"/>
          </w:tcPr>
          <w:p w14:paraId="2F84589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67</w:t>
            </w:r>
          </w:p>
        </w:tc>
        <w:tc>
          <w:tcPr>
            <w:tcW w:w="403" w:type="pct"/>
            <w:vAlign w:val="center"/>
          </w:tcPr>
          <w:p w14:paraId="7FEF23F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1.41</w:t>
            </w:r>
          </w:p>
        </w:tc>
        <w:tc>
          <w:tcPr>
            <w:tcW w:w="463" w:type="pct"/>
            <w:vAlign w:val="center"/>
          </w:tcPr>
          <w:p w14:paraId="5F1D9FC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1-6.0×4.0</w:t>
            </w:r>
          </w:p>
        </w:tc>
        <w:tc>
          <w:tcPr>
            <w:tcW w:w="299" w:type="pct"/>
            <w:vAlign w:val="center"/>
          </w:tcPr>
          <w:p w14:paraId="737ADA0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14.82</w:t>
            </w:r>
          </w:p>
        </w:tc>
        <w:tc>
          <w:tcPr>
            <w:tcW w:w="548" w:type="pct"/>
            <w:vAlign w:val="center"/>
          </w:tcPr>
          <w:p w14:paraId="28DB09E9">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锥坡</w:t>
            </w:r>
          </w:p>
        </w:tc>
        <w:tc>
          <w:tcPr>
            <w:tcW w:w="548" w:type="pct"/>
            <w:vAlign w:val="center"/>
          </w:tcPr>
          <w:p w14:paraId="5D9AD957">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393" w:type="pct"/>
            <w:vAlign w:val="center"/>
          </w:tcPr>
          <w:p w14:paraId="41D54007">
            <w:pPr>
              <w:pStyle w:val="105"/>
              <w:spacing w:before="0"/>
              <w:jc w:val="center"/>
              <w:rPr>
                <w:snapToGrid w:val="0"/>
                <w:color w:val="000000" w:themeColor="text1"/>
                <w:sz w:val="20"/>
                <w:szCs w:val="24"/>
                <w14:textFill>
                  <w14:solidFill>
                    <w14:schemeClr w14:val="tx1"/>
                  </w14:solidFill>
                </w14:textFill>
              </w:rPr>
            </w:pPr>
          </w:p>
        </w:tc>
        <w:tc>
          <w:tcPr>
            <w:tcW w:w="488" w:type="pct"/>
            <w:vAlign w:val="center"/>
          </w:tcPr>
          <w:p w14:paraId="137B7BBB">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通道</w:t>
            </w:r>
          </w:p>
        </w:tc>
      </w:tr>
      <w:tr w14:paraId="78A40F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0763114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w:t>
            </w:r>
          </w:p>
        </w:tc>
        <w:tc>
          <w:tcPr>
            <w:tcW w:w="870" w:type="pct"/>
            <w:gridSpan w:val="2"/>
            <w:vAlign w:val="center"/>
          </w:tcPr>
          <w:p w14:paraId="6E44D16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K0+863.00</w:t>
            </w:r>
          </w:p>
        </w:tc>
        <w:tc>
          <w:tcPr>
            <w:tcW w:w="434" w:type="pct"/>
            <w:vAlign w:val="center"/>
          </w:tcPr>
          <w:p w14:paraId="2AEDA6B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7EEAA54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7BDEE60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4.21</w:t>
            </w:r>
          </w:p>
        </w:tc>
        <w:tc>
          <w:tcPr>
            <w:tcW w:w="463" w:type="pct"/>
            <w:vAlign w:val="center"/>
          </w:tcPr>
          <w:p w14:paraId="5C38AC3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1180704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18.5</w:t>
            </w:r>
          </w:p>
        </w:tc>
        <w:tc>
          <w:tcPr>
            <w:tcW w:w="548" w:type="pct"/>
            <w:vAlign w:val="center"/>
          </w:tcPr>
          <w:p w14:paraId="6059B060">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6BC87FE2">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铺砌</w:t>
            </w:r>
          </w:p>
        </w:tc>
        <w:tc>
          <w:tcPr>
            <w:tcW w:w="393" w:type="pct"/>
            <w:vAlign w:val="center"/>
          </w:tcPr>
          <w:p w14:paraId="192EA88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4F4F2DAF">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5B904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49F9150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w:t>
            </w:r>
          </w:p>
        </w:tc>
        <w:tc>
          <w:tcPr>
            <w:tcW w:w="870" w:type="pct"/>
            <w:gridSpan w:val="2"/>
            <w:vAlign w:val="center"/>
          </w:tcPr>
          <w:p w14:paraId="3738E80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K0+950.50</w:t>
            </w:r>
          </w:p>
        </w:tc>
        <w:tc>
          <w:tcPr>
            <w:tcW w:w="434" w:type="pct"/>
            <w:vAlign w:val="center"/>
          </w:tcPr>
          <w:p w14:paraId="2DA8008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1D96F62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77</w:t>
            </w:r>
          </w:p>
        </w:tc>
        <w:tc>
          <w:tcPr>
            <w:tcW w:w="403" w:type="pct"/>
            <w:vAlign w:val="center"/>
          </w:tcPr>
          <w:p w14:paraId="0FE2FBF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4.07</w:t>
            </w:r>
          </w:p>
        </w:tc>
        <w:tc>
          <w:tcPr>
            <w:tcW w:w="463" w:type="pct"/>
            <w:vAlign w:val="center"/>
          </w:tcPr>
          <w:p w14:paraId="2D3BEA2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109BB46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18.44</w:t>
            </w:r>
          </w:p>
        </w:tc>
        <w:tc>
          <w:tcPr>
            <w:tcW w:w="548" w:type="pct"/>
            <w:vAlign w:val="center"/>
          </w:tcPr>
          <w:p w14:paraId="036996F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634AD4D0">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铺砌</w:t>
            </w:r>
          </w:p>
        </w:tc>
        <w:tc>
          <w:tcPr>
            <w:tcW w:w="393" w:type="pct"/>
            <w:vAlign w:val="center"/>
          </w:tcPr>
          <w:p w14:paraId="6BEF2FE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283FCB23">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7391D2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71EE07D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5</w:t>
            </w:r>
          </w:p>
        </w:tc>
        <w:tc>
          <w:tcPr>
            <w:tcW w:w="870" w:type="pct"/>
            <w:gridSpan w:val="2"/>
            <w:vAlign w:val="center"/>
          </w:tcPr>
          <w:p w14:paraId="5D6F20F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K1+025.00</w:t>
            </w:r>
          </w:p>
        </w:tc>
        <w:tc>
          <w:tcPr>
            <w:tcW w:w="434" w:type="pct"/>
            <w:vAlign w:val="center"/>
          </w:tcPr>
          <w:p w14:paraId="56BF593E">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350942B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2B83920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1.24</w:t>
            </w:r>
          </w:p>
        </w:tc>
        <w:tc>
          <w:tcPr>
            <w:tcW w:w="463" w:type="pct"/>
            <w:vAlign w:val="center"/>
          </w:tcPr>
          <w:p w14:paraId="653313B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595C664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13.5</w:t>
            </w:r>
          </w:p>
        </w:tc>
        <w:tc>
          <w:tcPr>
            <w:tcW w:w="548" w:type="pct"/>
            <w:vAlign w:val="center"/>
          </w:tcPr>
          <w:p w14:paraId="6AA28F08">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3D153647">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铺砌</w:t>
            </w:r>
          </w:p>
        </w:tc>
        <w:tc>
          <w:tcPr>
            <w:tcW w:w="393" w:type="pct"/>
            <w:vAlign w:val="center"/>
          </w:tcPr>
          <w:p w14:paraId="7E95D16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55023698">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71970C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11E0CFA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6</w:t>
            </w:r>
          </w:p>
        </w:tc>
        <w:tc>
          <w:tcPr>
            <w:tcW w:w="870" w:type="pct"/>
            <w:gridSpan w:val="2"/>
            <w:vAlign w:val="center"/>
          </w:tcPr>
          <w:p w14:paraId="725B9E6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K1+450.00</w:t>
            </w:r>
          </w:p>
        </w:tc>
        <w:tc>
          <w:tcPr>
            <w:tcW w:w="434" w:type="pct"/>
            <w:vAlign w:val="center"/>
          </w:tcPr>
          <w:p w14:paraId="5BA9F1E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13A3D7C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5DF6E63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0.68</w:t>
            </w:r>
          </w:p>
        </w:tc>
        <w:tc>
          <w:tcPr>
            <w:tcW w:w="463" w:type="pct"/>
            <w:vAlign w:val="center"/>
          </w:tcPr>
          <w:p w14:paraId="5A95ECC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5BFA1E4E">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13</w:t>
            </w:r>
          </w:p>
        </w:tc>
        <w:tc>
          <w:tcPr>
            <w:tcW w:w="548" w:type="pct"/>
            <w:vAlign w:val="center"/>
          </w:tcPr>
          <w:p w14:paraId="07FE969C">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边沟跌井</w:t>
            </w:r>
          </w:p>
        </w:tc>
        <w:tc>
          <w:tcPr>
            <w:tcW w:w="548" w:type="pct"/>
            <w:vAlign w:val="center"/>
          </w:tcPr>
          <w:p w14:paraId="17CEF959">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393" w:type="pct"/>
            <w:vAlign w:val="center"/>
          </w:tcPr>
          <w:p w14:paraId="0E75B7F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48D922CA">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68730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238" w:type="pct"/>
            <w:vMerge w:val="restart"/>
            <w:vAlign w:val="center"/>
          </w:tcPr>
          <w:p w14:paraId="62E59E1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7</w:t>
            </w:r>
          </w:p>
        </w:tc>
        <w:tc>
          <w:tcPr>
            <w:tcW w:w="435" w:type="pct"/>
            <w:vMerge w:val="restart"/>
            <w:vAlign w:val="center"/>
          </w:tcPr>
          <w:p w14:paraId="52A23D4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K1+563.24</w:t>
            </w:r>
          </w:p>
        </w:tc>
        <w:tc>
          <w:tcPr>
            <w:tcW w:w="435" w:type="pct"/>
            <w:vAlign w:val="center"/>
          </w:tcPr>
          <w:p w14:paraId="1956ACB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K1+548.84</w:t>
            </w:r>
          </w:p>
        </w:tc>
        <w:tc>
          <w:tcPr>
            <w:tcW w:w="434" w:type="pct"/>
            <w:vAlign w:val="center"/>
          </w:tcPr>
          <w:p w14:paraId="7015BFA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箱涵</w:t>
            </w:r>
          </w:p>
        </w:tc>
        <w:tc>
          <w:tcPr>
            <w:tcW w:w="316" w:type="pct"/>
            <w:vAlign w:val="center"/>
          </w:tcPr>
          <w:p w14:paraId="45CBC1E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60</w:t>
            </w:r>
          </w:p>
        </w:tc>
        <w:tc>
          <w:tcPr>
            <w:tcW w:w="403" w:type="pct"/>
            <w:vMerge w:val="restart"/>
            <w:vAlign w:val="center"/>
          </w:tcPr>
          <w:p w14:paraId="05918F2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0.18~0.73</w:t>
            </w:r>
          </w:p>
        </w:tc>
        <w:tc>
          <w:tcPr>
            <w:tcW w:w="463" w:type="pct"/>
            <w:vAlign w:val="center"/>
          </w:tcPr>
          <w:p w14:paraId="3DD167D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2-5.5×4.5</w:t>
            </w:r>
          </w:p>
        </w:tc>
        <w:tc>
          <w:tcPr>
            <w:tcW w:w="299" w:type="pct"/>
            <w:vAlign w:val="center"/>
          </w:tcPr>
          <w:p w14:paraId="02F96B8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18.52</w:t>
            </w:r>
          </w:p>
        </w:tc>
        <w:tc>
          <w:tcPr>
            <w:tcW w:w="548" w:type="pct"/>
            <w:vAlign w:val="center"/>
          </w:tcPr>
          <w:p w14:paraId="7020DF0C">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548" w:type="pct"/>
            <w:vAlign w:val="center"/>
          </w:tcPr>
          <w:p w14:paraId="22363E37">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393" w:type="pct"/>
            <w:vAlign w:val="center"/>
          </w:tcPr>
          <w:p w14:paraId="052D15A7">
            <w:pPr>
              <w:pStyle w:val="105"/>
              <w:spacing w:before="0"/>
              <w:jc w:val="center"/>
              <w:rPr>
                <w:snapToGrid w:val="0"/>
                <w:color w:val="000000" w:themeColor="text1"/>
                <w:sz w:val="20"/>
                <w:szCs w:val="24"/>
                <w14:textFill>
                  <w14:solidFill>
                    <w14:schemeClr w14:val="tx1"/>
                  </w14:solidFill>
                </w14:textFill>
              </w:rPr>
            </w:pPr>
          </w:p>
        </w:tc>
        <w:tc>
          <w:tcPr>
            <w:tcW w:w="488" w:type="pct"/>
            <w:vAlign w:val="center"/>
          </w:tcPr>
          <w:p w14:paraId="3DF64CE8">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58F2B1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Merge w:val="continue"/>
            <w:vAlign w:val="center"/>
          </w:tcPr>
          <w:p w14:paraId="09A2D846">
            <w:pPr>
              <w:pStyle w:val="105"/>
              <w:spacing w:before="0"/>
              <w:jc w:val="center"/>
              <w:rPr>
                <w:snapToGrid w:val="0"/>
                <w:color w:val="000000" w:themeColor="text1"/>
                <w:sz w:val="20"/>
                <w:szCs w:val="24"/>
                <w14:textFill>
                  <w14:solidFill>
                    <w14:schemeClr w14:val="tx1"/>
                  </w14:solidFill>
                </w14:textFill>
              </w:rPr>
            </w:pPr>
          </w:p>
        </w:tc>
        <w:tc>
          <w:tcPr>
            <w:tcW w:w="435" w:type="pct"/>
            <w:vMerge w:val="continue"/>
            <w:vAlign w:val="center"/>
          </w:tcPr>
          <w:p w14:paraId="30F6B9CA">
            <w:pPr>
              <w:pStyle w:val="105"/>
              <w:spacing w:before="0"/>
              <w:jc w:val="center"/>
              <w:rPr>
                <w:snapToGrid w:val="0"/>
                <w:color w:val="000000" w:themeColor="text1"/>
                <w:sz w:val="20"/>
                <w:szCs w:val="24"/>
                <w14:textFill>
                  <w14:solidFill>
                    <w14:schemeClr w14:val="tx1"/>
                  </w14:solidFill>
                </w14:textFill>
              </w:rPr>
            </w:pPr>
          </w:p>
        </w:tc>
        <w:tc>
          <w:tcPr>
            <w:tcW w:w="435" w:type="pct"/>
            <w:vAlign w:val="center"/>
          </w:tcPr>
          <w:p w14:paraId="341C663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K1+563.24</w:t>
            </w:r>
          </w:p>
        </w:tc>
        <w:tc>
          <w:tcPr>
            <w:tcW w:w="434" w:type="pct"/>
            <w:vAlign w:val="center"/>
          </w:tcPr>
          <w:p w14:paraId="145ADDA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箱涵</w:t>
            </w:r>
          </w:p>
        </w:tc>
        <w:tc>
          <w:tcPr>
            <w:tcW w:w="316" w:type="pct"/>
            <w:vAlign w:val="center"/>
          </w:tcPr>
          <w:p w14:paraId="76F3392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60</w:t>
            </w:r>
          </w:p>
        </w:tc>
        <w:tc>
          <w:tcPr>
            <w:tcW w:w="403" w:type="pct"/>
            <w:vMerge w:val="continue"/>
            <w:vAlign w:val="center"/>
          </w:tcPr>
          <w:p w14:paraId="55AD8409">
            <w:pPr>
              <w:pStyle w:val="105"/>
              <w:spacing w:before="0"/>
              <w:jc w:val="center"/>
              <w:rPr>
                <w:snapToGrid w:val="0"/>
                <w:color w:val="000000" w:themeColor="text1"/>
                <w:sz w:val="20"/>
                <w:szCs w:val="24"/>
                <w14:textFill>
                  <w14:solidFill>
                    <w14:schemeClr w14:val="tx1"/>
                  </w14:solidFill>
                </w14:textFill>
              </w:rPr>
            </w:pPr>
          </w:p>
        </w:tc>
        <w:tc>
          <w:tcPr>
            <w:tcW w:w="463" w:type="pct"/>
            <w:vAlign w:val="center"/>
          </w:tcPr>
          <w:p w14:paraId="52F4542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2-5.5×4.5</w:t>
            </w:r>
          </w:p>
        </w:tc>
        <w:tc>
          <w:tcPr>
            <w:tcW w:w="299" w:type="pct"/>
            <w:vAlign w:val="center"/>
          </w:tcPr>
          <w:p w14:paraId="0040C9C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13.91</w:t>
            </w:r>
          </w:p>
        </w:tc>
        <w:tc>
          <w:tcPr>
            <w:tcW w:w="548" w:type="pct"/>
            <w:vAlign w:val="center"/>
          </w:tcPr>
          <w:p w14:paraId="2FC769A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548" w:type="pct"/>
            <w:vAlign w:val="center"/>
          </w:tcPr>
          <w:p w14:paraId="6B38D8B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393" w:type="pct"/>
            <w:vAlign w:val="center"/>
          </w:tcPr>
          <w:p w14:paraId="574EBF8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423.00</w:t>
            </w:r>
          </w:p>
        </w:tc>
        <w:tc>
          <w:tcPr>
            <w:tcW w:w="488" w:type="pct"/>
            <w:vAlign w:val="center"/>
          </w:tcPr>
          <w:p w14:paraId="502E87CF">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09998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Merge w:val="continue"/>
            <w:vAlign w:val="center"/>
          </w:tcPr>
          <w:p w14:paraId="0B668E87">
            <w:pPr>
              <w:pStyle w:val="105"/>
              <w:spacing w:before="0"/>
              <w:jc w:val="center"/>
              <w:rPr>
                <w:snapToGrid w:val="0"/>
                <w:color w:val="000000" w:themeColor="text1"/>
                <w:sz w:val="20"/>
                <w:szCs w:val="24"/>
                <w14:textFill>
                  <w14:solidFill>
                    <w14:schemeClr w14:val="tx1"/>
                  </w14:solidFill>
                </w14:textFill>
              </w:rPr>
            </w:pPr>
          </w:p>
        </w:tc>
        <w:tc>
          <w:tcPr>
            <w:tcW w:w="435" w:type="pct"/>
            <w:vMerge w:val="continue"/>
            <w:vAlign w:val="center"/>
          </w:tcPr>
          <w:p w14:paraId="49916874">
            <w:pPr>
              <w:pStyle w:val="105"/>
              <w:spacing w:before="0"/>
              <w:jc w:val="center"/>
              <w:rPr>
                <w:snapToGrid w:val="0"/>
                <w:color w:val="000000" w:themeColor="text1"/>
                <w:sz w:val="20"/>
                <w:szCs w:val="24"/>
                <w14:textFill>
                  <w14:solidFill>
                    <w14:schemeClr w14:val="tx1"/>
                  </w14:solidFill>
                </w14:textFill>
              </w:rPr>
            </w:pPr>
          </w:p>
        </w:tc>
        <w:tc>
          <w:tcPr>
            <w:tcW w:w="435" w:type="pct"/>
            <w:vAlign w:val="center"/>
          </w:tcPr>
          <w:p w14:paraId="5FDBB78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K1+577.61</w:t>
            </w:r>
          </w:p>
        </w:tc>
        <w:tc>
          <w:tcPr>
            <w:tcW w:w="434" w:type="pct"/>
            <w:vAlign w:val="center"/>
          </w:tcPr>
          <w:p w14:paraId="600C25E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箱涵</w:t>
            </w:r>
          </w:p>
        </w:tc>
        <w:tc>
          <w:tcPr>
            <w:tcW w:w="316" w:type="pct"/>
            <w:vAlign w:val="center"/>
          </w:tcPr>
          <w:p w14:paraId="236145E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60</w:t>
            </w:r>
          </w:p>
        </w:tc>
        <w:tc>
          <w:tcPr>
            <w:tcW w:w="403" w:type="pct"/>
            <w:vMerge w:val="continue"/>
            <w:vAlign w:val="center"/>
          </w:tcPr>
          <w:p w14:paraId="2C496CE1">
            <w:pPr>
              <w:pStyle w:val="105"/>
              <w:spacing w:before="0"/>
              <w:jc w:val="center"/>
              <w:rPr>
                <w:snapToGrid w:val="0"/>
                <w:color w:val="000000" w:themeColor="text1"/>
                <w:sz w:val="20"/>
                <w:szCs w:val="24"/>
                <w14:textFill>
                  <w14:solidFill>
                    <w14:schemeClr w14:val="tx1"/>
                  </w14:solidFill>
                </w14:textFill>
              </w:rPr>
            </w:pPr>
          </w:p>
        </w:tc>
        <w:tc>
          <w:tcPr>
            <w:tcW w:w="463" w:type="pct"/>
            <w:vAlign w:val="center"/>
          </w:tcPr>
          <w:p w14:paraId="63A55A9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2-5.5×4.5</w:t>
            </w:r>
          </w:p>
        </w:tc>
        <w:tc>
          <w:tcPr>
            <w:tcW w:w="299" w:type="pct"/>
            <w:vAlign w:val="center"/>
          </w:tcPr>
          <w:p w14:paraId="3F55F5A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13.93</w:t>
            </w:r>
          </w:p>
        </w:tc>
        <w:tc>
          <w:tcPr>
            <w:tcW w:w="548" w:type="pct"/>
            <w:vAlign w:val="center"/>
          </w:tcPr>
          <w:p w14:paraId="6EFF8B76">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548" w:type="pct"/>
            <w:vAlign w:val="center"/>
          </w:tcPr>
          <w:p w14:paraId="1B1D3B80">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393" w:type="pct"/>
            <w:vAlign w:val="center"/>
          </w:tcPr>
          <w:p w14:paraId="7001D8C3">
            <w:pPr>
              <w:pStyle w:val="105"/>
              <w:spacing w:before="0"/>
              <w:jc w:val="center"/>
              <w:rPr>
                <w:snapToGrid w:val="0"/>
                <w:color w:val="000000" w:themeColor="text1"/>
                <w:sz w:val="20"/>
                <w:szCs w:val="24"/>
                <w14:textFill>
                  <w14:solidFill>
                    <w14:schemeClr w14:val="tx1"/>
                  </w14:solidFill>
                </w14:textFill>
              </w:rPr>
            </w:pPr>
          </w:p>
        </w:tc>
        <w:tc>
          <w:tcPr>
            <w:tcW w:w="488" w:type="pct"/>
            <w:vAlign w:val="center"/>
          </w:tcPr>
          <w:p w14:paraId="5FAA4E4C">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r>
              <w:rPr>
                <w:snapToGrid w:val="0"/>
                <w:color w:val="000000" w:themeColor="text1"/>
                <w:sz w:val="20"/>
                <w:szCs w:val="24"/>
                <w14:textFill>
                  <w14:solidFill>
                    <w14:schemeClr w14:val="tx1"/>
                  </w14:solidFill>
                </w14:textFill>
              </w:rPr>
              <w:t>^</w:t>
            </w:r>
          </w:p>
        </w:tc>
      </w:tr>
      <w:tr w14:paraId="3786AB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01C43B3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8</w:t>
            </w:r>
          </w:p>
        </w:tc>
        <w:tc>
          <w:tcPr>
            <w:tcW w:w="870" w:type="pct"/>
            <w:gridSpan w:val="2"/>
            <w:vAlign w:val="center"/>
          </w:tcPr>
          <w:p w14:paraId="6A01C43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K1+730.00</w:t>
            </w:r>
          </w:p>
        </w:tc>
        <w:tc>
          <w:tcPr>
            <w:tcW w:w="434" w:type="pct"/>
            <w:vAlign w:val="center"/>
          </w:tcPr>
          <w:p w14:paraId="71805B2E">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箱涵</w:t>
            </w:r>
          </w:p>
        </w:tc>
        <w:tc>
          <w:tcPr>
            <w:tcW w:w="316" w:type="pct"/>
            <w:vAlign w:val="center"/>
          </w:tcPr>
          <w:p w14:paraId="3E2A96E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17C4177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1.60</w:t>
            </w:r>
          </w:p>
        </w:tc>
        <w:tc>
          <w:tcPr>
            <w:tcW w:w="463" w:type="pct"/>
            <w:vAlign w:val="center"/>
          </w:tcPr>
          <w:p w14:paraId="507E0E6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3—5.0×4.5r</w:t>
            </w:r>
          </w:p>
        </w:tc>
        <w:tc>
          <w:tcPr>
            <w:tcW w:w="299" w:type="pct"/>
            <w:vAlign w:val="center"/>
          </w:tcPr>
          <w:p w14:paraId="75B0CCC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35</w:t>
            </w:r>
          </w:p>
        </w:tc>
        <w:tc>
          <w:tcPr>
            <w:tcW w:w="548" w:type="pct"/>
            <w:vAlign w:val="center"/>
          </w:tcPr>
          <w:p w14:paraId="025CA597">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挡墙、排水槽</w:t>
            </w:r>
          </w:p>
        </w:tc>
        <w:tc>
          <w:tcPr>
            <w:tcW w:w="548" w:type="pct"/>
            <w:vAlign w:val="center"/>
          </w:tcPr>
          <w:p w14:paraId="41F2C15B">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挡墙、排水槽</w:t>
            </w:r>
          </w:p>
        </w:tc>
        <w:tc>
          <w:tcPr>
            <w:tcW w:w="393" w:type="pct"/>
            <w:vAlign w:val="center"/>
          </w:tcPr>
          <w:p w14:paraId="17A8E08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225.37</w:t>
            </w:r>
          </w:p>
        </w:tc>
        <w:tc>
          <w:tcPr>
            <w:tcW w:w="488" w:type="pct"/>
            <w:vAlign w:val="center"/>
          </w:tcPr>
          <w:p w14:paraId="280DE9F0">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线外涵排水</w:t>
            </w:r>
          </w:p>
        </w:tc>
      </w:tr>
      <w:tr w14:paraId="7ADCB3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6135656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w:t>
            </w:r>
          </w:p>
        </w:tc>
        <w:tc>
          <w:tcPr>
            <w:tcW w:w="870" w:type="pct"/>
            <w:gridSpan w:val="2"/>
            <w:vAlign w:val="center"/>
          </w:tcPr>
          <w:p w14:paraId="397B043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K1+830.00</w:t>
            </w:r>
          </w:p>
        </w:tc>
        <w:tc>
          <w:tcPr>
            <w:tcW w:w="434" w:type="pct"/>
            <w:vAlign w:val="center"/>
          </w:tcPr>
          <w:p w14:paraId="04D0378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箱涵</w:t>
            </w:r>
          </w:p>
        </w:tc>
        <w:tc>
          <w:tcPr>
            <w:tcW w:w="316" w:type="pct"/>
            <w:vAlign w:val="center"/>
          </w:tcPr>
          <w:p w14:paraId="2513B02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120</w:t>
            </w:r>
          </w:p>
        </w:tc>
        <w:tc>
          <w:tcPr>
            <w:tcW w:w="403" w:type="pct"/>
            <w:vAlign w:val="center"/>
          </w:tcPr>
          <w:p w14:paraId="21C9856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3.54</w:t>
            </w:r>
          </w:p>
        </w:tc>
        <w:tc>
          <w:tcPr>
            <w:tcW w:w="463" w:type="pct"/>
            <w:vAlign w:val="center"/>
          </w:tcPr>
          <w:p w14:paraId="0DD1FA8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3-5.0×4.5</w:t>
            </w:r>
          </w:p>
        </w:tc>
        <w:tc>
          <w:tcPr>
            <w:tcW w:w="299" w:type="pct"/>
            <w:vAlign w:val="center"/>
          </w:tcPr>
          <w:p w14:paraId="298CB1D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19.85</w:t>
            </w:r>
          </w:p>
        </w:tc>
        <w:tc>
          <w:tcPr>
            <w:tcW w:w="548" w:type="pct"/>
            <w:vAlign w:val="center"/>
          </w:tcPr>
          <w:p w14:paraId="0CE2B726">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604196E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393" w:type="pct"/>
            <w:vAlign w:val="center"/>
          </w:tcPr>
          <w:p w14:paraId="36A2A15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225.37</w:t>
            </w:r>
          </w:p>
        </w:tc>
        <w:tc>
          <w:tcPr>
            <w:tcW w:w="488" w:type="pct"/>
            <w:vAlign w:val="center"/>
          </w:tcPr>
          <w:p w14:paraId="4BF5FF1C">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70F8FB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1AAF5E0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10</w:t>
            </w:r>
          </w:p>
        </w:tc>
        <w:tc>
          <w:tcPr>
            <w:tcW w:w="870" w:type="pct"/>
            <w:gridSpan w:val="2"/>
            <w:vAlign w:val="center"/>
          </w:tcPr>
          <w:p w14:paraId="71FBF3F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K2+144.50</w:t>
            </w:r>
          </w:p>
        </w:tc>
        <w:tc>
          <w:tcPr>
            <w:tcW w:w="434" w:type="pct"/>
            <w:vAlign w:val="center"/>
          </w:tcPr>
          <w:p w14:paraId="3BA395D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盖板涵</w:t>
            </w:r>
          </w:p>
        </w:tc>
        <w:tc>
          <w:tcPr>
            <w:tcW w:w="316" w:type="pct"/>
            <w:vAlign w:val="center"/>
          </w:tcPr>
          <w:p w14:paraId="0107207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84</w:t>
            </w:r>
          </w:p>
        </w:tc>
        <w:tc>
          <w:tcPr>
            <w:tcW w:w="403" w:type="pct"/>
            <w:vAlign w:val="center"/>
          </w:tcPr>
          <w:p w14:paraId="0B4B83C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0.80</w:t>
            </w:r>
          </w:p>
        </w:tc>
        <w:tc>
          <w:tcPr>
            <w:tcW w:w="463" w:type="pct"/>
            <w:vAlign w:val="center"/>
          </w:tcPr>
          <w:p w14:paraId="7D76B0F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1-1.6×0.9</w:t>
            </w:r>
          </w:p>
        </w:tc>
        <w:tc>
          <w:tcPr>
            <w:tcW w:w="299" w:type="pct"/>
            <w:vAlign w:val="center"/>
          </w:tcPr>
          <w:p w14:paraId="1B846E0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28.5</w:t>
            </w:r>
          </w:p>
        </w:tc>
        <w:tc>
          <w:tcPr>
            <w:tcW w:w="548" w:type="pct"/>
            <w:vAlign w:val="center"/>
          </w:tcPr>
          <w:p w14:paraId="16280EC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548" w:type="pct"/>
            <w:vAlign w:val="center"/>
          </w:tcPr>
          <w:p w14:paraId="6A0D52AE">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393" w:type="pct"/>
            <w:vAlign w:val="center"/>
          </w:tcPr>
          <w:p w14:paraId="162ACCA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488" w:type="pct"/>
            <w:vAlign w:val="center"/>
          </w:tcPr>
          <w:p w14:paraId="00A8D7B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LNG</w:t>
            </w:r>
            <w:r>
              <w:rPr>
                <w:rFonts w:hint="eastAsia"/>
                <w:snapToGrid w:val="0"/>
                <w:color w:val="000000" w:themeColor="text1"/>
                <w:sz w:val="20"/>
                <w:szCs w:val="24"/>
                <w14:textFill>
                  <w14:solidFill>
                    <w14:schemeClr w14:val="tx1"/>
                  </w14:solidFill>
                </w14:textFill>
              </w:rPr>
              <w:t>保护涵</w:t>
            </w:r>
          </w:p>
        </w:tc>
      </w:tr>
      <w:tr w14:paraId="612A6B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7FF7B36E">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w:t>
            </w:r>
          </w:p>
        </w:tc>
        <w:tc>
          <w:tcPr>
            <w:tcW w:w="870" w:type="pct"/>
            <w:gridSpan w:val="2"/>
            <w:vAlign w:val="center"/>
          </w:tcPr>
          <w:p w14:paraId="3444065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K2+673.50</w:t>
            </w:r>
          </w:p>
        </w:tc>
        <w:tc>
          <w:tcPr>
            <w:tcW w:w="434" w:type="pct"/>
            <w:vAlign w:val="center"/>
          </w:tcPr>
          <w:p w14:paraId="55860C3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6EC0511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0FACB19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0.69</w:t>
            </w:r>
          </w:p>
        </w:tc>
        <w:tc>
          <w:tcPr>
            <w:tcW w:w="463" w:type="pct"/>
            <w:vAlign w:val="center"/>
          </w:tcPr>
          <w:p w14:paraId="70AAC29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6BC1649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14</w:t>
            </w:r>
          </w:p>
        </w:tc>
        <w:tc>
          <w:tcPr>
            <w:tcW w:w="548" w:type="pct"/>
            <w:vAlign w:val="center"/>
          </w:tcPr>
          <w:p w14:paraId="11E28978">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0CA7302A">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6DE8717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5A516598">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6E5387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50A233D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w:t>
            </w:r>
          </w:p>
        </w:tc>
        <w:tc>
          <w:tcPr>
            <w:tcW w:w="870" w:type="pct"/>
            <w:gridSpan w:val="2"/>
            <w:vAlign w:val="center"/>
          </w:tcPr>
          <w:p w14:paraId="62E8F0B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K2+871.50</w:t>
            </w:r>
          </w:p>
        </w:tc>
        <w:tc>
          <w:tcPr>
            <w:tcW w:w="434" w:type="pct"/>
            <w:vAlign w:val="center"/>
          </w:tcPr>
          <w:p w14:paraId="20999DC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1AF7682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120</w:t>
            </w:r>
          </w:p>
        </w:tc>
        <w:tc>
          <w:tcPr>
            <w:tcW w:w="403" w:type="pct"/>
            <w:vAlign w:val="center"/>
          </w:tcPr>
          <w:p w14:paraId="783D8FB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1.05</w:t>
            </w:r>
          </w:p>
        </w:tc>
        <w:tc>
          <w:tcPr>
            <w:tcW w:w="463" w:type="pct"/>
            <w:vAlign w:val="center"/>
          </w:tcPr>
          <w:p w14:paraId="3CE2033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1BA0622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17.24</w:t>
            </w:r>
          </w:p>
        </w:tc>
        <w:tc>
          <w:tcPr>
            <w:tcW w:w="548" w:type="pct"/>
            <w:vAlign w:val="center"/>
          </w:tcPr>
          <w:p w14:paraId="50622712">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0325538F">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4F133D8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1.69</w:t>
            </w:r>
          </w:p>
        </w:tc>
        <w:tc>
          <w:tcPr>
            <w:tcW w:w="488" w:type="pct"/>
            <w:vAlign w:val="center"/>
          </w:tcPr>
          <w:p w14:paraId="0F2CE7B4">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5936D7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2560684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13</w:t>
            </w:r>
          </w:p>
        </w:tc>
        <w:tc>
          <w:tcPr>
            <w:tcW w:w="870" w:type="pct"/>
            <w:gridSpan w:val="2"/>
            <w:vAlign w:val="center"/>
          </w:tcPr>
          <w:p w14:paraId="69C5D36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K3+280.00</w:t>
            </w:r>
          </w:p>
        </w:tc>
        <w:tc>
          <w:tcPr>
            <w:tcW w:w="434" w:type="pct"/>
            <w:vAlign w:val="center"/>
          </w:tcPr>
          <w:p w14:paraId="762163E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46619D7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439874E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0.66</w:t>
            </w:r>
          </w:p>
        </w:tc>
        <w:tc>
          <w:tcPr>
            <w:tcW w:w="463" w:type="pct"/>
            <w:vAlign w:val="center"/>
          </w:tcPr>
          <w:p w14:paraId="474FCCAE">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53C61D8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14</w:t>
            </w:r>
          </w:p>
        </w:tc>
        <w:tc>
          <w:tcPr>
            <w:tcW w:w="548" w:type="pct"/>
            <w:vAlign w:val="center"/>
          </w:tcPr>
          <w:p w14:paraId="3BFA8973">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1E16CF42">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3265C60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1.69</w:t>
            </w:r>
          </w:p>
        </w:tc>
        <w:tc>
          <w:tcPr>
            <w:tcW w:w="488" w:type="pct"/>
            <w:vAlign w:val="center"/>
          </w:tcPr>
          <w:p w14:paraId="4BF1DB13">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35FCF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18C546E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14</w:t>
            </w:r>
          </w:p>
        </w:tc>
        <w:tc>
          <w:tcPr>
            <w:tcW w:w="870" w:type="pct"/>
            <w:gridSpan w:val="2"/>
            <w:vAlign w:val="center"/>
          </w:tcPr>
          <w:p w14:paraId="6B199E8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K3+436.500</w:t>
            </w:r>
          </w:p>
        </w:tc>
        <w:tc>
          <w:tcPr>
            <w:tcW w:w="434" w:type="pct"/>
            <w:vAlign w:val="center"/>
          </w:tcPr>
          <w:p w14:paraId="5C0DAE1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盖板涵</w:t>
            </w:r>
          </w:p>
        </w:tc>
        <w:tc>
          <w:tcPr>
            <w:tcW w:w="316" w:type="pct"/>
            <w:vAlign w:val="center"/>
          </w:tcPr>
          <w:p w14:paraId="199E457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80</w:t>
            </w:r>
          </w:p>
        </w:tc>
        <w:tc>
          <w:tcPr>
            <w:tcW w:w="403" w:type="pct"/>
            <w:vAlign w:val="center"/>
          </w:tcPr>
          <w:p w14:paraId="24FE444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0.19-0.51</w:t>
            </w:r>
          </w:p>
        </w:tc>
        <w:tc>
          <w:tcPr>
            <w:tcW w:w="463" w:type="pct"/>
            <w:vAlign w:val="center"/>
          </w:tcPr>
          <w:p w14:paraId="08CE5C9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3-4.0×3.5</w:t>
            </w:r>
          </w:p>
        </w:tc>
        <w:tc>
          <w:tcPr>
            <w:tcW w:w="299" w:type="pct"/>
            <w:vAlign w:val="center"/>
          </w:tcPr>
          <w:p w14:paraId="6148C8D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12.68</w:t>
            </w:r>
          </w:p>
        </w:tc>
        <w:tc>
          <w:tcPr>
            <w:tcW w:w="548" w:type="pct"/>
            <w:vAlign w:val="center"/>
          </w:tcPr>
          <w:p w14:paraId="463C42AD">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41B489E5">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铺砌</w:t>
            </w:r>
          </w:p>
        </w:tc>
        <w:tc>
          <w:tcPr>
            <w:tcW w:w="393" w:type="pct"/>
            <w:vAlign w:val="center"/>
          </w:tcPr>
          <w:p w14:paraId="259817B2">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57.60</w:t>
            </w:r>
          </w:p>
        </w:tc>
        <w:tc>
          <w:tcPr>
            <w:tcW w:w="488" w:type="pct"/>
            <w:vAlign w:val="center"/>
          </w:tcPr>
          <w:p w14:paraId="127C45CD">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531B34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3367EC4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15</w:t>
            </w:r>
          </w:p>
        </w:tc>
        <w:tc>
          <w:tcPr>
            <w:tcW w:w="870" w:type="pct"/>
            <w:gridSpan w:val="2"/>
            <w:vAlign w:val="center"/>
          </w:tcPr>
          <w:p w14:paraId="33CB61A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K3+499.00</w:t>
            </w:r>
          </w:p>
        </w:tc>
        <w:tc>
          <w:tcPr>
            <w:tcW w:w="434" w:type="pct"/>
            <w:vAlign w:val="center"/>
          </w:tcPr>
          <w:p w14:paraId="32B36DD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盖板涵</w:t>
            </w:r>
          </w:p>
        </w:tc>
        <w:tc>
          <w:tcPr>
            <w:tcW w:w="316" w:type="pct"/>
            <w:vAlign w:val="center"/>
          </w:tcPr>
          <w:p w14:paraId="55F70CA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74</w:t>
            </w:r>
          </w:p>
        </w:tc>
        <w:tc>
          <w:tcPr>
            <w:tcW w:w="403" w:type="pct"/>
            <w:vAlign w:val="center"/>
          </w:tcPr>
          <w:p w14:paraId="7F3CC21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0.90</w:t>
            </w:r>
          </w:p>
        </w:tc>
        <w:tc>
          <w:tcPr>
            <w:tcW w:w="463" w:type="pct"/>
            <w:vAlign w:val="center"/>
          </w:tcPr>
          <w:p w14:paraId="0F7FDA3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1-5.0×2.0</w:t>
            </w:r>
          </w:p>
        </w:tc>
        <w:tc>
          <w:tcPr>
            <w:tcW w:w="299" w:type="pct"/>
            <w:vAlign w:val="center"/>
          </w:tcPr>
          <w:p w14:paraId="4D73471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29.2</w:t>
            </w:r>
          </w:p>
        </w:tc>
        <w:tc>
          <w:tcPr>
            <w:tcW w:w="548" w:type="pct"/>
            <w:vAlign w:val="center"/>
          </w:tcPr>
          <w:p w14:paraId="1819C515">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3D30390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3F39680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19.00</w:t>
            </w:r>
          </w:p>
        </w:tc>
        <w:tc>
          <w:tcPr>
            <w:tcW w:w="488" w:type="pct"/>
            <w:vAlign w:val="center"/>
          </w:tcPr>
          <w:p w14:paraId="40CEEF04">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3C767D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258E056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16</w:t>
            </w:r>
          </w:p>
        </w:tc>
        <w:tc>
          <w:tcPr>
            <w:tcW w:w="870" w:type="pct"/>
            <w:gridSpan w:val="2"/>
            <w:vAlign w:val="center"/>
          </w:tcPr>
          <w:p w14:paraId="0016229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K3+640.00</w:t>
            </w:r>
          </w:p>
        </w:tc>
        <w:tc>
          <w:tcPr>
            <w:tcW w:w="434" w:type="pct"/>
            <w:vAlign w:val="center"/>
          </w:tcPr>
          <w:p w14:paraId="1994A57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盖板涵</w:t>
            </w:r>
          </w:p>
        </w:tc>
        <w:tc>
          <w:tcPr>
            <w:tcW w:w="316" w:type="pct"/>
            <w:vAlign w:val="center"/>
          </w:tcPr>
          <w:p w14:paraId="796AA6D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117</w:t>
            </w:r>
          </w:p>
        </w:tc>
        <w:tc>
          <w:tcPr>
            <w:tcW w:w="403" w:type="pct"/>
            <w:vAlign w:val="center"/>
          </w:tcPr>
          <w:p w14:paraId="0952933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0.16~0</w:t>
            </w:r>
            <w:bookmarkStart w:id="283" w:name="hmcheck_5609bc608e2d42eca4c0c0388e3f0914"/>
            <w:r>
              <w:rPr>
                <w:snapToGrid w:val="0"/>
                <w:color w:val="000000" w:themeColor="text1"/>
                <w:sz w:val="20"/>
                <w:szCs w:val="24"/>
                <w:shd w:val="clear" w:fill="FFAFAA"/>
                <w14:textFill>
                  <w14:solidFill>
                    <w14:schemeClr w14:val="tx1"/>
                  </w14:solidFill>
                </w14:textFill>
              </w:rPr>
              <w:t>‘</w:t>
            </w:r>
            <w:bookmarkEnd w:id="283"/>
            <w:r>
              <w:rPr>
                <w:snapToGrid w:val="0"/>
                <w:color w:val="000000" w:themeColor="text1"/>
                <w:sz w:val="20"/>
                <w:szCs w:val="24"/>
                <w14:textFill>
                  <w14:solidFill>
                    <w14:schemeClr w14:val="tx1"/>
                  </w14:solidFill>
                </w14:textFill>
              </w:rPr>
              <w:t>63</w:t>
            </w:r>
          </w:p>
        </w:tc>
        <w:tc>
          <w:tcPr>
            <w:tcW w:w="463" w:type="pct"/>
            <w:vAlign w:val="center"/>
          </w:tcPr>
          <w:p w14:paraId="0BE5874E">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3-4.0×3.5</w:t>
            </w:r>
          </w:p>
        </w:tc>
        <w:tc>
          <w:tcPr>
            <w:tcW w:w="299" w:type="pct"/>
            <w:vAlign w:val="center"/>
          </w:tcPr>
          <w:p w14:paraId="5C71E03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16.08</w:t>
            </w:r>
          </w:p>
        </w:tc>
        <w:tc>
          <w:tcPr>
            <w:tcW w:w="548" w:type="pct"/>
            <w:vAlign w:val="center"/>
          </w:tcPr>
          <w:p w14:paraId="1BB99393">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挡墙</w:t>
            </w:r>
          </w:p>
        </w:tc>
        <w:tc>
          <w:tcPr>
            <w:tcW w:w="548" w:type="pct"/>
            <w:vAlign w:val="center"/>
          </w:tcPr>
          <w:p w14:paraId="195812DF">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0A62FDF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57.60</w:t>
            </w:r>
          </w:p>
        </w:tc>
        <w:tc>
          <w:tcPr>
            <w:tcW w:w="488" w:type="pct"/>
            <w:vAlign w:val="center"/>
          </w:tcPr>
          <w:p w14:paraId="123926E1">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57D0E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43B64DF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17</w:t>
            </w:r>
          </w:p>
        </w:tc>
        <w:tc>
          <w:tcPr>
            <w:tcW w:w="870" w:type="pct"/>
            <w:gridSpan w:val="2"/>
            <w:vAlign w:val="center"/>
          </w:tcPr>
          <w:p w14:paraId="757AC33A">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K3+810.00</w:t>
            </w:r>
          </w:p>
        </w:tc>
        <w:tc>
          <w:tcPr>
            <w:tcW w:w="434" w:type="pct"/>
            <w:vAlign w:val="center"/>
          </w:tcPr>
          <w:p w14:paraId="1D1AA7F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23263DD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120</w:t>
            </w:r>
          </w:p>
        </w:tc>
        <w:tc>
          <w:tcPr>
            <w:tcW w:w="403" w:type="pct"/>
            <w:vAlign w:val="center"/>
          </w:tcPr>
          <w:p w14:paraId="67185D1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0.76</w:t>
            </w:r>
          </w:p>
        </w:tc>
        <w:tc>
          <w:tcPr>
            <w:tcW w:w="463" w:type="pct"/>
            <w:vAlign w:val="center"/>
          </w:tcPr>
          <w:p w14:paraId="50AAC65D">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0ED4E44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15.6</w:t>
            </w:r>
          </w:p>
        </w:tc>
        <w:tc>
          <w:tcPr>
            <w:tcW w:w="548" w:type="pct"/>
            <w:vAlign w:val="center"/>
          </w:tcPr>
          <w:p w14:paraId="143CFFD0">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37B991C7">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174F680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6BED35D2">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6652CF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238" w:type="pct"/>
            <w:vAlign w:val="center"/>
          </w:tcPr>
          <w:p w14:paraId="225BD47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18</w:t>
            </w:r>
          </w:p>
        </w:tc>
        <w:tc>
          <w:tcPr>
            <w:tcW w:w="870" w:type="pct"/>
            <w:gridSpan w:val="2"/>
            <w:vAlign w:val="center"/>
          </w:tcPr>
          <w:p w14:paraId="79D0C02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K3+870.00</w:t>
            </w:r>
          </w:p>
        </w:tc>
        <w:tc>
          <w:tcPr>
            <w:tcW w:w="434" w:type="pct"/>
            <w:vAlign w:val="center"/>
          </w:tcPr>
          <w:p w14:paraId="2AF0BCA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49807A7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120</w:t>
            </w:r>
          </w:p>
        </w:tc>
        <w:tc>
          <w:tcPr>
            <w:tcW w:w="403" w:type="pct"/>
            <w:vAlign w:val="center"/>
          </w:tcPr>
          <w:p w14:paraId="10298CE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1.00</w:t>
            </w:r>
          </w:p>
        </w:tc>
        <w:tc>
          <w:tcPr>
            <w:tcW w:w="463" w:type="pct"/>
            <w:vAlign w:val="center"/>
          </w:tcPr>
          <w:p w14:paraId="765BBD9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1-1.5</w:t>
            </w:r>
          </w:p>
        </w:tc>
        <w:tc>
          <w:tcPr>
            <w:tcW w:w="299" w:type="pct"/>
            <w:vAlign w:val="center"/>
          </w:tcPr>
          <w:p w14:paraId="2558F7F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16.03</w:t>
            </w:r>
          </w:p>
        </w:tc>
        <w:tc>
          <w:tcPr>
            <w:tcW w:w="548" w:type="pct"/>
            <w:vAlign w:val="center"/>
          </w:tcPr>
          <w:p w14:paraId="2AB1F0FF">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2B8EBD0A">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272AB63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5B6D0DD2">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5ED52E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602261C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19</w:t>
            </w:r>
          </w:p>
        </w:tc>
        <w:tc>
          <w:tcPr>
            <w:tcW w:w="870" w:type="pct"/>
            <w:gridSpan w:val="2"/>
            <w:vAlign w:val="center"/>
          </w:tcPr>
          <w:p w14:paraId="20FFCE5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K3+904.00</w:t>
            </w:r>
          </w:p>
        </w:tc>
        <w:tc>
          <w:tcPr>
            <w:tcW w:w="434" w:type="pct"/>
            <w:vAlign w:val="center"/>
          </w:tcPr>
          <w:p w14:paraId="782A610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盖板涵</w:t>
            </w:r>
          </w:p>
        </w:tc>
        <w:tc>
          <w:tcPr>
            <w:tcW w:w="316" w:type="pct"/>
            <w:vAlign w:val="center"/>
          </w:tcPr>
          <w:p w14:paraId="79CBB47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51</w:t>
            </w:r>
          </w:p>
        </w:tc>
        <w:tc>
          <w:tcPr>
            <w:tcW w:w="403" w:type="pct"/>
            <w:vAlign w:val="center"/>
          </w:tcPr>
          <w:p w14:paraId="5F4AD77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4.20</w:t>
            </w:r>
          </w:p>
        </w:tc>
        <w:tc>
          <w:tcPr>
            <w:tcW w:w="463" w:type="pct"/>
            <w:vAlign w:val="center"/>
          </w:tcPr>
          <w:p w14:paraId="3B5DD77C">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1-2.0×</w:t>
            </w:r>
          </w:p>
          <w:p w14:paraId="160F181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1.5</w:t>
            </w:r>
          </w:p>
        </w:tc>
        <w:tc>
          <w:tcPr>
            <w:tcW w:w="299" w:type="pct"/>
            <w:vAlign w:val="center"/>
          </w:tcPr>
          <w:p w14:paraId="78B1C22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34</w:t>
            </w:r>
          </w:p>
        </w:tc>
        <w:tc>
          <w:tcPr>
            <w:tcW w:w="548" w:type="pct"/>
            <w:vAlign w:val="center"/>
          </w:tcPr>
          <w:p w14:paraId="177B0A2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548" w:type="pct"/>
            <w:vAlign w:val="center"/>
          </w:tcPr>
          <w:p w14:paraId="37FD0F0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393" w:type="pct"/>
            <w:vAlign w:val="center"/>
          </w:tcPr>
          <w:p w14:paraId="0328B580">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w:t>
            </w:r>
          </w:p>
        </w:tc>
        <w:tc>
          <w:tcPr>
            <w:tcW w:w="488" w:type="pct"/>
            <w:vAlign w:val="center"/>
          </w:tcPr>
          <w:p w14:paraId="52B063BF">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LNG</w:t>
            </w:r>
            <w:r>
              <w:rPr>
                <w:rFonts w:hint="eastAsia"/>
                <w:snapToGrid w:val="0"/>
                <w:color w:val="000000" w:themeColor="text1"/>
                <w:sz w:val="20"/>
                <w:szCs w:val="24"/>
                <w14:textFill>
                  <w14:solidFill>
                    <w14:schemeClr w14:val="tx1"/>
                  </w14:solidFill>
                </w14:textFill>
              </w:rPr>
              <w:t>保护涵</w:t>
            </w:r>
          </w:p>
        </w:tc>
      </w:tr>
      <w:tr w14:paraId="4E2569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56E9EC97">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20</w:t>
            </w:r>
          </w:p>
        </w:tc>
        <w:tc>
          <w:tcPr>
            <w:tcW w:w="870" w:type="pct"/>
            <w:gridSpan w:val="2"/>
            <w:vAlign w:val="center"/>
          </w:tcPr>
          <w:p w14:paraId="58D1A69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K4+300.00</w:t>
            </w:r>
          </w:p>
        </w:tc>
        <w:tc>
          <w:tcPr>
            <w:tcW w:w="434" w:type="pct"/>
            <w:vAlign w:val="center"/>
          </w:tcPr>
          <w:p w14:paraId="046758E5">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盖板涵</w:t>
            </w:r>
          </w:p>
        </w:tc>
        <w:tc>
          <w:tcPr>
            <w:tcW w:w="316" w:type="pct"/>
            <w:vAlign w:val="center"/>
          </w:tcPr>
          <w:p w14:paraId="00D0FBE1">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344C1104">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1.19</w:t>
            </w:r>
          </w:p>
        </w:tc>
        <w:tc>
          <w:tcPr>
            <w:tcW w:w="463" w:type="pct"/>
            <w:vAlign w:val="center"/>
          </w:tcPr>
          <w:p w14:paraId="2141EBD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1-3.0×2.0</w:t>
            </w:r>
          </w:p>
        </w:tc>
        <w:tc>
          <w:tcPr>
            <w:tcW w:w="299" w:type="pct"/>
            <w:vAlign w:val="center"/>
          </w:tcPr>
          <w:p w14:paraId="11F88FB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13.56</w:t>
            </w:r>
          </w:p>
        </w:tc>
        <w:tc>
          <w:tcPr>
            <w:tcW w:w="548" w:type="pct"/>
            <w:vAlign w:val="center"/>
          </w:tcPr>
          <w:p w14:paraId="3EF6D47A">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3EEBAC61">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铺砌</w:t>
            </w:r>
          </w:p>
        </w:tc>
        <w:tc>
          <w:tcPr>
            <w:tcW w:w="393" w:type="pct"/>
            <w:vAlign w:val="center"/>
          </w:tcPr>
          <w:p w14:paraId="59A1CA06">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11.40</w:t>
            </w:r>
          </w:p>
        </w:tc>
        <w:tc>
          <w:tcPr>
            <w:tcW w:w="488" w:type="pct"/>
            <w:vAlign w:val="center"/>
          </w:tcPr>
          <w:p w14:paraId="0F328516">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排水</w:t>
            </w:r>
          </w:p>
        </w:tc>
      </w:tr>
      <w:tr w14:paraId="3D5092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38" w:type="pct"/>
            <w:vAlign w:val="center"/>
          </w:tcPr>
          <w:p w14:paraId="20821EE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21</w:t>
            </w:r>
          </w:p>
        </w:tc>
        <w:tc>
          <w:tcPr>
            <w:tcW w:w="870" w:type="pct"/>
            <w:gridSpan w:val="2"/>
            <w:vAlign w:val="center"/>
          </w:tcPr>
          <w:p w14:paraId="21619159">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K4+775.00</w:t>
            </w:r>
          </w:p>
        </w:tc>
        <w:tc>
          <w:tcPr>
            <w:tcW w:w="434" w:type="pct"/>
            <w:vAlign w:val="center"/>
          </w:tcPr>
          <w:p w14:paraId="3719AF9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RC</w:t>
            </w:r>
            <w:r>
              <w:rPr>
                <w:rFonts w:hint="eastAsia"/>
                <w:snapToGrid w:val="0"/>
                <w:color w:val="000000" w:themeColor="text1"/>
                <w:sz w:val="20"/>
                <w:szCs w:val="24"/>
                <w14:textFill>
                  <w14:solidFill>
                    <w14:schemeClr w14:val="tx1"/>
                  </w14:solidFill>
                </w14:textFill>
              </w:rPr>
              <w:t>圆管涵</w:t>
            </w:r>
          </w:p>
        </w:tc>
        <w:tc>
          <w:tcPr>
            <w:tcW w:w="316" w:type="pct"/>
            <w:vAlign w:val="center"/>
          </w:tcPr>
          <w:p w14:paraId="054926C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90</w:t>
            </w:r>
          </w:p>
        </w:tc>
        <w:tc>
          <w:tcPr>
            <w:tcW w:w="403" w:type="pct"/>
            <w:vAlign w:val="center"/>
          </w:tcPr>
          <w:p w14:paraId="25750CB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2.97</w:t>
            </w:r>
          </w:p>
        </w:tc>
        <w:tc>
          <w:tcPr>
            <w:tcW w:w="463" w:type="pct"/>
            <w:vAlign w:val="center"/>
          </w:tcPr>
          <w:p w14:paraId="472B3398">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14.5</w:t>
            </w:r>
          </w:p>
        </w:tc>
        <w:tc>
          <w:tcPr>
            <w:tcW w:w="299" w:type="pct"/>
            <w:vAlign w:val="center"/>
          </w:tcPr>
          <w:p w14:paraId="2ADE1E63">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20.5</w:t>
            </w:r>
          </w:p>
        </w:tc>
        <w:tc>
          <w:tcPr>
            <w:tcW w:w="548" w:type="pct"/>
            <w:vAlign w:val="center"/>
          </w:tcPr>
          <w:p w14:paraId="3EAACF39">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548" w:type="pct"/>
            <w:vAlign w:val="center"/>
          </w:tcPr>
          <w:p w14:paraId="3B41A70A">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八字翼墙</w:t>
            </w:r>
          </w:p>
        </w:tc>
        <w:tc>
          <w:tcPr>
            <w:tcW w:w="393" w:type="pct"/>
            <w:vAlign w:val="center"/>
          </w:tcPr>
          <w:p w14:paraId="264D6ACB">
            <w:pPr>
              <w:pStyle w:val="105"/>
              <w:spacing w:before="0"/>
              <w:jc w:val="center"/>
              <w:rPr>
                <w:snapToGrid w:val="0"/>
                <w:color w:val="000000" w:themeColor="text1"/>
                <w:sz w:val="20"/>
                <w:szCs w:val="24"/>
                <w14:textFill>
                  <w14:solidFill>
                    <w14:schemeClr w14:val="tx1"/>
                  </w14:solidFill>
                </w14:textFill>
              </w:rPr>
            </w:pPr>
            <w:r>
              <w:rPr>
                <w:snapToGrid w:val="0"/>
                <w:color w:val="000000" w:themeColor="text1"/>
                <w:sz w:val="20"/>
                <w:szCs w:val="24"/>
                <w14:textFill>
                  <w14:solidFill>
                    <w14:schemeClr w14:val="tx1"/>
                  </w14:solidFill>
                </w14:textFill>
              </w:rPr>
              <w:t>4.66</w:t>
            </w:r>
          </w:p>
        </w:tc>
        <w:tc>
          <w:tcPr>
            <w:tcW w:w="488" w:type="pct"/>
            <w:vAlign w:val="center"/>
          </w:tcPr>
          <w:p w14:paraId="1A5DD5BE">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灌溉</w:t>
            </w:r>
          </w:p>
        </w:tc>
      </w:tr>
      <w:tr w14:paraId="2D9179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12"/>
            <w:vAlign w:val="center"/>
          </w:tcPr>
          <w:p w14:paraId="7B0B0B29">
            <w:pPr>
              <w:pStyle w:val="105"/>
              <w:spacing w:before="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合计：</w:t>
            </w:r>
            <w:r>
              <w:rPr>
                <w:snapToGrid w:val="0"/>
                <w:color w:val="000000" w:themeColor="text1"/>
                <w:sz w:val="20"/>
                <w:szCs w:val="24"/>
                <w14:textFill>
                  <w14:solidFill>
                    <w14:schemeClr w14:val="tx1"/>
                  </w14:solidFill>
                </w14:textFill>
              </w:rPr>
              <w:t>21</w:t>
            </w:r>
            <w:r>
              <w:rPr>
                <w:rFonts w:hint="eastAsia"/>
                <w:snapToGrid w:val="0"/>
                <w:color w:val="000000" w:themeColor="text1"/>
                <w:sz w:val="20"/>
                <w:szCs w:val="24"/>
                <w14:textFill>
                  <w14:solidFill>
                    <w14:schemeClr w14:val="tx1"/>
                  </w14:solidFill>
                </w14:textFill>
              </w:rPr>
              <w:t>道</w:t>
            </w:r>
            <w:r>
              <w:rPr>
                <w:rStyle w:val="844"/>
                <w:rFonts w:hint="eastAsia" w:ascii="Times New Roman"/>
                <w:snapToGrid w:val="0"/>
                <w:color w:val="000000" w:themeColor="text1"/>
                <w:spacing w:val="0"/>
                <w:sz w:val="20"/>
                <w:szCs w:val="24"/>
                <w:shd w:val="clear" w:color="auto" w:fill="auto"/>
                <w:lang w:val="en-US" w:eastAsia="zh-CN"/>
                <w14:textFill>
                  <w14:solidFill>
                    <w14:schemeClr w14:val="tx1"/>
                  </w14:solidFill>
                </w14:textFill>
              </w:rPr>
              <w:t xml:space="preserve"> </w:t>
            </w:r>
            <w:r>
              <w:rPr>
                <w:rStyle w:val="844"/>
                <w:rFonts w:ascii="Times New Roman"/>
                <w:snapToGrid w:val="0"/>
                <w:color w:val="000000" w:themeColor="text1"/>
                <w:spacing w:val="0"/>
                <w:sz w:val="20"/>
                <w:szCs w:val="24"/>
                <w:shd w:val="clear" w:color="auto" w:fill="auto"/>
                <w:lang w:val="en-US" w:eastAsia="zh-CN"/>
                <w14:textFill>
                  <w14:solidFill>
                    <w14:schemeClr w14:val="tx1"/>
                  </w14:solidFill>
                </w14:textFill>
              </w:rPr>
              <w:t xml:space="preserve"> </w:t>
            </w:r>
            <w:r>
              <w:rPr>
                <w:rFonts w:hint="eastAsia"/>
                <w:snapToGrid w:val="0"/>
                <w:color w:val="000000" w:themeColor="text1"/>
                <w:sz w:val="20"/>
                <w:szCs w:val="24"/>
                <w14:textFill>
                  <w14:solidFill>
                    <w14:schemeClr w14:val="tx1"/>
                  </w14:solidFill>
                </w14:textFill>
              </w:rPr>
              <w:t>共</w:t>
            </w:r>
            <w:r>
              <w:rPr>
                <w:snapToGrid w:val="0"/>
                <w:color w:val="000000" w:themeColor="text1"/>
                <w:sz w:val="20"/>
                <w:szCs w:val="24"/>
                <w14:textFill>
                  <w14:solidFill>
                    <w14:schemeClr w14:val="tx1"/>
                  </w14:solidFill>
                </w14:textFill>
              </w:rPr>
              <w:t>431.51</w:t>
            </w:r>
            <w:r>
              <w:rPr>
                <w:rFonts w:hint="eastAsia"/>
                <w:snapToGrid w:val="0"/>
                <w:color w:val="000000" w:themeColor="text1"/>
                <w:sz w:val="20"/>
                <w:szCs w:val="24"/>
                <w14:textFill>
                  <w14:solidFill>
                    <w14:schemeClr w14:val="tx1"/>
                  </w14:solidFill>
                </w14:textFill>
              </w:rPr>
              <w:t>米</w:t>
            </w:r>
          </w:p>
        </w:tc>
      </w:tr>
    </w:tbl>
    <w:p w14:paraId="4FFEABB6">
      <w:pPr>
        <w:ind w:firstLine="480"/>
        <w:rPr>
          <w:color w:val="000000" w:themeColor="text1"/>
          <w14:textFill>
            <w14:solidFill>
              <w14:schemeClr w14:val="tx1"/>
            </w14:solidFill>
          </w14:textFill>
        </w:rPr>
        <w:sectPr>
          <w:pgSz w:w="16840" w:h="11910" w:orient="landscape"/>
          <w:pgMar w:top="1418" w:right="1418" w:bottom="1418" w:left="1418" w:header="851" w:footer="851" w:gutter="0"/>
          <w:cols w:space="720" w:num="1"/>
          <w:docGrid w:linePitch="326" w:charSpace="0"/>
        </w:sectPr>
      </w:pPr>
    </w:p>
    <w:p w14:paraId="1181846C">
      <w:pPr>
        <w:pStyle w:val="120"/>
        <w:rPr>
          <w:color w:val="000000" w:themeColor="text1"/>
          <w:lang w:val="zh-CN"/>
          <w14:textFill>
            <w14:solidFill>
              <w14:schemeClr w14:val="tx1"/>
            </w14:solidFill>
          </w14:textFill>
        </w:rPr>
      </w:pPr>
      <w:bookmarkStart w:id="284" w:name="2.2.6交通工程"/>
      <w:bookmarkEnd w:id="284"/>
      <w:r>
        <w:rPr>
          <w:rFonts w:hint="eastAsia"/>
          <w:color w:val="000000" w:themeColor="text1"/>
          <w:lang w:val="zh-CN"/>
          <w14:textFill>
            <w14:solidFill>
              <w14:schemeClr w14:val="tx1"/>
            </w14:solidFill>
          </w14:textFill>
        </w:rPr>
        <w:t>改路工程</w:t>
      </w:r>
    </w:p>
    <w:p w14:paraId="3BEC3937">
      <w:pPr>
        <w:ind w:firstLine="480"/>
        <w:rPr>
          <w:color w:val="000000" w:themeColor="text1"/>
          <w14:textFill>
            <w14:solidFill>
              <w14:schemeClr w14:val="tx1"/>
            </w14:solidFill>
          </w14:textFill>
        </w:rPr>
      </w:pPr>
      <w:r>
        <w:rPr>
          <w:color w:val="000000" w:themeColor="text1"/>
          <w:lang w:val="zh-CN"/>
          <w14:textFill>
            <w14:solidFill>
              <w14:schemeClr w14:val="tx1"/>
            </w14:solidFill>
          </w14:textFill>
        </w:rPr>
        <w:t>本项目有5处改路工程，共579</w:t>
      </w:r>
      <w:r>
        <w:rPr>
          <w:rFonts w:hint="eastAsia"/>
          <w:color w:val="000000" w:themeColor="text1"/>
          <w:lang w:val="zh-CN"/>
          <w14:textFill>
            <w14:solidFill>
              <w14:schemeClr w14:val="tx1"/>
            </w14:solidFill>
          </w14:textFill>
        </w:rPr>
        <w:t>m</w:t>
      </w:r>
      <w:r>
        <w:rPr>
          <w:color w:val="000000" w:themeColor="text1"/>
          <w:lang w:val="zh-CN"/>
          <w14:textFill>
            <w14:solidFill>
              <w14:schemeClr w14:val="tx1"/>
            </w14:solidFill>
          </w14:textFill>
        </w:rPr>
        <w:t>。本项目改路工程均为等外路，全线不设置超高加宽。改路路面宽度与现状村道一致。</w:t>
      </w:r>
      <w:r>
        <w:rPr>
          <w:rFonts w:hint="eastAsia"/>
          <w:color w:val="000000" w:themeColor="text1"/>
          <w:lang w:val="zh-CN"/>
          <w14:textFill>
            <w14:solidFill>
              <w14:schemeClr w14:val="tx1"/>
            </w14:solidFill>
          </w14:textFill>
        </w:rPr>
        <w:t>该路</w:t>
      </w:r>
      <w:r>
        <w:rPr>
          <w:color w:val="000000" w:themeColor="text1"/>
          <w:lang w:val="zh-CN"/>
          <w14:textFill>
            <w14:solidFill>
              <w14:schemeClr w14:val="tx1"/>
            </w14:solidFill>
          </w14:textFill>
        </w:rPr>
        <w:t>路面结构采用20cm水泥砼+1cm沥青表处封层-15cm5%水泥稳定碎石基层+15cm级配碎石。</w:t>
      </w:r>
      <w:r>
        <w:rPr>
          <w:color w:val="000000" w:themeColor="text1"/>
          <w14:textFill>
            <w14:solidFill>
              <w14:schemeClr w14:val="tx1"/>
            </w14:solidFill>
          </w14:textFill>
        </w:rPr>
        <w:t>改路工程详见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_Ref149644698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表3.3-7</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17629A31">
      <w:pPr>
        <w:pStyle w:val="87"/>
        <w:spacing w:before="120"/>
        <w:ind w:left="480" w:firstLine="480"/>
        <w:rPr>
          <w:color w:val="000000" w:themeColor="text1"/>
          <w14:textFill>
            <w14:solidFill>
              <w14:schemeClr w14:val="tx1"/>
            </w14:solidFill>
          </w14:textFill>
        </w:rPr>
      </w:pPr>
      <w:bookmarkStart w:id="285" w:name="_Ref149644698"/>
      <w:r>
        <w:rPr>
          <w:color w:val="000000" w:themeColor="text1"/>
          <w14:textFill>
            <w14:solidFill>
              <w14:schemeClr w14:val="tx1"/>
            </w14:solidFill>
          </w14:textFill>
        </w:rPr>
        <w:t>改路工程位置及工程量一览表</w:t>
      </w:r>
      <w:bookmarkEnd w:id="285"/>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56"/>
        <w:gridCol w:w="1207"/>
        <w:gridCol w:w="1514"/>
        <w:gridCol w:w="1517"/>
        <w:gridCol w:w="1240"/>
        <w:gridCol w:w="1236"/>
        <w:gridCol w:w="697"/>
        <w:gridCol w:w="1207"/>
      </w:tblGrid>
      <w:tr w14:paraId="6A0F8E4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2" w:type="pct"/>
            <w:vMerge w:val="restart"/>
            <w:vAlign w:val="center"/>
          </w:tcPr>
          <w:p w14:paraId="36249DC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65" w:type="pct"/>
            <w:vMerge w:val="restart"/>
            <w:vAlign w:val="center"/>
          </w:tcPr>
          <w:p w14:paraId="12CD79F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工程</w:t>
            </w:r>
          </w:p>
        </w:tc>
        <w:tc>
          <w:tcPr>
            <w:tcW w:w="834" w:type="pct"/>
            <w:vMerge w:val="restart"/>
            <w:vAlign w:val="center"/>
          </w:tcPr>
          <w:p w14:paraId="7650010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起讫</w:t>
            </w:r>
          </w:p>
          <w:p w14:paraId="77C15FA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桩号</w:t>
            </w:r>
          </w:p>
        </w:tc>
        <w:tc>
          <w:tcPr>
            <w:tcW w:w="836" w:type="pct"/>
            <w:vMerge w:val="restart"/>
            <w:vAlign w:val="center"/>
          </w:tcPr>
          <w:p w14:paraId="35C71E8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对应主线</w:t>
            </w:r>
          </w:p>
          <w:p w14:paraId="282C6BC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中心桩号</w:t>
            </w:r>
          </w:p>
        </w:tc>
        <w:tc>
          <w:tcPr>
            <w:tcW w:w="682" w:type="pct"/>
            <w:vMerge w:val="restart"/>
            <w:vAlign w:val="center"/>
          </w:tcPr>
          <w:p w14:paraId="59A6226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相对主</w:t>
            </w:r>
          </w:p>
          <w:p w14:paraId="3541D36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线位置</w:t>
            </w:r>
          </w:p>
        </w:tc>
        <w:tc>
          <w:tcPr>
            <w:tcW w:w="681" w:type="pct"/>
            <w:vMerge w:val="restart"/>
            <w:vAlign w:val="center"/>
          </w:tcPr>
          <w:p w14:paraId="7572864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改路</w:t>
            </w:r>
          </w:p>
          <w:p w14:paraId="4410825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长度m</w:t>
            </w:r>
          </w:p>
        </w:tc>
        <w:tc>
          <w:tcPr>
            <w:tcW w:w="384" w:type="pct"/>
            <w:vMerge w:val="restart"/>
            <w:vAlign w:val="center"/>
          </w:tcPr>
          <w:p w14:paraId="371F319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路面</w:t>
            </w:r>
          </w:p>
          <w:p w14:paraId="4B04241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宽度m</w:t>
            </w:r>
          </w:p>
        </w:tc>
        <w:tc>
          <w:tcPr>
            <w:tcW w:w="665" w:type="pct"/>
            <w:vMerge w:val="restart"/>
            <w:vAlign w:val="center"/>
          </w:tcPr>
          <w:p w14:paraId="4B0030B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6606A2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01" w:hRule="atLeast"/>
          <w:tblHeader/>
          <w:jc w:val="center"/>
        </w:trPr>
        <w:tc>
          <w:tcPr>
            <w:tcW w:w="252" w:type="pct"/>
            <w:vMerge w:val="continue"/>
            <w:vAlign w:val="center"/>
          </w:tcPr>
          <w:p w14:paraId="07C7B858">
            <w:pPr>
              <w:pStyle w:val="105"/>
              <w:jc w:val="center"/>
              <w:rPr>
                <w:color w:val="000000" w:themeColor="text1"/>
                <w14:textFill>
                  <w14:solidFill>
                    <w14:schemeClr w14:val="tx1"/>
                  </w14:solidFill>
                </w14:textFill>
              </w:rPr>
            </w:pPr>
          </w:p>
        </w:tc>
        <w:tc>
          <w:tcPr>
            <w:tcW w:w="665" w:type="pct"/>
            <w:vMerge w:val="continue"/>
            <w:vAlign w:val="center"/>
          </w:tcPr>
          <w:p w14:paraId="2DA5E4F5">
            <w:pPr>
              <w:pStyle w:val="105"/>
              <w:jc w:val="center"/>
              <w:rPr>
                <w:color w:val="000000" w:themeColor="text1"/>
                <w14:textFill>
                  <w14:solidFill>
                    <w14:schemeClr w14:val="tx1"/>
                  </w14:solidFill>
                </w14:textFill>
              </w:rPr>
            </w:pPr>
          </w:p>
        </w:tc>
        <w:tc>
          <w:tcPr>
            <w:tcW w:w="834" w:type="pct"/>
            <w:vMerge w:val="continue"/>
            <w:vAlign w:val="center"/>
          </w:tcPr>
          <w:p w14:paraId="1312D10B">
            <w:pPr>
              <w:pStyle w:val="105"/>
              <w:jc w:val="center"/>
              <w:rPr>
                <w:color w:val="000000" w:themeColor="text1"/>
                <w14:textFill>
                  <w14:solidFill>
                    <w14:schemeClr w14:val="tx1"/>
                  </w14:solidFill>
                </w14:textFill>
              </w:rPr>
            </w:pPr>
          </w:p>
        </w:tc>
        <w:tc>
          <w:tcPr>
            <w:tcW w:w="836" w:type="pct"/>
            <w:vMerge w:val="continue"/>
            <w:vAlign w:val="center"/>
          </w:tcPr>
          <w:p w14:paraId="0B857361">
            <w:pPr>
              <w:pStyle w:val="105"/>
              <w:jc w:val="center"/>
              <w:rPr>
                <w:color w:val="000000" w:themeColor="text1"/>
                <w14:textFill>
                  <w14:solidFill>
                    <w14:schemeClr w14:val="tx1"/>
                  </w14:solidFill>
                </w14:textFill>
              </w:rPr>
            </w:pPr>
          </w:p>
        </w:tc>
        <w:tc>
          <w:tcPr>
            <w:tcW w:w="682" w:type="pct"/>
            <w:vMerge w:val="continue"/>
            <w:vAlign w:val="center"/>
          </w:tcPr>
          <w:p w14:paraId="406D8D68">
            <w:pPr>
              <w:pStyle w:val="105"/>
              <w:jc w:val="center"/>
              <w:rPr>
                <w:color w:val="000000" w:themeColor="text1"/>
                <w14:textFill>
                  <w14:solidFill>
                    <w14:schemeClr w14:val="tx1"/>
                  </w14:solidFill>
                </w14:textFill>
              </w:rPr>
            </w:pPr>
          </w:p>
        </w:tc>
        <w:tc>
          <w:tcPr>
            <w:tcW w:w="681" w:type="pct"/>
            <w:vMerge w:val="continue"/>
            <w:vAlign w:val="center"/>
          </w:tcPr>
          <w:p w14:paraId="62C4FE4B">
            <w:pPr>
              <w:pStyle w:val="105"/>
              <w:jc w:val="center"/>
              <w:rPr>
                <w:color w:val="000000" w:themeColor="text1"/>
                <w14:textFill>
                  <w14:solidFill>
                    <w14:schemeClr w14:val="tx1"/>
                  </w14:solidFill>
                </w14:textFill>
              </w:rPr>
            </w:pPr>
          </w:p>
        </w:tc>
        <w:tc>
          <w:tcPr>
            <w:tcW w:w="384" w:type="pct"/>
            <w:vMerge w:val="continue"/>
            <w:vAlign w:val="center"/>
          </w:tcPr>
          <w:p w14:paraId="5D061F7D">
            <w:pPr>
              <w:pStyle w:val="105"/>
              <w:jc w:val="center"/>
              <w:rPr>
                <w:color w:val="000000" w:themeColor="text1"/>
                <w14:textFill>
                  <w14:solidFill>
                    <w14:schemeClr w14:val="tx1"/>
                  </w14:solidFill>
                </w14:textFill>
              </w:rPr>
            </w:pPr>
          </w:p>
        </w:tc>
        <w:tc>
          <w:tcPr>
            <w:tcW w:w="665" w:type="pct"/>
            <w:vMerge w:val="continue"/>
            <w:vAlign w:val="center"/>
          </w:tcPr>
          <w:p w14:paraId="7BEE7270">
            <w:pPr>
              <w:pStyle w:val="105"/>
              <w:jc w:val="center"/>
              <w:rPr>
                <w:color w:val="000000" w:themeColor="text1"/>
                <w14:textFill>
                  <w14:solidFill>
                    <w14:schemeClr w14:val="tx1"/>
                  </w14:solidFill>
                </w14:textFill>
              </w:rPr>
            </w:pPr>
          </w:p>
        </w:tc>
      </w:tr>
      <w:tr w14:paraId="497E47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2" w:type="pct"/>
            <w:vAlign w:val="center"/>
          </w:tcPr>
          <w:p w14:paraId="05C1B62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65" w:type="pct"/>
            <w:vAlign w:val="center"/>
          </w:tcPr>
          <w:p w14:paraId="7C2A9FA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G1改路</w:t>
            </w:r>
          </w:p>
        </w:tc>
        <w:tc>
          <w:tcPr>
            <w:tcW w:w="834" w:type="pct"/>
            <w:vAlign w:val="center"/>
          </w:tcPr>
          <w:p w14:paraId="2A1C0DBE">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G1K0+000 </w:t>
            </w:r>
            <w:r>
              <w:rPr>
                <w:rFonts w:hint="eastAsia" w:eastAsia="微软雅黑"/>
                <w:color w:val="000000" w:themeColor="text1"/>
                <w14:textFill>
                  <w14:solidFill>
                    <w14:schemeClr w14:val="tx1"/>
                  </w14:solidFill>
                </w14:textFill>
              </w:rPr>
              <w:t>~</w:t>
            </w:r>
            <w:r>
              <w:rPr>
                <w:rFonts w:cs="Times New Roman"/>
                <w:color w:val="000000" w:themeColor="text1"/>
                <w14:textFill>
                  <w14:solidFill>
                    <w14:schemeClr w14:val="tx1"/>
                  </w14:solidFill>
                </w14:textFill>
              </w:rPr>
              <w:t>G1K0+247</w:t>
            </w:r>
          </w:p>
        </w:tc>
        <w:tc>
          <w:tcPr>
            <w:tcW w:w="836" w:type="pct"/>
            <w:vAlign w:val="center"/>
          </w:tcPr>
          <w:p w14:paraId="12A92D6C">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K0+500</w:t>
            </w:r>
          </w:p>
        </w:tc>
        <w:tc>
          <w:tcPr>
            <w:tcW w:w="682" w:type="pct"/>
            <w:vAlign w:val="center"/>
          </w:tcPr>
          <w:p w14:paraId="07FD6AE0">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右侧</w:t>
            </w:r>
          </w:p>
        </w:tc>
        <w:tc>
          <w:tcPr>
            <w:tcW w:w="681" w:type="pct"/>
            <w:vAlign w:val="center"/>
          </w:tcPr>
          <w:p w14:paraId="7294BA27">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247</w:t>
            </w:r>
          </w:p>
        </w:tc>
        <w:tc>
          <w:tcPr>
            <w:tcW w:w="384" w:type="pct"/>
            <w:vAlign w:val="center"/>
          </w:tcPr>
          <w:p w14:paraId="30D99F0F">
            <w:pPr>
              <w:pStyle w:val="105"/>
              <w:jc w:val="center"/>
              <w:rPr>
                <w:color w:val="000000" w:themeColor="text1"/>
                <w14:textFill>
                  <w14:solidFill>
                    <w14:schemeClr w14:val="tx1"/>
                  </w14:solidFill>
                </w14:textFill>
              </w:rPr>
            </w:pPr>
          </w:p>
        </w:tc>
        <w:tc>
          <w:tcPr>
            <w:tcW w:w="665" w:type="pct"/>
            <w:vAlign w:val="center"/>
          </w:tcPr>
          <w:p w14:paraId="34D07D29">
            <w:pPr>
              <w:pStyle w:val="105"/>
              <w:jc w:val="center"/>
              <w:rPr>
                <w:color w:val="000000" w:themeColor="text1"/>
                <w14:textFill>
                  <w14:solidFill>
                    <w14:schemeClr w14:val="tx1"/>
                  </w14:solidFill>
                </w14:textFill>
              </w:rPr>
            </w:pPr>
          </w:p>
        </w:tc>
      </w:tr>
      <w:tr w14:paraId="2490D5D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2" w:type="pct"/>
            <w:vAlign w:val="center"/>
          </w:tcPr>
          <w:p w14:paraId="1F4F89B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65" w:type="pct"/>
            <w:vAlign w:val="center"/>
          </w:tcPr>
          <w:p w14:paraId="49B216F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改路</w:t>
            </w:r>
          </w:p>
        </w:tc>
        <w:tc>
          <w:tcPr>
            <w:tcW w:w="834" w:type="pct"/>
            <w:vAlign w:val="center"/>
          </w:tcPr>
          <w:p w14:paraId="0D52A7AA">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G2K0+000 </w:t>
            </w:r>
            <w:r>
              <w:rPr>
                <w:rFonts w:hint="eastAsia" w:eastAsia="微软雅黑"/>
                <w:color w:val="000000" w:themeColor="text1"/>
                <w14:textFill>
                  <w14:solidFill>
                    <w14:schemeClr w14:val="tx1"/>
                  </w14:solidFill>
                </w14:textFill>
              </w:rPr>
              <w:t>~</w:t>
            </w:r>
            <w:r>
              <w:rPr>
                <w:rFonts w:cs="Times New Roman"/>
                <w:color w:val="000000" w:themeColor="text1"/>
                <w14:textFill>
                  <w14:solidFill>
                    <w14:schemeClr w14:val="tx1"/>
                  </w14:solidFill>
                </w14:textFill>
              </w:rPr>
              <w:t>G2K0+078</w:t>
            </w:r>
          </w:p>
        </w:tc>
        <w:tc>
          <w:tcPr>
            <w:tcW w:w="836" w:type="pct"/>
            <w:vAlign w:val="center"/>
          </w:tcPr>
          <w:p w14:paraId="55610DA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K0+782</w:t>
            </w:r>
          </w:p>
        </w:tc>
        <w:tc>
          <w:tcPr>
            <w:tcW w:w="682" w:type="pct"/>
            <w:vAlign w:val="center"/>
          </w:tcPr>
          <w:p w14:paraId="1EE36EA1">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下穿</w:t>
            </w:r>
          </w:p>
        </w:tc>
        <w:tc>
          <w:tcPr>
            <w:tcW w:w="681" w:type="pct"/>
            <w:vAlign w:val="center"/>
          </w:tcPr>
          <w:p w14:paraId="4A796796">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78</w:t>
            </w:r>
          </w:p>
        </w:tc>
        <w:tc>
          <w:tcPr>
            <w:tcW w:w="384" w:type="pct"/>
            <w:vAlign w:val="center"/>
          </w:tcPr>
          <w:p w14:paraId="4E42E3F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4.5</w:t>
            </w:r>
          </w:p>
        </w:tc>
        <w:tc>
          <w:tcPr>
            <w:tcW w:w="665" w:type="pct"/>
            <w:vAlign w:val="center"/>
          </w:tcPr>
          <w:p w14:paraId="0161026F">
            <w:pPr>
              <w:pStyle w:val="105"/>
              <w:jc w:val="center"/>
              <w:rPr>
                <w:rFonts w:hAnsi="宋体"/>
                <w:color w:val="000000" w:themeColor="text1"/>
                <w:szCs w:val="24"/>
                <w14:textFill>
                  <w14:solidFill>
                    <w14:schemeClr w14:val="tx1"/>
                  </w14:solidFill>
                </w14:textFill>
              </w:rPr>
            </w:pPr>
          </w:p>
        </w:tc>
      </w:tr>
      <w:tr w14:paraId="547348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2" w:type="pct"/>
            <w:vAlign w:val="center"/>
          </w:tcPr>
          <w:p w14:paraId="45CCBC3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65" w:type="pct"/>
            <w:vAlign w:val="center"/>
          </w:tcPr>
          <w:p w14:paraId="627506F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改路</w:t>
            </w:r>
          </w:p>
        </w:tc>
        <w:tc>
          <w:tcPr>
            <w:tcW w:w="834" w:type="pct"/>
            <w:vAlign w:val="center"/>
          </w:tcPr>
          <w:p w14:paraId="2C526F7B">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G3K0+000 </w:t>
            </w:r>
            <w:r>
              <w:rPr>
                <w:rFonts w:hint="eastAsia" w:eastAsia="微软雅黑"/>
                <w:color w:val="000000" w:themeColor="text1"/>
                <w14:textFill>
                  <w14:solidFill>
                    <w14:schemeClr w14:val="tx1"/>
                  </w14:solidFill>
                </w14:textFill>
              </w:rPr>
              <w:t>~</w:t>
            </w:r>
            <w:r>
              <w:rPr>
                <w:rFonts w:cs="Times New Roman"/>
                <w:color w:val="000000" w:themeColor="text1"/>
                <w14:textFill>
                  <w14:solidFill>
                    <w14:schemeClr w14:val="tx1"/>
                  </w14:solidFill>
                </w14:textFill>
              </w:rPr>
              <w:t>G3K0+062</w:t>
            </w:r>
          </w:p>
        </w:tc>
        <w:tc>
          <w:tcPr>
            <w:tcW w:w="836" w:type="pct"/>
            <w:vAlign w:val="center"/>
          </w:tcPr>
          <w:p w14:paraId="08A91B66">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K0+077</w:t>
            </w:r>
          </w:p>
        </w:tc>
        <w:tc>
          <w:tcPr>
            <w:tcW w:w="682" w:type="pct"/>
            <w:vAlign w:val="center"/>
          </w:tcPr>
          <w:p w14:paraId="0A77B1CB">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左侧</w:t>
            </w:r>
          </w:p>
        </w:tc>
        <w:tc>
          <w:tcPr>
            <w:tcW w:w="681" w:type="pct"/>
            <w:vAlign w:val="center"/>
          </w:tcPr>
          <w:p w14:paraId="44B0A947">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62</w:t>
            </w:r>
          </w:p>
        </w:tc>
        <w:tc>
          <w:tcPr>
            <w:tcW w:w="384" w:type="pct"/>
            <w:vAlign w:val="center"/>
          </w:tcPr>
          <w:p w14:paraId="5A89A1F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4.5</w:t>
            </w:r>
          </w:p>
        </w:tc>
        <w:tc>
          <w:tcPr>
            <w:tcW w:w="665" w:type="pct"/>
            <w:vAlign w:val="center"/>
          </w:tcPr>
          <w:p w14:paraId="030F44D6">
            <w:pPr>
              <w:pStyle w:val="105"/>
              <w:jc w:val="center"/>
              <w:rPr>
                <w:rFonts w:hAnsi="宋体"/>
                <w:color w:val="000000" w:themeColor="text1"/>
                <w:szCs w:val="24"/>
                <w14:textFill>
                  <w14:solidFill>
                    <w14:schemeClr w14:val="tx1"/>
                  </w14:solidFill>
                </w14:textFill>
              </w:rPr>
            </w:pPr>
          </w:p>
        </w:tc>
      </w:tr>
      <w:tr w14:paraId="284C6D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2" w:type="pct"/>
            <w:vAlign w:val="center"/>
          </w:tcPr>
          <w:p w14:paraId="71C3257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665" w:type="pct"/>
            <w:vAlign w:val="center"/>
          </w:tcPr>
          <w:p w14:paraId="6D03509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改路</w:t>
            </w:r>
          </w:p>
        </w:tc>
        <w:tc>
          <w:tcPr>
            <w:tcW w:w="834" w:type="pct"/>
            <w:vAlign w:val="center"/>
          </w:tcPr>
          <w:p w14:paraId="3AC20974">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G4K0+000 </w:t>
            </w:r>
            <w:r>
              <w:rPr>
                <w:rFonts w:hint="eastAsia" w:eastAsia="微软雅黑"/>
                <w:color w:val="000000" w:themeColor="text1"/>
                <w14:textFill>
                  <w14:solidFill>
                    <w14:schemeClr w14:val="tx1"/>
                  </w14:solidFill>
                </w14:textFill>
              </w:rPr>
              <w:t>~</w:t>
            </w:r>
            <w:r>
              <w:rPr>
                <w:rFonts w:cs="Times New Roman"/>
                <w:color w:val="000000" w:themeColor="text1"/>
                <w14:textFill>
                  <w14:solidFill>
                    <w14:schemeClr w14:val="tx1"/>
                  </w14:solidFill>
                </w14:textFill>
              </w:rPr>
              <w:t>G4K0+083</w:t>
            </w:r>
          </w:p>
        </w:tc>
        <w:tc>
          <w:tcPr>
            <w:tcW w:w="836" w:type="pct"/>
            <w:vAlign w:val="center"/>
          </w:tcPr>
          <w:p w14:paraId="779153C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K0+000</w:t>
            </w:r>
          </w:p>
        </w:tc>
        <w:tc>
          <w:tcPr>
            <w:tcW w:w="682" w:type="pct"/>
            <w:vAlign w:val="center"/>
          </w:tcPr>
          <w:p w14:paraId="56BDBB7A">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右侧</w:t>
            </w:r>
          </w:p>
        </w:tc>
        <w:tc>
          <w:tcPr>
            <w:tcW w:w="681" w:type="pct"/>
            <w:vAlign w:val="center"/>
          </w:tcPr>
          <w:p w14:paraId="229FA695">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105</w:t>
            </w:r>
          </w:p>
        </w:tc>
        <w:tc>
          <w:tcPr>
            <w:tcW w:w="384" w:type="pct"/>
            <w:vAlign w:val="center"/>
          </w:tcPr>
          <w:p w14:paraId="3206B24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4.5</w:t>
            </w:r>
          </w:p>
        </w:tc>
        <w:tc>
          <w:tcPr>
            <w:tcW w:w="665" w:type="pct"/>
            <w:vAlign w:val="center"/>
          </w:tcPr>
          <w:p w14:paraId="55E65F69">
            <w:pPr>
              <w:pStyle w:val="105"/>
              <w:jc w:val="center"/>
              <w:rPr>
                <w:rFonts w:hAnsi="宋体"/>
                <w:color w:val="000000" w:themeColor="text1"/>
                <w:szCs w:val="24"/>
                <w14:textFill>
                  <w14:solidFill>
                    <w14:schemeClr w14:val="tx1"/>
                  </w14:solidFill>
                </w14:textFill>
              </w:rPr>
            </w:pPr>
          </w:p>
        </w:tc>
      </w:tr>
      <w:tr w14:paraId="3C173D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2" w:type="pct"/>
            <w:vAlign w:val="center"/>
          </w:tcPr>
          <w:p w14:paraId="0DBE9E8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665" w:type="pct"/>
            <w:vAlign w:val="center"/>
          </w:tcPr>
          <w:p w14:paraId="305C0BE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G</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改路</w:t>
            </w:r>
          </w:p>
        </w:tc>
        <w:tc>
          <w:tcPr>
            <w:tcW w:w="834" w:type="pct"/>
            <w:vAlign w:val="center"/>
          </w:tcPr>
          <w:p w14:paraId="23D1DCC0">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G5K0+000 </w:t>
            </w:r>
            <w:r>
              <w:rPr>
                <w:rFonts w:hint="eastAsia" w:eastAsia="微软雅黑"/>
                <w:color w:val="000000" w:themeColor="text1"/>
                <w14:textFill>
                  <w14:solidFill>
                    <w14:schemeClr w14:val="tx1"/>
                  </w14:solidFill>
                </w14:textFill>
              </w:rPr>
              <w:t>~</w:t>
            </w:r>
            <w:r>
              <w:rPr>
                <w:rFonts w:cs="Times New Roman"/>
                <w:color w:val="000000" w:themeColor="text1"/>
                <w14:textFill>
                  <w14:solidFill>
                    <w14:schemeClr w14:val="tx1"/>
                  </w14:solidFill>
                </w14:textFill>
              </w:rPr>
              <w:t>G5K0+045</w:t>
            </w:r>
          </w:p>
        </w:tc>
        <w:tc>
          <w:tcPr>
            <w:tcW w:w="836" w:type="pct"/>
            <w:vAlign w:val="center"/>
          </w:tcPr>
          <w:p w14:paraId="51EB6D60">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K0+000</w:t>
            </w:r>
          </w:p>
        </w:tc>
        <w:tc>
          <w:tcPr>
            <w:tcW w:w="682" w:type="pct"/>
            <w:vAlign w:val="center"/>
          </w:tcPr>
          <w:p w14:paraId="30C27778">
            <w:pPr>
              <w:pStyle w:val="105"/>
              <w:jc w:val="center"/>
              <w:rPr>
                <w:rFonts w:hAnsi="宋体"/>
                <w:color w:val="000000" w:themeColor="text1"/>
                <w:szCs w:val="24"/>
                <w14:textFill>
                  <w14:solidFill>
                    <w14:schemeClr w14:val="tx1"/>
                  </w14:solidFill>
                </w14:textFill>
              </w:rPr>
            </w:pPr>
            <w:r>
              <w:rPr>
                <w:rFonts w:cs="Times New Roman"/>
                <w:color w:val="000000" w:themeColor="text1"/>
                <w14:textFill>
                  <w14:solidFill>
                    <w14:schemeClr w14:val="tx1"/>
                  </w14:solidFill>
                </w14:textFill>
              </w:rPr>
              <w:t>左侧</w:t>
            </w:r>
          </w:p>
        </w:tc>
        <w:tc>
          <w:tcPr>
            <w:tcW w:w="681" w:type="pct"/>
            <w:vAlign w:val="center"/>
          </w:tcPr>
          <w:p w14:paraId="59E7D81C">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87</w:t>
            </w:r>
          </w:p>
        </w:tc>
        <w:tc>
          <w:tcPr>
            <w:tcW w:w="384" w:type="pct"/>
            <w:vAlign w:val="center"/>
          </w:tcPr>
          <w:p w14:paraId="142E689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4.5</w:t>
            </w:r>
          </w:p>
        </w:tc>
        <w:tc>
          <w:tcPr>
            <w:tcW w:w="665" w:type="pct"/>
            <w:vAlign w:val="center"/>
          </w:tcPr>
          <w:p w14:paraId="620987EA">
            <w:pPr>
              <w:pStyle w:val="105"/>
              <w:jc w:val="center"/>
              <w:rPr>
                <w:color w:val="000000" w:themeColor="text1"/>
                <w14:textFill>
                  <w14:solidFill>
                    <w14:schemeClr w14:val="tx1"/>
                  </w14:solidFill>
                </w14:textFill>
              </w:rPr>
            </w:pPr>
          </w:p>
        </w:tc>
      </w:tr>
      <w:tr w14:paraId="0A322E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3270" w:type="pct"/>
            <w:gridSpan w:val="5"/>
            <w:vAlign w:val="center"/>
          </w:tcPr>
          <w:p w14:paraId="6202CAE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681" w:type="pct"/>
            <w:vAlign w:val="center"/>
          </w:tcPr>
          <w:p w14:paraId="454EF93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579</w:t>
            </w:r>
          </w:p>
        </w:tc>
        <w:tc>
          <w:tcPr>
            <w:tcW w:w="384" w:type="pct"/>
            <w:vAlign w:val="center"/>
          </w:tcPr>
          <w:p w14:paraId="23391333">
            <w:pPr>
              <w:pStyle w:val="105"/>
              <w:jc w:val="center"/>
              <w:rPr>
                <w:color w:val="000000" w:themeColor="text1"/>
                <w14:textFill>
                  <w14:solidFill>
                    <w14:schemeClr w14:val="tx1"/>
                  </w14:solidFill>
                </w14:textFill>
              </w:rPr>
            </w:pPr>
          </w:p>
        </w:tc>
        <w:tc>
          <w:tcPr>
            <w:tcW w:w="665" w:type="pct"/>
            <w:vAlign w:val="center"/>
          </w:tcPr>
          <w:p w14:paraId="493D6C77">
            <w:pPr>
              <w:pStyle w:val="105"/>
              <w:jc w:val="center"/>
              <w:rPr>
                <w:color w:val="000000" w:themeColor="text1"/>
                <w14:textFill>
                  <w14:solidFill>
                    <w14:schemeClr w14:val="tx1"/>
                  </w14:solidFill>
                </w14:textFill>
              </w:rPr>
            </w:pPr>
          </w:p>
        </w:tc>
      </w:tr>
    </w:tbl>
    <w:p w14:paraId="39015DD7">
      <w:pPr>
        <w:pStyle w:val="120"/>
        <w:rPr>
          <w:color w:val="000000" w:themeColor="text1"/>
          <w14:textFill>
            <w14:solidFill>
              <w14:schemeClr w14:val="tx1"/>
            </w14:solidFill>
          </w14:textFill>
        </w:rPr>
      </w:pPr>
      <w:bookmarkStart w:id="286" w:name="2.3项目交通量预测"/>
      <w:bookmarkEnd w:id="286"/>
      <w:r>
        <w:rPr>
          <w:rFonts w:hint="eastAsia"/>
          <w:color w:val="000000" w:themeColor="text1"/>
          <w14:textFill>
            <w14:solidFill>
              <w14:schemeClr w14:val="tx1"/>
            </w14:solidFill>
          </w14:textFill>
        </w:rPr>
        <w:t>改河、改渠</w:t>
      </w:r>
      <w:r>
        <w:rPr>
          <w:color w:val="000000" w:themeColor="text1"/>
          <w14:textFill>
            <w14:solidFill>
              <w14:schemeClr w14:val="tx1"/>
            </w14:solidFill>
          </w14:textFill>
        </w:rPr>
        <w:t>工程</w:t>
      </w:r>
    </w:p>
    <w:p w14:paraId="6FDC82B2">
      <w:pPr>
        <w:pStyle w:val="118"/>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改河工程</w:t>
      </w:r>
    </w:p>
    <w:p w14:paraId="7ECEE9FC">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本公路工程占用了部分原河道位置，考虑为了满足防洪排涝的要求，在大埔大桥桥下及涵洞进出口位置进行河段改造，减少新建桥桥墩及公路对河道的阻水影响。本项目改河工程有5处，共484.5</w:t>
      </w:r>
      <w:r>
        <w:rPr>
          <w:rFonts w:hint="eastAsia"/>
          <w:color w:val="000000" w:themeColor="text1"/>
          <w:lang w:val="zh-CN"/>
          <w14:textFill>
            <w14:solidFill>
              <w14:schemeClr w14:val="tx1"/>
            </w14:solidFill>
          </w14:textFill>
        </w:rPr>
        <w:t>m</w:t>
      </w:r>
      <w:r>
        <w:rPr>
          <w:color w:val="000000" w:themeColor="text1"/>
          <w:lang w:val="zh-CN"/>
          <w14:textFill>
            <w14:solidFill>
              <w14:schemeClr w14:val="tx1"/>
            </w14:solidFill>
          </w14:textFill>
        </w:rPr>
        <w:t>（含两岸护岸墙）。</w:t>
      </w:r>
    </w:p>
    <w:p w14:paraId="657EFADE">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岸线布置</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本次改河工程岸线总体上根据现状岸线及大埔大桥桥墩调整，调整后岸线走向与设计线位涵洞进出口及天然河道衔接。</w:t>
      </w:r>
    </w:p>
    <w:p w14:paraId="2A3FD0A9">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护岸形式</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改河断面采用岸挡墙结构，并在进出口段或迎水面设</w:t>
      </w:r>
      <w:r>
        <w:rPr>
          <w:rFonts w:hint="eastAsia"/>
          <w:color w:val="000000" w:themeColor="text1"/>
          <w14:textFill>
            <w14:solidFill>
              <w14:schemeClr w14:val="tx1"/>
            </w14:solidFill>
          </w14:textFill>
        </w:rPr>
        <w:t>护岸</w:t>
      </w:r>
      <w:r>
        <w:rPr>
          <w:color w:val="000000" w:themeColor="text1"/>
          <w:lang w:val="zh-CN"/>
          <w14:textFill>
            <w14:solidFill>
              <w14:schemeClr w14:val="tx1"/>
            </w14:solidFill>
          </w14:textFill>
        </w:rPr>
        <w:t>，防止基底冲刷。</w:t>
      </w:r>
    </w:p>
    <w:p w14:paraId="45B7C3C0">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施工防护：</w:t>
      </w:r>
      <w:r>
        <w:rPr>
          <w:color w:val="000000" w:themeColor="text1"/>
          <w:lang w:val="zh-CN"/>
          <w14:textFill>
            <w14:solidFill>
              <w14:schemeClr w14:val="tx1"/>
            </w14:solidFill>
          </w14:textFill>
        </w:rPr>
        <w:t>施工时</w:t>
      </w:r>
      <w:r>
        <w:rPr>
          <w:rFonts w:hint="eastAsia"/>
          <w:color w:val="000000" w:themeColor="text1"/>
          <w:lang w:val="zh-CN"/>
          <w14:textFill>
            <w14:solidFill>
              <w14:schemeClr w14:val="tx1"/>
            </w14:solidFill>
          </w14:textFill>
        </w:rPr>
        <w:t>安排</w:t>
      </w:r>
      <w:r>
        <w:rPr>
          <w:color w:val="000000" w:themeColor="text1"/>
          <w:lang w:val="zh-CN"/>
          <w14:textFill>
            <w14:solidFill>
              <w14:schemeClr w14:val="tx1"/>
            </w14:solidFill>
          </w14:textFill>
        </w:rPr>
        <w:t>枯水期进行施工。采用纵向式围堰，基坑水泵抽排的方式导流。施工围堰采用草袋围堰方案，左右岸分段分期实施。堰顶高程为束窄后河床过流水位+0.5m安全超高。</w:t>
      </w:r>
    </w:p>
    <w:p w14:paraId="6C92C34C">
      <w:pPr>
        <w:ind w:firstLine="480"/>
        <w:rPr>
          <w:color w:val="000000" w:themeColor="text1"/>
          <w:lang w:val="zh-CN"/>
          <w14:textFill>
            <w14:solidFill>
              <w14:schemeClr w14:val="tx1"/>
            </w14:solidFill>
          </w14:textFill>
        </w:rPr>
      </w:pPr>
    </w:p>
    <w:p w14:paraId="1CB25F1D">
      <w:pPr>
        <w:ind w:firstLine="480"/>
        <w:rPr>
          <w:color w:val="000000" w:themeColor="text1"/>
          <w:lang w:val="zh-CN"/>
          <w14:textFill>
            <w14:solidFill>
              <w14:schemeClr w14:val="tx1"/>
            </w14:solidFill>
          </w14:textFill>
        </w:rPr>
      </w:pPr>
    </w:p>
    <w:p w14:paraId="0494660B">
      <w:pPr>
        <w:ind w:firstLine="480"/>
        <w:rPr>
          <w:color w:val="000000" w:themeColor="text1"/>
          <w:lang w:val="zh-CN"/>
          <w14:textFill>
            <w14:solidFill>
              <w14:schemeClr w14:val="tx1"/>
            </w14:solidFill>
          </w14:textFill>
        </w:rPr>
      </w:pPr>
    </w:p>
    <w:p w14:paraId="16974EF0">
      <w:pPr>
        <w:ind w:firstLine="480"/>
        <w:rPr>
          <w:color w:val="000000" w:themeColor="text1"/>
          <w:lang w:val="zh-CN"/>
          <w14:textFill>
            <w14:solidFill>
              <w14:schemeClr w14:val="tx1"/>
            </w14:solidFill>
          </w14:textFill>
        </w:rPr>
      </w:pPr>
    </w:p>
    <w:p w14:paraId="120BC3A2">
      <w:pPr>
        <w:pStyle w:val="87"/>
        <w:spacing w:before="120"/>
        <w:rPr>
          <w:color w:val="000000" w:themeColor="text1"/>
          <w:lang w:val="zh-CN"/>
          <w14:textFill>
            <w14:solidFill>
              <w14:schemeClr w14:val="tx1"/>
            </w14:solidFill>
          </w14:textFill>
        </w:rPr>
      </w:pPr>
      <w:r>
        <w:rPr>
          <w:rFonts w:hint="eastAsia"/>
          <w:snapToGrid w:val="0"/>
          <w:color w:val="000000" w:themeColor="text1"/>
          <w14:textFill>
            <w14:solidFill>
              <w14:schemeClr w14:val="tx1"/>
            </w14:solidFill>
          </w14:textFill>
        </w:rPr>
        <w:t>改河工程一览表</w:t>
      </w:r>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1832"/>
        <w:gridCol w:w="1042"/>
        <w:gridCol w:w="1741"/>
        <w:gridCol w:w="1163"/>
        <w:gridCol w:w="725"/>
        <w:gridCol w:w="2179"/>
      </w:tblGrid>
      <w:tr w14:paraId="529CF5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Align w:val="center"/>
          </w:tcPr>
          <w:p w14:paraId="48647C25">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序号</w:t>
            </w:r>
          </w:p>
        </w:tc>
        <w:tc>
          <w:tcPr>
            <w:tcW w:w="986" w:type="pct"/>
            <w:vAlign w:val="center"/>
          </w:tcPr>
          <w:p w14:paraId="0D2294AA">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起讫桩号</w:t>
            </w:r>
          </w:p>
        </w:tc>
        <w:tc>
          <w:tcPr>
            <w:tcW w:w="561" w:type="pct"/>
            <w:vAlign w:val="center"/>
          </w:tcPr>
          <w:p w14:paraId="145B7850">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改河位置</w:t>
            </w:r>
          </w:p>
        </w:tc>
        <w:tc>
          <w:tcPr>
            <w:tcW w:w="937" w:type="pct"/>
            <w:vAlign w:val="center"/>
          </w:tcPr>
          <w:p w14:paraId="07FA91D0">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尺寸及说明</w:t>
            </w:r>
          </w:p>
        </w:tc>
        <w:tc>
          <w:tcPr>
            <w:tcW w:w="626" w:type="pct"/>
            <w:vAlign w:val="center"/>
          </w:tcPr>
          <w:p w14:paraId="66EDE2BB">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截面形式</w:t>
            </w:r>
          </w:p>
        </w:tc>
        <w:tc>
          <w:tcPr>
            <w:tcW w:w="390" w:type="pct"/>
            <w:vAlign w:val="center"/>
          </w:tcPr>
          <w:p w14:paraId="1BB467C6">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长度（m）</w:t>
            </w:r>
          </w:p>
        </w:tc>
        <w:tc>
          <w:tcPr>
            <w:tcW w:w="1173" w:type="pct"/>
            <w:vAlign w:val="center"/>
          </w:tcPr>
          <w:p w14:paraId="08A3394C">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备注</w:t>
            </w:r>
          </w:p>
        </w:tc>
      </w:tr>
      <w:tr w14:paraId="73D42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Merge w:val="restart"/>
            <w:vAlign w:val="center"/>
          </w:tcPr>
          <w:p w14:paraId="2731F2B1">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1</w:t>
            </w:r>
          </w:p>
        </w:tc>
        <w:tc>
          <w:tcPr>
            <w:tcW w:w="986" w:type="pct"/>
            <w:vAlign w:val="center"/>
          </w:tcPr>
          <w:p w14:paraId="5680627C">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K1+440~K1+580</w:t>
            </w:r>
          </w:p>
        </w:tc>
        <w:tc>
          <w:tcPr>
            <w:tcW w:w="561" w:type="pct"/>
            <w:vAlign w:val="center"/>
          </w:tcPr>
          <w:p w14:paraId="2B01A6CA">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主线左侧</w:t>
            </w:r>
          </w:p>
        </w:tc>
        <w:tc>
          <w:tcPr>
            <w:tcW w:w="937" w:type="pct"/>
            <w:vAlign w:val="center"/>
          </w:tcPr>
          <w:p w14:paraId="048E9618">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底宽</w:t>
            </w:r>
            <w:r>
              <w:rPr>
                <w:snapToGrid w:val="0"/>
                <w:color w:val="000000" w:themeColor="text1"/>
                <w:sz w:val="18"/>
                <w:szCs w:val="22"/>
                <w14:textFill>
                  <w14:solidFill>
                    <w14:schemeClr w14:val="tx1"/>
                  </w14:solidFill>
                </w14:textFill>
              </w:rPr>
              <w:t>35m</w:t>
            </w:r>
            <w:r>
              <w:rPr>
                <w:rFonts w:hint="eastAsia"/>
                <w:snapToGrid w:val="0"/>
                <w:color w:val="000000" w:themeColor="text1"/>
                <w:sz w:val="18"/>
                <w:szCs w:val="22"/>
                <w14:textFill>
                  <w14:solidFill>
                    <w14:schemeClr w14:val="tx1"/>
                  </w14:solidFill>
                </w14:textFill>
              </w:rPr>
              <w:t>，高</w:t>
            </w:r>
            <w:r>
              <w:rPr>
                <w:snapToGrid w:val="0"/>
                <w:color w:val="000000" w:themeColor="text1"/>
                <w:sz w:val="18"/>
                <w:szCs w:val="22"/>
                <w14:textFill>
                  <w14:solidFill>
                    <w14:schemeClr w14:val="tx1"/>
                  </w14:solidFill>
                </w14:textFill>
              </w:rPr>
              <w:t>4m</w:t>
            </w:r>
          </w:p>
        </w:tc>
        <w:tc>
          <w:tcPr>
            <w:tcW w:w="626" w:type="pct"/>
            <w:vAlign w:val="center"/>
          </w:tcPr>
          <w:p w14:paraId="0F225A7F">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A</w:t>
            </w:r>
            <w:r>
              <w:rPr>
                <w:rFonts w:hint="eastAsia"/>
                <w:snapToGrid w:val="0"/>
                <w:color w:val="000000" w:themeColor="text1"/>
                <w:sz w:val="18"/>
                <w:szCs w:val="22"/>
                <w14:textFill>
                  <w14:solidFill>
                    <w14:schemeClr w14:val="tx1"/>
                  </w14:solidFill>
                </w14:textFill>
              </w:rPr>
              <w:t>型改渠</w:t>
            </w:r>
          </w:p>
        </w:tc>
        <w:tc>
          <w:tcPr>
            <w:tcW w:w="390" w:type="pct"/>
            <w:vAlign w:val="center"/>
          </w:tcPr>
          <w:p w14:paraId="0E436D6A">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140. 0</w:t>
            </w:r>
          </w:p>
        </w:tc>
        <w:tc>
          <w:tcPr>
            <w:tcW w:w="1173" w:type="pct"/>
            <w:vAlign w:val="center"/>
          </w:tcPr>
          <w:p w14:paraId="13CF82EE">
            <w:pPr>
              <w:pStyle w:val="105"/>
              <w:jc w:val="center"/>
              <w:rPr>
                <w:snapToGrid w:val="0"/>
                <w:color w:val="000000" w:themeColor="text1"/>
                <w:sz w:val="18"/>
                <w:szCs w:val="22"/>
                <w14:textFill>
                  <w14:solidFill>
                    <w14:schemeClr w14:val="tx1"/>
                  </w14:solidFill>
                </w14:textFill>
              </w:rPr>
            </w:pPr>
          </w:p>
        </w:tc>
      </w:tr>
      <w:tr w14:paraId="1AEF88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Merge w:val="continue"/>
            <w:vAlign w:val="center"/>
          </w:tcPr>
          <w:p w14:paraId="03F958BF">
            <w:pPr>
              <w:pStyle w:val="105"/>
              <w:jc w:val="center"/>
              <w:rPr>
                <w:snapToGrid w:val="0"/>
                <w:color w:val="000000" w:themeColor="text1"/>
                <w:sz w:val="18"/>
                <w:szCs w:val="22"/>
                <w14:textFill>
                  <w14:solidFill>
                    <w14:schemeClr w14:val="tx1"/>
                  </w14:solidFill>
                </w14:textFill>
              </w:rPr>
            </w:pPr>
          </w:p>
        </w:tc>
        <w:tc>
          <w:tcPr>
            <w:tcW w:w="986" w:type="pct"/>
            <w:vAlign w:val="center"/>
          </w:tcPr>
          <w:p w14:paraId="099A4034">
            <w:pPr>
              <w:pStyle w:val="105"/>
              <w:jc w:val="center"/>
              <w:rPr>
                <w:snapToGrid w:val="0"/>
                <w:color w:val="000000" w:themeColor="text1"/>
                <w:sz w:val="18"/>
                <w:szCs w:val="22"/>
                <w14:textFill>
                  <w14:solidFill>
                    <w14:schemeClr w14:val="tx1"/>
                  </w14:solidFill>
                </w14:textFill>
              </w:rPr>
            </w:pPr>
          </w:p>
        </w:tc>
        <w:tc>
          <w:tcPr>
            <w:tcW w:w="561" w:type="pct"/>
            <w:vAlign w:val="center"/>
          </w:tcPr>
          <w:p w14:paraId="75B19B40">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主线左侧</w:t>
            </w:r>
          </w:p>
        </w:tc>
        <w:tc>
          <w:tcPr>
            <w:tcW w:w="937" w:type="pct"/>
            <w:vAlign w:val="center"/>
          </w:tcPr>
          <w:p w14:paraId="0A3A8C9D">
            <w:pPr>
              <w:pStyle w:val="105"/>
              <w:jc w:val="center"/>
              <w:rPr>
                <w:snapToGrid w:val="0"/>
                <w:color w:val="000000" w:themeColor="text1"/>
                <w:sz w:val="18"/>
                <w:szCs w:val="22"/>
                <w14:textFill>
                  <w14:solidFill>
                    <w14:schemeClr w14:val="tx1"/>
                  </w14:solidFill>
                </w14:textFill>
              </w:rPr>
            </w:pPr>
          </w:p>
        </w:tc>
        <w:tc>
          <w:tcPr>
            <w:tcW w:w="626" w:type="pct"/>
            <w:vAlign w:val="center"/>
          </w:tcPr>
          <w:p w14:paraId="1AAE1B91">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F</w:t>
            </w:r>
            <w:r>
              <w:rPr>
                <w:rFonts w:hint="eastAsia"/>
                <w:snapToGrid w:val="0"/>
                <w:color w:val="000000" w:themeColor="text1"/>
                <w:sz w:val="18"/>
                <w:szCs w:val="22"/>
                <w14:textFill>
                  <w14:solidFill>
                    <w14:schemeClr w14:val="tx1"/>
                  </w14:solidFill>
                </w14:textFill>
              </w:rPr>
              <w:t>型</w:t>
            </w:r>
          </w:p>
        </w:tc>
        <w:tc>
          <w:tcPr>
            <w:tcW w:w="390" w:type="pct"/>
            <w:vAlign w:val="center"/>
          </w:tcPr>
          <w:p w14:paraId="1294EEB0">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32. 0</w:t>
            </w:r>
          </w:p>
        </w:tc>
        <w:tc>
          <w:tcPr>
            <w:tcW w:w="1173" w:type="pct"/>
            <w:vAlign w:val="center"/>
          </w:tcPr>
          <w:p w14:paraId="30A147BB">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A</w:t>
            </w:r>
            <w:r>
              <w:rPr>
                <w:rFonts w:hint="eastAsia"/>
                <w:snapToGrid w:val="0"/>
                <w:color w:val="000000" w:themeColor="text1"/>
                <w:sz w:val="18"/>
                <w:szCs w:val="22"/>
                <w14:textFill>
                  <w14:solidFill>
                    <w14:schemeClr w14:val="tx1"/>
                  </w14:solidFill>
                </w14:textFill>
              </w:rPr>
              <w:t>型改渠出口</w:t>
            </w:r>
            <w:r>
              <w:rPr>
                <w:snapToGrid w:val="0"/>
                <w:color w:val="000000" w:themeColor="text1"/>
                <w:sz w:val="18"/>
                <w:szCs w:val="22"/>
                <w14:textFill>
                  <w14:solidFill>
                    <w14:schemeClr w14:val="tx1"/>
                  </w14:solidFill>
                </w14:textFill>
              </w:rPr>
              <w:t xml:space="preserve"> F</w:t>
            </w:r>
            <w:r>
              <w:rPr>
                <w:rFonts w:hint="eastAsia"/>
                <w:snapToGrid w:val="0"/>
                <w:color w:val="000000" w:themeColor="text1"/>
                <w:sz w:val="18"/>
                <w:szCs w:val="22"/>
                <w14:textFill>
                  <w14:solidFill>
                    <w14:schemeClr w14:val="tx1"/>
                  </w14:solidFill>
                </w14:textFill>
              </w:rPr>
              <w:t>型处理</w:t>
            </w:r>
          </w:p>
        </w:tc>
      </w:tr>
      <w:tr w14:paraId="26679E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Merge w:val="continue"/>
            <w:vAlign w:val="center"/>
          </w:tcPr>
          <w:p w14:paraId="7AB68E94">
            <w:pPr>
              <w:pStyle w:val="105"/>
              <w:jc w:val="center"/>
              <w:rPr>
                <w:snapToGrid w:val="0"/>
                <w:color w:val="000000" w:themeColor="text1"/>
                <w:sz w:val="18"/>
                <w:szCs w:val="22"/>
                <w14:textFill>
                  <w14:solidFill>
                    <w14:schemeClr w14:val="tx1"/>
                  </w14:solidFill>
                </w14:textFill>
              </w:rPr>
            </w:pPr>
          </w:p>
        </w:tc>
        <w:tc>
          <w:tcPr>
            <w:tcW w:w="986" w:type="pct"/>
            <w:vAlign w:val="center"/>
          </w:tcPr>
          <w:p w14:paraId="4951F62A">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K1+588~K1+666</w:t>
            </w:r>
          </w:p>
        </w:tc>
        <w:tc>
          <w:tcPr>
            <w:tcW w:w="561" w:type="pct"/>
            <w:vAlign w:val="center"/>
          </w:tcPr>
          <w:p w14:paraId="49859694">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主线右侧</w:t>
            </w:r>
          </w:p>
        </w:tc>
        <w:tc>
          <w:tcPr>
            <w:tcW w:w="937" w:type="pct"/>
            <w:vAlign w:val="center"/>
          </w:tcPr>
          <w:p w14:paraId="383D9B8A">
            <w:pPr>
              <w:pStyle w:val="105"/>
              <w:jc w:val="center"/>
              <w:rPr>
                <w:snapToGrid w:val="0"/>
                <w:color w:val="000000" w:themeColor="text1"/>
                <w:sz w:val="18"/>
                <w:szCs w:val="22"/>
                <w14:textFill>
                  <w14:solidFill>
                    <w14:schemeClr w14:val="tx1"/>
                  </w14:solidFill>
                </w14:textFill>
              </w:rPr>
            </w:pPr>
          </w:p>
        </w:tc>
        <w:tc>
          <w:tcPr>
            <w:tcW w:w="626" w:type="pct"/>
            <w:vAlign w:val="center"/>
          </w:tcPr>
          <w:p w14:paraId="50E83A5E">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E</w:t>
            </w:r>
            <w:r>
              <w:rPr>
                <w:rFonts w:hint="eastAsia"/>
                <w:snapToGrid w:val="0"/>
                <w:color w:val="000000" w:themeColor="text1"/>
                <w:sz w:val="18"/>
                <w:szCs w:val="22"/>
                <w14:textFill>
                  <w14:solidFill>
                    <w14:schemeClr w14:val="tx1"/>
                  </w14:solidFill>
                </w14:textFill>
              </w:rPr>
              <w:t>型</w:t>
            </w:r>
          </w:p>
        </w:tc>
        <w:tc>
          <w:tcPr>
            <w:tcW w:w="390" w:type="pct"/>
            <w:vAlign w:val="center"/>
          </w:tcPr>
          <w:p w14:paraId="2B5A02A5">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80. 0</w:t>
            </w:r>
          </w:p>
        </w:tc>
        <w:tc>
          <w:tcPr>
            <w:tcW w:w="1173" w:type="pct"/>
            <w:vAlign w:val="center"/>
          </w:tcPr>
          <w:p w14:paraId="4A69C4ED">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利用天然沟</w:t>
            </w:r>
            <w:r>
              <w:rPr>
                <w:snapToGrid w:val="0"/>
                <w:color w:val="000000" w:themeColor="text1"/>
                <w:sz w:val="18"/>
                <w:szCs w:val="22"/>
                <w14:textFill>
                  <w14:solidFill>
                    <w14:schemeClr w14:val="tx1"/>
                  </w14:solidFill>
                </w14:textFill>
              </w:rPr>
              <w:t>E</w:t>
            </w:r>
            <w:r>
              <w:rPr>
                <w:rFonts w:hint="eastAsia"/>
                <w:snapToGrid w:val="0"/>
                <w:color w:val="000000" w:themeColor="text1"/>
                <w:sz w:val="18"/>
                <w:szCs w:val="22"/>
                <w14:textFill>
                  <w14:solidFill>
                    <w14:schemeClr w14:val="tx1"/>
                  </w14:solidFill>
                </w14:textFill>
              </w:rPr>
              <w:t>型处理</w:t>
            </w:r>
          </w:p>
        </w:tc>
      </w:tr>
      <w:tr w14:paraId="141C5C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Merge w:val="continue"/>
            <w:vAlign w:val="center"/>
          </w:tcPr>
          <w:p w14:paraId="7D14A923">
            <w:pPr>
              <w:pStyle w:val="105"/>
              <w:jc w:val="center"/>
              <w:rPr>
                <w:snapToGrid w:val="0"/>
                <w:color w:val="000000" w:themeColor="text1"/>
                <w:sz w:val="18"/>
                <w:szCs w:val="22"/>
                <w14:textFill>
                  <w14:solidFill>
                    <w14:schemeClr w14:val="tx1"/>
                  </w14:solidFill>
                </w14:textFill>
              </w:rPr>
            </w:pPr>
          </w:p>
        </w:tc>
        <w:tc>
          <w:tcPr>
            <w:tcW w:w="986" w:type="pct"/>
            <w:vAlign w:val="center"/>
          </w:tcPr>
          <w:p w14:paraId="0D4CE12E">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K1+540</w:t>
            </w:r>
            <w:r>
              <w:rPr>
                <w:rFonts w:hint="eastAsia"/>
                <w:snapToGrid w:val="0"/>
                <w:color w:val="000000" w:themeColor="text1"/>
                <w:sz w:val="18"/>
                <w:szCs w:val="22"/>
                <w14:textFill>
                  <w14:solidFill>
                    <w14:schemeClr w14:val="tx1"/>
                  </w14:solidFill>
                </w14:textFill>
              </w:rPr>
              <w:t>交叉口部位</w:t>
            </w:r>
          </w:p>
        </w:tc>
        <w:tc>
          <w:tcPr>
            <w:tcW w:w="561" w:type="pct"/>
            <w:vAlign w:val="center"/>
          </w:tcPr>
          <w:p w14:paraId="6C2C3865">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主线右侧</w:t>
            </w:r>
          </w:p>
        </w:tc>
        <w:tc>
          <w:tcPr>
            <w:tcW w:w="937" w:type="pct"/>
            <w:vAlign w:val="center"/>
          </w:tcPr>
          <w:p w14:paraId="5477D15B">
            <w:pPr>
              <w:pStyle w:val="105"/>
              <w:jc w:val="center"/>
              <w:rPr>
                <w:snapToGrid w:val="0"/>
                <w:color w:val="000000" w:themeColor="text1"/>
                <w:sz w:val="18"/>
                <w:szCs w:val="22"/>
                <w14:textFill>
                  <w14:solidFill>
                    <w14:schemeClr w14:val="tx1"/>
                  </w14:solidFill>
                </w14:textFill>
              </w:rPr>
            </w:pPr>
          </w:p>
        </w:tc>
        <w:tc>
          <w:tcPr>
            <w:tcW w:w="626" w:type="pct"/>
            <w:vAlign w:val="center"/>
          </w:tcPr>
          <w:p w14:paraId="23CBA619">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E</w:t>
            </w:r>
            <w:r>
              <w:rPr>
                <w:rFonts w:hint="eastAsia"/>
                <w:snapToGrid w:val="0"/>
                <w:color w:val="000000" w:themeColor="text1"/>
                <w:sz w:val="18"/>
                <w:szCs w:val="22"/>
                <w14:textFill>
                  <w14:solidFill>
                    <w14:schemeClr w14:val="tx1"/>
                  </w14:solidFill>
                </w14:textFill>
              </w:rPr>
              <w:t>型</w:t>
            </w:r>
          </w:p>
        </w:tc>
        <w:tc>
          <w:tcPr>
            <w:tcW w:w="390" w:type="pct"/>
            <w:vAlign w:val="center"/>
          </w:tcPr>
          <w:p w14:paraId="679E724E">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25.0</w:t>
            </w:r>
          </w:p>
        </w:tc>
        <w:tc>
          <w:tcPr>
            <w:tcW w:w="1173" w:type="pct"/>
            <w:vAlign w:val="center"/>
          </w:tcPr>
          <w:p w14:paraId="057FB423">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利用天然沟</w:t>
            </w:r>
            <w:r>
              <w:rPr>
                <w:snapToGrid w:val="0"/>
                <w:color w:val="000000" w:themeColor="text1"/>
                <w:sz w:val="18"/>
                <w:szCs w:val="22"/>
                <w14:textFill>
                  <w14:solidFill>
                    <w14:schemeClr w14:val="tx1"/>
                  </w14:solidFill>
                </w14:textFill>
              </w:rPr>
              <w:t>E</w:t>
            </w:r>
            <w:r>
              <w:rPr>
                <w:rFonts w:hint="eastAsia"/>
                <w:snapToGrid w:val="0"/>
                <w:color w:val="000000" w:themeColor="text1"/>
                <w:sz w:val="18"/>
                <w:szCs w:val="22"/>
                <w14:textFill>
                  <w14:solidFill>
                    <w14:schemeClr w14:val="tx1"/>
                  </w14:solidFill>
                </w14:textFill>
              </w:rPr>
              <w:t>型处理</w:t>
            </w:r>
            <w:r>
              <w:rPr>
                <w:snapToGrid w:val="0"/>
                <w:color w:val="000000" w:themeColor="text1"/>
                <w:sz w:val="18"/>
                <w:szCs w:val="22"/>
                <w14:textFill>
                  <w14:solidFill>
                    <w14:schemeClr w14:val="tx1"/>
                  </w14:solidFill>
                </w14:textFill>
              </w:rPr>
              <w:t xml:space="preserve"> </w:t>
            </w:r>
          </w:p>
        </w:tc>
      </w:tr>
      <w:tr w14:paraId="6F8D46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Align w:val="center"/>
          </w:tcPr>
          <w:p w14:paraId="7AFBE917">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2</w:t>
            </w:r>
          </w:p>
        </w:tc>
        <w:tc>
          <w:tcPr>
            <w:tcW w:w="986" w:type="pct"/>
            <w:vAlign w:val="center"/>
          </w:tcPr>
          <w:p w14:paraId="6531D021">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K1+666~K1+712</w:t>
            </w:r>
          </w:p>
        </w:tc>
        <w:tc>
          <w:tcPr>
            <w:tcW w:w="561" w:type="pct"/>
            <w:vAlign w:val="center"/>
          </w:tcPr>
          <w:p w14:paraId="39BCC909">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主线右侧</w:t>
            </w:r>
          </w:p>
        </w:tc>
        <w:tc>
          <w:tcPr>
            <w:tcW w:w="937" w:type="pct"/>
            <w:vAlign w:val="center"/>
          </w:tcPr>
          <w:p w14:paraId="372ABDA2">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底宽</w:t>
            </w:r>
            <w:r>
              <w:rPr>
                <w:snapToGrid w:val="0"/>
                <w:color w:val="000000" w:themeColor="text1"/>
                <w:sz w:val="18"/>
                <w:szCs w:val="22"/>
                <w14:textFill>
                  <w14:solidFill>
                    <w14:schemeClr w14:val="tx1"/>
                  </w14:solidFill>
                </w14:textFill>
              </w:rPr>
              <w:t>16m</w:t>
            </w:r>
            <w:r>
              <w:rPr>
                <w:rFonts w:hint="eastAsia"/>
                <w:snapToGrid w:val="0"/>
                <w:color w:val="000000" w:themeColor="text1"/>
                <w:sz w:val="18"/>
                <w:szCs w:val="22"/>
                <w14:textFill>
                  <w14:solidFill>
                    <w14:schemeClr w14:val="tx1"/>
                  </w14:solidFill>
                </w14:textFill>
              </w:rPr>
              <w:t>，高</w:t>
            </w:r>
            <w:r>
              <w:rPr>
                <w:snapToGrid w:val="0"/>
                <w:color w:val="000000" w:themeColor="text1"/>
                <w:sz w:val="18"/>
                <w:szCs w:val="22"/>
                <w14:textFill>
                  <w14:solidFill>
                    <w14:schemeClr w14:val="tx1"/>
                  </w14:solidFill>
                </w14:textFill>
              </w:rPr>
              <w:t>4m</w:t>
            </w:r>
          </w:p>
        </w:tc>
        <w:tc>
          <w:tcPr>
            <w:tcW w:w="626" w:type="pct"/>
            <w:vAlign w:val="center"/>
          </w:tcPr>
          <w:p w14:paraId="085BAC8D">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B</w:t>
            </w:r>
            <w:r>
              <w:rPr>
                <w:rFonts w:hint="eastAsia"/>
                <w:snapToGrid w:val="0"/>
                <w:color w:val="000000" w:themeColor="text1"/>
                <w:sz w:val="18"/>
                <w:szCs w:val="22"/>
                <w14:textFill>
                  <w14:solidFill>
                    <w14:schemeClr w14:val="tx1"/>
                  </w14:solidFill>
                </w14:textFill>
              </w:rPr>
              <w:t>型改渠</w:t>
            </w:r>
          </w:p>
        </w:tc>
        <w:tc>
          <w:tcPr>
            <w:tcW w:w="390" w:type="pct"/>
            <w:vAlign w:val="center"/>
          </w:tcPr>
          <w:p w14:paraId="24C1D85F">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46.0</w:t>
            </w:r>
          </w:p>
        </w:tc>
        <w:tc>
          <w:tcPr>
            <w:tcW w:w="1173" w:type="pct"/>
            <w:vAlign w:val="center"/>
          </w:tcPr>
          <w:p w14:paraId="340B036C">
            <w:pPr>
              <w:pStyle w:val="105"/>
              <w:jc w:val="center"/>
              <w:rPr>
                <w:snapToGrid w:val="0"/>
                <w:color w:val="000000" w:themeColor="text1"/>
                <w:sz w:val="18"/>
                <w:szCs w:val="22"/>
                <w14:textFill>
                  <w14:solidFill>
                    <w14:schemeClr w14:val="tx1"/>
                  </w14:solidFill>
                </w14:textFill>
              </w:rPr>
            </w:pPr>
          </w:p>
        </w:tc>
      </w:tr>
      <w:tr w14:paraId="659D5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Align w:val="center"/>
          </w:tcPr>
          <w:p w14:paraId="6B39C73A">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3</w:t>
            </w:r>
          </w:p>
        </w:tc>
        <w:tc>
          <w:tcPr>
            <w:tcW w:w="986" w:type="pct"/>
            <w:vAlign w:val="center"/>
          </w:tcPr>
          <w:p w14:paraId="1BDDFA84">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K1+747~K1+815.5</w:t>
            </w:r>
          </w:p>
        </w:tc>
        <w:tc>
          <w:tcPr>
            <w:tcW w:w="561" w:type="pct"/>
            <w:vAlign w:val="center"/>
          </w:tcPr>
          <w:p w14:paraId="4292B8AD">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主线右侧</w:t>
            </w:r>
          </w:p>
        </w:tc>
        <w:tc>
          <w:tcPr>
            <w:tcW w:w="937" w:type="pct"/>
            <w:vAlign w:val="center"/>
          </w:tcPr>
          <w:p w14:paraId="2359FF1F">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底宽</w:t>
            </w:r>
            <w:r>
              <w:rPr>
                <w:snapToGrid w:val="0"/>
                <w:color w:val="000000" w:themeColor="text1"/>
                <w:sz w:val="18"/>
                <w:szCs w:val="22"/>
                <w14:textFill>
                  <w14:solidFill>
                    <w14:schemeClr w14:val="tx1"/>
                  </w14:solidFill>
                </w14:textFill>
              </w:rPr>
              <w:t>16m</w:t>
            </w:r>
            <w:r>
              <w:rPr>
                <w:rFonts w:hint="eastAsia"/>
                <w:snapToGrid w:val="0"/>
                <w:color w:val="000000" w:themeColor="text1"/>
                <w:sz w:val="18"/>
                <w:szCs w:val="22"/>
                <w14:textFill>
                  <w14:solidFill>
                    <w14:schemeClr w14:val="tx1"/>
                  </w14:solidFill>
                </w14:textFill>
              </w:rPr>
              <w:t>，高</w:t>
            </w:r>
            <w:r>
              <w:rPr>
                <w:snapToGrid w:val="0"/>
                <w:color w:val="000000" w:themeColor="text1"/>
                <w:sz w:val="18"/>
                <w:szCs w:val="22"/>
                <w14:textFill>
                  <w14:solidFill>
                    <w14:schemeClr w14:val="tx1"/>
                  </w14:solidFill>
                </w14:textFill>
              </w:rPr>
              <w:t>4m</w:t>
            </w:r>
          </w:p>
        </w:tc>
        <w:tc>
          <w:tcPr>
            <w:tcW w:w="626" w:type="pct"/>
            <w:vAlign w:val="center"/>
          </w:tcPr>
          <w:p w14:paraId="7660C658">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B</w:t>
            </w:r>
            <w:r>
              <w:rPr>
                <w:rFonts w:hint="eastAsia"/>
                <w:snapToGrid w:val="0"/>
                <w:color w:val="000000" w:themeColor="text1"/>
                <w:sz w:val="18"/>
                <w:szCs w:val="22"/>
                <w14:textFill>
                  <w14:solidFill>
                    <w14:schemeClr w14:val="tx1"/>
                  </w14:solidFill>
                </w14:textFill>
              </w:rPr>
              <w:t>型改渠</w:t>
            </w:r>
          </w:p>
        </w:tc>
        <w:tc>
          <w:tcPr>
            <w:tcW w:w="390" w:type="pct"/>
            <w:vAlign w:val="center"/>
          </w:tcPr>
          <w:p w14:paraId="6D591A9E">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68.5</w:t>
            </w:r>
          </w:p>
        </w:tc>
        <w:tc>
          <w:tcPr>
            <w:tcW w:w="1173" w:type="pct"/>
            <w:vAlign w:val="center"/>
          </w:tcPr>
          <w:p w14:paraId="5AABE272">
            <w:pPr>
              <w:pStyle w:val="105"/>
              <w:jc w:val="center"/>
              <w:rPr>
                <w:snapToGrid w:val="0"/>
                <w:color w:val="000000" w:themeColor="text1"/>
                <w:sz w:val="18"/>
                <w:szCs w:val="22"/>
                <w14:textFill>
                  <w14:solidFill>
                    <w14:schemeClr w14:val="tx1"/>
                  </w14:solidFill>
                </w14:textFill>
              </w:rPr>
            </w:pPr>
          </w:p>
        </w:tc>
      </w:tr>
      <w:tr w14:paraId="59F4F5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Merge w:val="restart"/>
            <w:vAlign w:val="center"/>
          </w:tcPr>
          <w:p w14:paraId="56155E70">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4</w:t>
            </w:r>
          </w:p>
        </w:tc>
        <w:tc>
          <w:tcPr>
            <w:tcW w:w="986" w:type="pct"/>
            <w:vAlign w:val="center"/>
          </w:tcPr>
          <w:p w14:paraId="14CDD9DC">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K2+420~K2+460</w:t>
            </w:r>
          </w:p>
        </w:tc>
        <w:tc>
          <w:tcPr>
            <w:tcW w:w="561" w:type="pct"/>
            <w:vAlign w:val="center"/>
          </w:tcPr>
          <w:p w14:paraId="2EE06F42">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桥下改河</w:t>
            </w:r>
          </w:p>
        </w:tc>
        <w:tc>
          <w:tcPr>
            <w:tcW w:w="937" w:type="pct"/>
            <w:vAlign w:val="center"/>
          </w:tcPr>
          <w:p w14:paraId="70665C98">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底宽</w:t>
            </w:r>
            <w:r>
              <w:rPr>
                <w:snapToGrid w:val="0"/>
                <w:color w:val="000000" w:themeColor="text1"/>
                <w:sz w:val="18"/>
                <w:szCs w:val="22"/>
                <w14:textFill>
                  <w14:solidFill>
                    <w14:schemeClr w14:val="tx1"/>
                  </w14:solidFill>
                </w14:textFill>
              </w:rPr>
              <w:t>12m</w:t>
            </w:r>
            <w:r>
              <w:rPr>
                <w:rFonts w:hint="eastAsia"/>
                <w:snapToGrid w:val="0"/>
                <w:color w:val="000000" w:themeColor="text1"/>
                <w:sz w:val="18"/>
                <w:szCs w:val="22"/>
                <w14:textFill>
                  <w14:solidFill>
                    <w14:schemeClr w14:val="tx1"/>
                  </w14:solidFill>
                </w14:textFill>
              </w:rPr>
              <w:t>，高</w:t>
            </w:r>
            <w:r>
              <w:rPr>
                <w:snapToGrid w:val="0"/>
                <w:color w:val="000000" w:themeColor="text1"/>
                <w:sz w:val="18"/>
                <w:szCs w:val="22"/>
                <w14:textFill>
                  <w14:solidFill>
                    <w14:schemeClr w14:val="tx1"/>
                  </w14:solidFill>
                </w14:textFill>
              </w:rPr>
              <w:t>3.5 m</w:t>
            </w:r>
          </w:p>
        </w:tc>
        <w:tc>
          <w:tcPr>
            <w:tcW w:w="626" w:type="pct"/>
            <w:vAlign w:val="center"/>
          </w:tcPr>
          <w:p w14:paraId="014E5F9A">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D</w:t>
            </w:r>
            <w:r>
              <w:rPr>
                <w:rFonts w:hint="eastAsia"/>
                <w:snapToGrid w:val="0"/>
                <w:color w:val="000000" w:themeColor="text1"/>
                <w:sz w:val="18"/>
                <w:szCs w:val="22"/>
                <w14:textFill>
                  <w14:solidFill>
                    <w14:schemeClr w14:val="tx1"/>
                  </w14:solidFill>
                </w14:textFill>
              </w:rPr>
              <w:t>型改渠</w:t>
            </w:r>
          </w:p>
        </w:tc>
        <w:tc>
          <w:tcPr>
            <w:tcW w:w="390" w:type="pct"/>
            <w:vAlign w:val="center"/>
          </w:tcPr>
          <w:p w14:paraId="1F77D84A">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130.0</w:t>
            </w:r>
          </w:p>
        </w:tc>
        <w:tc>
          <w:tcPr>
            <w:tcW w:w="1173" w:type="pct"/>
            <w:vAlign w:val="center"/>
          </w:tcPr>
          <w:p w14:paraId="76ADEC99">
            <w:pPr>
              <w:pStyle w:val="105"/>
              <w:jc w:val="center"/>
              <w:rPr>
                <w:snapToGrid w:val="0"/>
                <w:color w:val="000000" w:themeColor="text1"/>
                <w:sz w:val="18"/>
                <w:szCs w:val="22"/>
                <w14:textFill>
                  <w14:solidFill>
                    <w14:schemeClr w14:val="tx1"/>
                  </w14:solidFill>
                </w14:textFill>
              </w:rPr>
            </w:pPr>
          </w:p>
        </w:tc>
      </w:tr>
      <w:tr w14:paraId="5A8940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Merge w:val="continue"/>
            <w:vAlign w:val="center"/>
          </w:tcPr>
          <w:p w14:paraId="513E502F">
            <w:pPr>
              <w:pStyle w:val="105"/>
              <w:jc w:val="center"/>
              <w:rPr>
                <w:snapToGrid w:val="0"/>
                <w:color w:val="000000" w:themeColor="text1"/>
                <w:sz w:val="18"/>
                <w:szCs w:val="22"/>
                <w14:textFill>
                  <w14:solidFill>
                    <w14:schemeClr w14:val="tx1"/>
                  </w14:solidFill>
                </w14:textFill>
              </w:rPr>
            </w:pPr>
          </w:p>
        </w:tc>
        <w:tc>
          <w:tcPr>
            <w:tcW w:w="986" w:type="pct"/>
            <w:vAlign w:val="center"/>
          </w:tcPr>
          <w:p w14:paraId="0A621704">
            <w:pPr>
              <w:pStyle w:val="105"/>
              <w:jc w:val="center"/>
              <w:rPr>
                <w:snapToGrid w:val="0"/>
                <w:color w:val="000000" w:themeColor="text1"/>
                <w:sz w:val="18"/>
                <w:szCs w:val="22"/>
                <w14:textFill>
                  <w14:solidFill>
                    <w14:schemeClr w14:val="tx1"/>
                  </w14:solidFill>
                </w14:textFill>
              </w:rPr>
            </w:pPr>
          </w:p>
        </w:tc>
        <w:tc>
          <w:tcPr>
            <w:tcW w:w="561" w:type="pct"/>
            <w:vAlign w:val="center"/>
          </w:tcPr>
          <w:p w14:paraId="659565A9">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桥下改河</w:t>
            </w:r>
          </w:p>
        </w:tc>
        <w:tc>
          <w:tcPr>
            <w:tcW w:w="937" w:type="pct"/>
            <w:vAlign w:val="top"/>
          </w:tcPr>
          <w:p w14:paraId="170C039B">
            <w:pPr>
              <w:pStyle w:val="105"/>
              <w:jc w:val="center"/>
              <w:rPr>
                <w:snapToGrid w:val="0"/>
                <w:color w:val="000000" w:themeColor="text1"/>
                <w:sz w:val="18"/>
                <w:szCs w:val="22"/>
                <w14:textFill>
                  <w14:solidFill>
                    <w14:schemeClr w14:val="tx1"/>
                  </w14:solidFill>
                </w14:textFill>
              </w:rPr>
            </w:pPr>
          </w:p>
        </w:tc>
        <w:tc>
          <w:tcPr>
            <w:tcW w:w="626" w:type="pct"/>
            <w:vAlign w:val="center"/>
          </w:tcPr>
          <w:p w14:paraId="69CE0115">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F</w:t>
            </w:r>
            <w:r>
              <w:rPr>
                <w:rFonts w:hint="eastAsia"/>
                <w:snapToGrid w:val="0"/>
                <w:color w:val="000000" w:themeColor="text1"/>
                <w:sz w:val="18"/>
                <w:szCs w:val="22"/>
                <w14:textFill>
                  <w14:solidFill>
                    <w14:schemeClr w14:val="tx1"/>
                  </w14:solidFill>
                </w14:textFill>
              </w:rPr>
              <w:t>型</w:t>
            </w:r>
          </w:p>
        </w:tc>
        <w:tc>
          <w:tcPr>
            <w:tcW w:w="390" w:type="pct"/>
            <w:vAlign w:val="center"/>
          </w:tcPr>
          <w:p w14:paraId="3A744948">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12.0</w:t>
            </w:r>
          </w:p>
        </w:tc>
        <w:tc>
          <w:tcPr>
            <w:tcW w:w="1173" w:type="pct"/>
            <w:vAlign w:val="center"/>
          </w:tcPr>
          <w:p w14:paraId="6A2E340E">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lang w:val="zh-TW" w:eastAsia="zh-TW"/>
                <w14:textFill>
                  <w14:solidFill>
                    <w14:schemeClr w14:val="tx1"/>
                  </w14:solidFill>
                </w14:textFill>
              </w:rPr>
              <w:t>改河出口</w:t>
            </w:r>
            <w:r>
              <w:rPr>
                <w:snapToGrid w:val="0"/>
                <w:color w:val="000000" w:themeColor="text1"/>
                <w:sz w:val="18"/>
                <w:szCs w:val="22"/>
                <w14:textFill>
                  <w14:solidFill>
                    <w14:schemeClr w14:val="tx1"/>
                  </w14:solidFill>
                </w14:textFill>
              </w:rPr>
              <w:t>F</w:t>
            </w:r>
            <w:r>
              <w:rPr>
                <w:rFonts w:hint="eastAsia"/>
                <w:snapToGrid w:val="0"/>
                <w:color w:val="000000" w:themeColor="text1"/>
                <w:sz w:val="18"/>
                <w:szCs w:val="22"/>
                <w:lang w:val="zh-TW" w:eastAsia="zh-TW"/>
                <w14:textFill>
                  <w14:solidFill>
                    <w14:schemeClr w14:val="tx1"/>
                  </w14:solidFill>
                </w14:textFill>
              </w:rPr>
              <w:t>型处理</w:t>
            </w:r>
          </w:p>
        </w:tc>
      </w:tr>
      <w:tr w14:paraId="67FA7A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Merge w:val="continue"/>
            <w:vAlign w:val="center"/>
          </w:tcPr>
          <w:p w14:paraId="09C7EA0E">
            <w:pPr>
              <w:pStyle w:val="105"/>
              <w:jc w:val="center"/>
              <w:rPr>
                <w:snapToGrid w:val="0"/>
                <w:color w:val="000000" w:themeColor="text1"/>
                <w:sz w:val="18"/>
                <w:szCs w:val="22"/>
                <w14:textFill>
                  <w14:solidFill>
                    <w14:schemeClr w14:val="tx1"/>
                  </w14:solidFill>
                </w14:textFill>
              </w:rPr>
            </w:pPr>
          </w:p>
        </w:tc>
        <w:tc>
          <w:tcPr>
            <w:tcW w:w="986" w:type="pct"/>
            <w:vAlign w:val="center"/>
          </w:tcPr>
          <w:p w14:paraId="713EC450">
            <w:pPr>
              <w:pStyle w:val="105"/>
              <w:jc w:val="center"/>
              <w:rPr>
                <w:snapToGrid w:val="0"/>
                <w:color w:val="000000" w:themeColor="text1"/>
                <w:sz w:val="18"/>
                <w:szCs w:val="22"/>
                <w14:textFill>
                  <w14:solidFill>
                    <w14:schemeClr w14:val="tx1"/>
                  </w14:solidFill>
                </w14:textFill>
              </w:rPr>
            </w:pPr>
          </w:p>
        </w:tc>
        <w:tc>
          <w:tcPr>
            <w:tcW w:w="561" w:type="pct"/>
            <w:vAlign w:val="center"/>
          </w:tcPr>
          <w:p w14:paraId="02738237">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桥下改河</w:t>
            </w:r>
          </w:p>
        </w:tc>
        <w:tc>
          <w:tcPr>
            <w:tcW w:w="937" w:type="pct"/>
            <w:vAlign w:val="top"/>
          </w:tcPr>
          <w:p w14:paraId="18668B91">
            <w:pPr>
              <w:pStyle w:val="105"/>
              <w:jc w:val="center"/>
              <w:rPr>
                <w:snapToGrid w:val="0"/>
                <w:color w:val="000000" w:themeColor="text1"/>
                <w:sz w:val="18"/>
                <w:szCs w:val="22"/>
                <w14:textFill>
                  <w14:solidFill>
                    <w14:schemeClr w14:val="tx1"/>
                  </w14:solidFill>
                </w14:textFill>
              </w:rPr>
            </w:pPr>
          </w:p>
        </w:tc>
        <w:tc>
          <w:tcPr>
            <w:tcW w:w="626" w:type="pct"/>
            <w:vAlign w:val="center"/>
          </w:tcPr>
          <w:p w14:paraId="51526A41">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E</w:t>
            </w:r>
            <w:r>
              <w:rPr>
                <w:rFonts w:hint="eastAsia"/>
                <w:snapToGrid w:val="0"/>
                <w:color w:val="000000" w:themeColor="text1"/>
                <w:sz w:val="18"/>
                <w:szCs w:val="22"/>
                <w14:textFill>
                  <w14:solidFill>
                    <w14:schemeClr w14:val="tx1"/>
                  </w14:solidFill>
                </w14:textFill>
              </w:rPr>
              <w:t>型</w:t>
            </w:r>
          </w:p>
        </w:tc>
        <w:tc>
          <w:tcPr>
            <w:tcW w:w="390" w:type="pct"/>
            <w:vAlign w:val="center"/>
          </w:tcPr>
          <w:p w14:paraId="4188577D">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32.0</w:t>
            </w:r>
          </w:p>
        </w:tc>
        <w:tc>
          <w:tcPr>
            <w:tcW w:w="1173" w:type="pct"/>
            <w:vAlign w:val="center"/>
          </w:tcPr>
          <w:p w14:paraId="1C02CB84">
            <w:pPr>
              <w:pStyle w:val="105"/>
              <w:jc w:val="center"/>
              <w:rPr>
                <w:snapToGrid w:val="0"/>
                <w:color w:val="000000" w:themeColor="text1"/>
                <w:sz w:val="18"/>
                <w:szCs w:val="22"/>
                <w14:textFill>
                  <w14:solidFill>
                    <w14:schemeClr w14:val="tx1"/>
                  </w14:solidFill>
                </w14:textFill>
              </w:rPr>
            </w:pPr>
            <w:r>
              <w:rPr>
                <w:rFonts w:hint="eastAsia" w:ascii="宋体"/>
                <w:snapToGrid w:val="0"/>
                <w:color w:val="000000" w:themeColor="text1"/>
                <w:sz w:val="18"/>
                <w:szCs w:val="22"/>
                <w14:textFill>
                  <w14:solidFill>
                    <w14:schemeClr w14:val="tx1"/>
                  </w14:solidFill>
                </w14:textFill>
              </w:rPr>
              <w:t>改河进口利用天然沟</w:t>
            </w:r>
            <w:r>
              <w:rPr>
                <w:rFonts w:ascii="Constantia" w:hAnsi="Constantia" w:cs="Constantia"/>
                <w:snapToGrid w:val="0"/>
                <w:color w:val="000000" w:themeColor="text1"/>
                <w:sz w:val="18"/>
                <w:szCs w:val="22"/>
                <w14:textFill>
                  <w14:solidFill>
                    <w14:schemeClr w14:val="tx1"/>
                  </w14:solidFill>
                </w14:textFill>
              </w:rPr>
              <w:t>E</w:t>
            </w:r>
            <w:r>
              <w:rPr>
                <w:rFonts w:hint="eastAsia" w:ascii="宋体"/>
                <w:snapToGrid w:val="0"/>
                <w:color w:val="000000" w:themeColor="text1"/>
                <w:sz w:val="18"/>
                <w:szCs w:val="22"/>
                <w14:textFill>
                  <w14:solidFill>
                    <w14:schemeClr w14:val="tx1"/>
                  </w14:solidFill>
                </w14:textFill>
              </w:rPr>
              <w:t>型处理</w:t>
            </w:r>
          </w:p>
        </w:tc>
      </w:tr>
      <w:tr w14:paraId="048943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27" w:type="pct"/>
            <w:vAlign w:val="center"/>
          </w:tcPr>
          <w:p w14:paraId="5706F551">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5</w:t>
            </w:r>
          </w:p>
        </w:tc>
        <w:tc>
          <w:tcPr>
            <w:tcW w:w="986" w:type="pct"/>
            <w:vAlign w:val="center"/>
          </w:tcPr>
          <w:p w14:paraId="37778321">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K3+620~K3+720</w:t>
            </w:r>
          </w:p>
        </w:tc>
        <w:tc>
          <w:tcPr>
            <w:tcW w:w="561" w:type="pct"/>
            <w:vAlign w:val="center"/>
          </w:tcPr>
          <w:p w14:paraId="5AAE1C84">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主线左、右侧</w:t>
            </w:r>
          </w:p>
        </w:tc>
        <w:tc>
          <w:tcPr>
            <w:tcW w:w="937" w:type="pct"/>
            <w:vAlign w:val="center"/>
          </w:tcPr>
          <w:p w14:paraId="54344561">
            <w:pPr>
              <w:pStyle w:val="105"/>
              <w:jc w:val="center"/>
              <w:rPr>
                <w:snapToGrid w:val="0"/>
                <w:color w:val="000000" w:themeColor="text1"/>
                <w:sz w:val="18"/>
                <w:szCs w:val="22"/>
                <w14:textFill>
                  <w14:solidFill>
                    <w14:schemeClr w14:val="tx1"/>
                  </w14:solidFill>
                </w14:textFill>
              </w:rPr>
            </w:pPr>
            <w:r>
              <w:rPr>
                <w:rFonts w:hint="eastAsia" w:ascii="宋体"/>
                <w:snapToGrid w:val="0"/>
                <w:color w:val="000000" w:themeColor="text1"/>
                <w:kern w:val="0"/>
                <w:sz w:val="18"/>
                <w:szCs w:val="22"/>
                <w:lang w:val="zh-TW" w:eastAsia="zh-TW"/>
                <w14:textFill>
                  <w14:solidFill>
                    <w14:schemeClr w14:val="tx1"/>
                  </w14:solidFill>
                </w14:textFill>
              </w:rPr>
              <w:t>底宽</w:t>
            </w:r>
            <w:r>
              <w:rPr>
                <w:rFonts w:ascii="宋体"/>
                <w:snapToGrid w:val="0"/>
                <w:color w:val="000000" w:themeColor="text1"/>
                <w:kern w:val="0"/>
                <w:sz w:val="18"/>
                <w:szCs w:val="22"/>
                <w:lang w:eastAsia="en-US"/>
                <w14:textFill>
                  <w14:solidFill>
                    <w14:schemeClr w14:val="tx1"/>
                  </w14:solidFill>
                </w14:textFill>
              </w:rPr>
              <w:t>7</w:t>
            </w:r>
            <w:r>
              <w:rPr>
                <w:rFonts w:ascii="Constantia" w:hAnsi="Constantia" w:eastAsia="Times New Roman" w:cs="Constantia"/>
                <w:snapToGrid w:val="0"/>
                <w:color w:val="000000" w:themeColor="text1"/>
                <w:kern w:val="0"/>
                <w:sz w:val="18"/>
                <w:szCs w:val="22"/>
                <w:lang w:eastAsia="en-US"/>
                <w14:textFill>
                  <w14:solidFill>
                    <w14:schemeClr w14:val="tx1"/>
                  </w14:solidFill>
                </w14:textFill>
              </w:rPr>
              <w:t>m</w:t>
            </w:r>
            <w:r>
              <w:rPr>
                <w:rFonts w:hint="eastAsia"/>
                <w:snapToGrid w:val="0"/>
                <w:color w:val="000000" w:themeColor="text1"/>
                <w:sz w:val="18"/>
                <w:szCs w:val="22"/>
                <w14:textFill>
                  <w14:solidFill>
                    <w14:schemeClr w14:val="tx1"/>
                  </w14:solidFill>
                </w14:textFill>
              </w:rPr>
              <w:t>，高</w:t>
            </w:r>
            <w:r>
              <w:rPr>
                <w:snapToGrid w:val="0"/>
                <w:color w:val="000000" w:themeColor="text1"/>
                <w:sz w:val="18"/>
                <w:szCs w:val="22"/>
                <w14:textFill>
                  <w14:solidFill>
                    <w14:schemeClr w14:val="tx1"/>
                  </w14:solidFill>
                </w14:textFill>
              </w:rPr>
              <w:t>3.5 m</w:t>
            </w:r>
          </w:p>
        </w:tc>
        <w:tc>
          <w:tcPr>
            <w:tcW w:w="626" w:type="pct"/>
            <w:vAlign w:val="center"/>
          </w:tcPr>
          <w:p w14:paraId="452FBDC0">
            <w:pPr>
              <w:pStyle w:val="105"/>
              <w:jc w:val="center"/>
              <w:rPr>
                <w:snapToGrid w:val="0"/>
                <w:color w:val="000000" w:themeColor="text1"/>
                <w:sz w:val="18"/>
                <w:szCs w:val="22"/>
                <w14:textFill>
                  <w14:solidFill>
                    <w14:schemeClr w14:val="tx1"/>
                  </w14:solidFill>
                </w14:textFill>
              </w:rPr>
            </w:pPr>
            <w:r>
              <w:rPr>
                <w:rFonts w:ascii="Constantia" w:hAnsi="Constantia" w:eastAsia="Times New Roman" w:cs="Constantia"/>
                <w:snapToGrid w:val="0"/>
                <w:color w:val="000000" w:themeColor="text1"/>
                <w:kern w:val="0"/>
                <w:sz w:val="18"/>
                <w:szCs w:val="22"/>
                <w:lang w:eastAsia="en-US"/>
                <w14:textFill>
                  <w14:solidFill>
                    <w14:schemeClr w14:val="tx1"/>
                  </w14:solidFill>
                </w14:textFill>
              </w:rPr>
              <w:t>C</w:t>
            </w:r>
            <w:r>
              <w:rPr>
                <w:rFonts w:hint="eastAsia" w:ascii="宋体"/>
                <w:snapToGrid w:val="0"/>
                <w:color w:val="000000" w:themeColor="text1"/>
                <w:kern w:val="0"/>
                <w:sz w:val="18"/>
                <w:szCs w:val="22"/>
                <w:lang w:val="zh-TW" w:eastAsia="zh-TW"/>
                <w14:textFill>
                  <w14:solidFill>
                    <w14:schemeClr w14:val="tx1"/>
                  </w14:solidFill>
                </w14:textFill>
              </w:rPr>
              <w:t>型改渠</w:t>
            </w:r>
          </w:p>
        </w:tc>
        <w:tc>
          <w:tcPr>
            <w:tcW w:w="390" w:type="pct"/>
            <w:vAlign w:val="center"/>
          </w:tcPr>
          <w:p w14:paraId="03309B85">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100.0</w:t>
            </w:r>
          </w:p>
        </w:tc>
        <w:tc>
          <w:tcPr>
            <w:tcW w:w="1173" w:type="pct"/>
            <w:vAlign w:val="center"/>
          </w:tcPr>
          <w:p w14:paraId="171AADFC">
            <w:pPr>
              <w:pStyle w:val="105"/>
              <w:jc w:val="center"/>
              <w:rPr>
                <w:snapToGrid w:val="0"/>
                <w:color w:val="000000" w:themeColor="text1"/>
                <w:sz w:val="18"/>
                <w:szCs w:val="22"/>
                <w14:textFill>
                  <w14:solidFill>
                    <w14:schemeClr w14:val="tx1"/>
                  </w14:solidFill>
                </w14:textFill>
              </w:rPr>
            </w:pPr>
          </w:p>
        </w:tc>
      </w:tr>
    </w:tbl>
    <w:p w14:paraId="348EEB1D">
      <w:pPr>
        <w:pStyle w:val="118"/>
        <w:spacing w:before="240"/>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路基外</w:t>
      </w:r>
      <w:r>
        <w:rPr>
          <w:color w:val="000000" w:themeColor="text1"/>
          <w:lang w:val="zh-CN"/>
          <w14:textFill>
            <w14:solidFill>
              <w14:schemeClr w14:val="tx1"/>
            </w14:solidFill>
          </w14:textFill>
        </w:rPr>
        <w:t>改</w:t>
      </w:r>
      <w:r>
        <w:rPr>
          <w:rFonts w:hint="eastAsia"/>
          <w:color w:val="000000" w:themeColor="text1"/>
          <w:lang w:val="zh-CN"/>
          <w14:textFill>
            <w14:solidFill>
              <w14:schemeClr w14:val="tx1"/>
            </w14:solidFill>
          </w14:textFill>
        </w:rPr>
        <w:t>渠工程</w:t>
      </w:r>
    </w:p>
    <w:p w14:paraId="6BE7D7DD">
      <w:pPr>
        <w:ind w:firstLine="480"/>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因</w:t>
      </w:r>
      <w:r>
        <w:rPr>
          <w:rFonts w:hint="eastAsia" w:cs="Times New Roman"/>
          <w:color w:val="000000" w:themeColor="text1"/>
          <w:kern w:val="0"/>
          <w:szCs w:val="24"/>
          <w:lang w:val="zh-CN"/>
          <w14:textFill>
            <w14:solidFill>
              <w14:schemeClr w14:val="tx1"/>
            </w14:solidFill>
          </w14:textFill>
        </w:rPr>
        <w:t>本项目</w:t>
      </w:r>
      <w:r>
        <w:rPr>
          <w:rFonts w:cs="Times New Roman"/>
          <w:color w:val="000000" w:themeColor="text1"/>
          <w:kern w:val="0"/>
          <w:szCs w:val="24"/>
          <w:lang w:val="zh-CN"/>
          <w14:textFill>
            <w14:solidFill>
              <w14:schemeClr w14:val="tx1"/>
            </w14:solidFill>
          </w14:textFill>
        </w:rPr>
        <w:t>K0+360~K0+560右侧侵占现状东张福渠，同时现状福渠有1支渠横向交叉拟建旅游公路，位于拟建旅游公路上方，公路建设后将中断该支渠。为此，本项目对主项目道路所侵占东张福渠及其支渠进行改建</w:t>
      </w:r>
      <w:r>
        <w:rPr>
          <w:rFonts w:hint="eastAsia" w:cs="Times New Roman"/>
          <w:color w:val="000000" w:themeColor="text1"/>
          <w:kern w:val="0"/>
          <w:szCs w:val="24"/>
          <w:lang w:val="zh-CN"/>
          <w14:textFill>
            <w14:solidFill>
              <w14:schemeClr w14:val="tx1"/>
            </w14:solidFill>
          </w14:textFill>
        </w:rPr>
        <w:t>。</w:t>
      </w:r>
    </w:p>
    <w:p w14:paraId="3F6C7CF5">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w:t>
      </w:r>
      <w:r>
        <w:rPr>
          <w:rFonts w:cs="Times New Roman"/>
          <w:b/>
          <w:bCs/>
          <w:color w:val="000000" w:themeColor="text1"/>
          <w:kern w:val="0"/>
          <w:szCs w:val="24"/>
          <w:lang w:val="zh-CN"/>
          <w14:textFill>
            <w14:solidFill>
              <w14:schemeClr w14:val="tx1"/>
            </w14:solidFill>
          </w14:textFill>
        </w:rPr>
        <w:t>福渠</w:t>
      </w:r>
      <w:r>
        <w:rPr>
          <w:rFonts w:hint="eastAsia" w:cs="Times New Roman"/>
          <w:b/>
          <w:bCs/>
          <w:color w:val="000000" w:themeColor="text1"/>
          <w:kern w:val="0"/>
          <w:szCs w:val="24"/>
          <w:lang w:val="zh-CN"/>
          <w14:textFill>
            <w14:solidFill>
              <w14:schemeClr w14:val="tx1"/>
            </w14:solidFill>
          </w14:textFill>
        </w:rPr>
        <w:t>简介</w:t>
      </w:r>
    </w:p>
    <w:p w14:paraId="0DD63539">
      <w:pPr>
        <w:ind w:firstLine="480"/>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福渠原名高干渠，渠道灌区依托东张水库。灌区范围内涉及7个街道和10个乡镇，设计灌溉面积30.3万亩，总人口123.7万人。灌区渠系建于1958年，主要由高干渠、低干渠、天宝渠、江阴西渠和43条支渠组成，总长度410.8km。</w:t>
      </w:r>
    </w:p>
    <w:p w14:paraId="6BC4FA1A">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w:t>
      </w:r>
      <w:r>
        <w:rPr>
          <w:b/>
          <w:bCs/>
          <w:color w:val="000000" w:themeColor="text1"/>
          <w:lang w:val="zh-CN"/>
          <w14:textFill>
            <w14:solidFill>
              <w14:schemeClr w14:val="tx1"/>
            </w14:solidFill>
          </w14:textFill>
        </w:rPr>
        <w:t>改</w:t>
      </w:r>
      <w:r>
        <w:rPr>
          <w:rFonts w:hint="eastAsia"/>
          <w:b/>
          <w:bCs/>
          <w:color w:val="000000" w:themeColor="text1"/>
          <w:lang w:val="zh-CN"/>
          <w14:textFill>
            <w14:solidFill>
              <w14:schemeClr w14:val="tx1"/>
            </w14:solidFill>
          </w14:textFill>
        </w:rPr>
        <w:t>渠工程</w:t>
      </w:r>
    </w:p>
    <w:p w14:paraId="650F6504">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本工程东张福渠改线段位于渔溪镇上张村林泉，所在渠道下游起于福渠林泉支渠，上游至旅游公路所影响渠道范围，涉及东张福渠全长245m；</w:t>
      </w:r>
      <w:r>
        <w:rPr>
          <w:rFonts w:cs="Times New Roman"/>
          <w:color w:val="000000" w:themeColor="text1"/>
          <w:kern w:val="0"/>
          <w:szCs w:val="24"/>
          <w:lang w:val="zh-CN"/>
          <w14:textFill>
            <w14:solidFill>
              <w14:schemeClr w14:val="tx1"/>
            </w14:solidFill>
          </w14:textFill>
        </w:rPr>
        <w:t>包含</w:t>
      </w:r>
      <w:r>
        <w:rPr>
          <w:rFonts w:hint="eastAsia" w:cs="Times New Roman"/>
          <w:color w:val="000000" w:themeColor="text1"/>
          <w:kern w:val="0"/>
          <w:szCs w:val="24"/>
          <w:lang w:val="zh-CN"/>
          <w14:textFill>
            <w14:solidFill>
              <w14:schemeClr w14:val="tx1"/>
            </w14:solidFill>
          </w14:textFill>
        </w:rPr>
        <w:t>①</w:t>
      </w:r>
      <w:r>
        <w:rPr>
          <w:rFonts w:cs="Times New Roman"/>
          <w:color w:val="000000" w:themeColor="text1"/>
          <w:kern w:val="0"/>
          <w:szCs w:val="24"/>
          <w:lang w:val="zh-CN"/>
          <w14:textFill>
            <w14:solidFill>
              <w14:schemeClr w14:val="tx1"/>
            </w14:solidFill>
          </w14:textFill>
        </w:rPr>
        <w:t>福渠干渠向山体内侧调整改线，主要采用混凝土明渠梯形断面</w:t>
      </w:r>
      <w:r>
        <w:rPr>
          <w:rFonts w:hint="eastAsia" w:cs="Times New Roman"/>
          <w:color w:val="000000" w:themeColor="text1"/>
          <w:kern w:val="0"/>
          <w:szCs w:val="24"/>
          <w:lang w:val="zh-CN"/>
          <w14:textFill>
            <w14:solidFill>
              <w14:schemeClr w14:val="tx1"/>
            </w14:solidFill>
          </w14:textFill>
        </w:rPr>
        <w:t>形式</w:t>
      </w:r>
      <w:r>
        <w:rPr>
          <w:rFonts w:cs="Times New Roman"/>
          <w:color w:val="000000" w:themeColor="text1"/>
          <w:kern w:val="0"/>
          <w:szCs w:val="24"/>
          <w:lang w:val="zh-CN"/>
          <w14:textFill>
            <w14:solidFill>
              <w14:schemeClr w14:val="tx1"/>
            </w14:solidFill>
          </w14:textFill>
        </w:rPr>
        <w:t>，长229m；</w:t>
      </w:r>
      <w:r>
        <w:rPr>
          <w:rFonts w:hint="eastAsia" w:cs="Times New Roman"/>
          <w:color w:val="000000" w:themeColor="text1"/>
          <w:kern w:val="0"/>
          <w:szCs w:val="24"/>
          <w:lang w:val="zh-CN"/>
          <w14:textFill>
            <w14:solidFill>
              <w14:schemeClr w14:val="tx1"/>
            </w14:solidFill>
          </w14:textFill>
        </w:rPr>
        <w:t>②</w:t>
      </w:r>
      <w:r>
        <w:rPr>
          <w:rFonts w:cs="Times New Roman"/>
          <w:color w:val="000000" w:themeColor="text1"/>
          <w:kern w:val="0"/>
          <w:szCs w:val="24"/>
          <w:lang w:val="zh-CN"/>
          <w14:textFill>
            <w14:solidFill>
              <w14:schemeClr w14:val="tx1"/>
            </w14:solidFill>
          </w14:textFill>
        </w:rPr>
        <w:t>福渠右岸现有道路恢复，采用混凝土路面，长245m</w:t>
      </w:r>
      <w:r>
        <w:rPr>
          <w:rFonts w:hint="eastAsia" w:cs="Times New Roman"/>
          <w:color w:val="000000" w:themeColor="text1"/>
          <w:kern w:val="0"/>
          <w:szCs w:val="24"/>
          <w:lang w:val="zh-CN"/>
          <w14:textFill>
            <w14:solidFill>
              <w14:schemeClr w14:val="tx1"/>
            </w14:solidFill>
          </w14:textFill>
        </w:rPr>
        <w:t>（改路5）</w:t>
      </w:r>
      <w:r>
        <w:rPr>
          <w:rFonts w:cs="Times New Roman"/>
          <w:color w:val="000000" w:themeColor="text1"/>
          <w:kern w:val="0"/>
          <w:szCs w:val="24"/>
          <w:lang w:val="zh-CN"/>
          <w14:textFill>
            <w14:solidFill>
              <w14:schemeClr w14:val="tx1"/>
            </w14:solidFill>
          </w14:textFill>
        </w:rPr>
        <w:t>；</w:t>
      </w:r>
      <w:r>
        <w:rPr>
          <w:rFonts w:hint="eastAsia" w:cs="Times New Roman"/>
          <w:color w:val="000000" w:themeColor="text1"/>
          <w:kern w:val="0"/>
          <w:szCs w:val="24"/>
          <w:lang w:val="zh-CN"/>
          <w14:textFill>
            <w14:solidFill>
              <w14:schemeClr w14:val="tx1"/>
            </w14:solidFill>
          </w14:textFill>
        </w:rPr>
        <w:t>③</w:t>
      </w:r>
      <w:r>
        <w:rPr>
          <w:rFonts w:cs="Times New Roman"/>
          <w:color w:val="000000" w:themeColor="text1"/>
          <w:kern w:val="0"/>
          <w:szCs w:val="24"/>
          <w:lang w:val="zh-CN"/>
          <w14:textFill>
            <w14:solidFill>
              <w14:schemeClr w14:val="tx1"/>
            </w14:solidFill>
          </w14:textFill>
        </w:rPr>
        <w:t>跨渠箱涵1座，净宽 6.0m，净高 3.5m；</w:t>
      </w:r>
      <w:r>
        <w:rPr>
          <w:rFonts w:hint="eastAsia" w:cs="Times New Roman"/>
          <w:color w:val="000000" w:themeColor="text1"/>
          <w:kern w:val="0"/>
          <w:szCs w:val="24"/>
          <w:lang w:val="zh-CN"/>
          <w14:textFill>
            <w14:solidFill>
              <w14:schemeClr w14:val="tx1"/>
            </w14:solidFill>
          </w14:textFill>
        </w:rPr>
        <w:t>④</w:t>
      </w:r>
      <w:r>
        <w:rPr>
          <w:rFonts w:cs="Times New Roman"/>
          <w:color w:val="000000" w:themeColor="text1"/>
          <w:kern w:val="0"/>
          <w:szCs w:val="24"/>
          <w:lang w:val="zh-CN"/>
          <w14:textFill>
            <w14:solidFill>
              <w14:schemeClr w14:val="tx1"/>
            </w14:solidFill>
          </w14:textFill>
        </w:rPr>
        <w:t>支渠渡槽1座，长35m，渡槽前后连接段共10m。</w:t>
      </w:r>
    </w:p>
    <w:p w14:paraId="3DE76083">
      <w:pPr>
        <w:pStyle w:val="120"/>
        <w:rPr>
          <w:color w:val="000000" w:themeColor="text1"/>
          <w14:textFill>
            <w14:solidFill>
              <w14:schemeClr w14:val="tx1"/>
            </w14:solidFill>
          </w14:textFill>
        </w:rPr>
      </w:pPr>
      <w:r>
        <w:rPr>
          <w:color w:val="000000" w:themeColor="text1"/>
          <w14:textFill>
            <w14:solidFill>
              <w14:schemeClr w14:val="tx1"/>
            </w14:solidFill>
          </w14:textFill>
        </w:rPr>
        <w:t>交通工程</w:t>
      </w:r>
    </w:p>
    <w:p w14:paraId="0B09013D">
      <w:pPr>
        <w:ind w:firstLine="480"/>
        <w:rPr>
          <w:color w:val="000000" w:themeColor="text1"/>
          <w:spacing w:val="1"/>
          <w14:textFill>
            <w14:solidFill>
              <w14:schemeClr w14:val="tx1"/>
            </w14:solidFill>
          </w14:textFill>
        </w:rPr>
      </w:pPr>
      <w:r>
        <w:rPr>
          <w:rFonts w:hint="eastAsia"/>
          <w:color w:val="000000" w:themeColor="text1"/>
          <w:lang w:val="zh-CN"/>
          <w14:textFill>
            <w14:solidFill>
              <w14:schemeClr w14:val="tx1"/>
            </w14:solidFill>
          </w14:textFill>
        </w:rPr>
        <w:t>（1）</w:t>
      </w:r>
      <w:r>
        <w:rPr>
          <w:color w:val="000000" w:themeColor="text1"/>
          <w:lang w:val="zh-CN"/>
          <w14:textFill>
            <w14:solidFill>
              <w14:schemeClr w14:val="tx1"/>
            </w14:solidFill>
          </w14:textFill>
        </w:rPr>
        <w:t>交通安全设施</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本项目交通安全设施设计内容包括：交通标志、标线、护栏、隔离栅、视线诱导设施、</w:t>
      </w:r>
      <w:bookmarkStart w:id="287" w:name="hmcheck_4ee09ef6e4ac4a5dae0f339d4cf22c46"/>
      <w:r>
        <w:rPr>
          <w:color w:val="000000" w:themeColor="text1"/>
          <w:shd w:val="clear" w:fill="FFAFAA"/>
          <w:lang w:val="zh-CN"/>
          <w14:textFill>
            <w14:solidFill>
              <w14:schemeClr w14:val="tx1"/>
            </w14:solidFill>
          </w14:textFill>
        </w:rPr>
        <w:t>里程牌</w:t>
      </w:r>
      <w:bookmarkEnd w:id="287"/>
      <w:r>
        <w:rPr>
          <w:color w:val="000000" w:themeColor="text1"/>
          <w:lang w:val="zh-CN"/>
          <w14:textFill>
            <w14:solidFill>
              <w14:schemeClr w14:val="tx1"/>
            </w14:solidFill>
          </w14:textFill>
        </w:rPr>
        <w:t>及百米牌等。</w:t>
      </w:r>
    </w:p>
    <w:p w14:paraId="5606C43F">
      <w:pPr>
        <w:ind w:firstLine="482"/>
        <w:rPr>
          <w:color w:val="000000" w:themeColor="text1"/>
          <w:lang w:val="zh-CN"/>
          <w14:textFill>
            <w14:solidFill>
              <w14:schemeClr w14:val="tx1"/>
            </w14:solidFill>
          </w14:textFill>
        </w:rPr>
      </w:pPr>
      <w:r>
        <w:rPr>
          <w:rFonts w:hint="eastAsia"/>
          <w:color w:val="000000" w:themeColor="text1"/>
          <w:spacing w:val="1"/>
          <w14:textFill>
            <w14:solidFill>
              <w14:schemeClr w14:val="tx1"/>
            </w14:solidFill>
          </w14:textFill>
        </w:rPr>
        <w:t>（2）智慧交通：</w:t>
      </w:r>
      <w:r>
        <w:rPr>
          <w:color w:val="000000" w:themeColor="text1"/>
          <w:lang w:val="zh-CN"/>
          <w14:textFill>
            <w14:solidFill>
              <w14:schemeClr w14:val="tx1"/>
            </w14:solidFill>
          </w14:textFill>
        </w:rPr>
        <w:t>本项目黄檗山万福寺旅游公路沿线小半径路段车辆行驶过程中容易因视距受限造成交通事故。针对小半径弯道路段的视距受限等需求，拟在</w:t>
      </w:r>
      <w:bookmarkStart w:id="288" w:name="hmcheck_3ffb91dab1e541789e9eea5508649a43"/>
      <w:r>
        <w:rPr>
          <w:color w:val="000000" w:themeColor="text1"/>
          <w:shd w:val="clear" w:fill="FFAFAA"/>
          <w:lang w:val="zh-CN"/>
          <w14:textFill>
            <w14:solidFill>
              <w14:schemeClr w14:val="tx1"/>
            </w14:solidFill>
          </w14:textFill>
        </w:rPr>
        <w:t>黄檗</w:t>
      </w:r>
      <w:bookmarkEnd w:id="288"/>
      <w:r>
        <w:rPr>
          <w:color w:val="000000" w:themeColor="text1"/>
          <w:lang w:val="zh-CN"/>
          <w14:textFill>
            <w14:solidFill>
              <w14:schemeClr w14:val="tx1"/>
            </w14:solidFill>
          </w14:textFill>
        </w:rPr>
        <w:t>山万福寺旅游公路小半径弯道路段设置弯道会车监测预警系统，即在小半径路段的两侧分别</w:t>
      </w:r>
      <w:r>
        <w:rPr>
          <w:rFonts w:hint="eastAsia"/>
          <w:color w:val="000000" w:themeColor="text1"/>
          <w:lang w:val="zh-CN"/>
          <w14:textFill>
            <w14:solidFill>
              <w14:schemeClr w14:val="tx1"/>
            </w14:solidFill>
          </w14:textFill>
        </w:rPr>
        <w:t>加装</w:t>
      </w:r>
      <w:r>
        <w:rPr>
          <w:color w:val="000000" w:themeColor="text1"/>
          <w:lang w:val="zh-CN"/>
          <w14:textFill>
            <w14:solidFill>
              <w14:schemeClr w14:val="tx1"/>
            </w14:solidFill>
          </w14:textFill>
        </w:rPr>
        <w:t>会车警示单元检测对向车辆并通过无线通知小半径路段后方的警示单元收到对向来车信息，保障弯道路段行车安全。</w:t>
      </w:r>
    </w:p>
    <w:p w14:paraId="0CBCF7B5">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（3）简易公交站台：6处，K</w:t>
      </w:r>
      <w:r>
        <w:rPr>
          <w:color w:val="000000" w:themeColor="text1"/>
          <w:lang w:val="zh-CN"/>
          <w14:textFill>
            <w14:solidFill>
              <w14:schemeClr w14:val="tx1"/>
            </w14:solidFill>
          </w14:textFill>
        </w:rPr>
        <w:t>0+076</w:t>
      </w:r>
      <w:r>
        <w:rPr>
          <w:rFonts w:hint="eastAsia"/>
          <w:color w:val="000000" w:themeColor="text1"/>
          <w:lang w:val="zh-CN"/>
          <w14:textFill>
            <w14:solidFill>
              <w14:schemeClr w14:val="tx1"/>
            </w14:solidFill>
          </w14:textFill>
        </w:rPr>
        <w:t>路左，K</w:t>
      </w:r>
      <w:r>
        <w:rPr>
          <w:color w:val="000000" w:themeColor="text1"/>
          <w:lang w:val="zh-CN"/>
          <w14:textFill>
            <w14:solidFill>
              <w14:schemeClr w14:val="tx1"/>
            </w14:solidFill>
          </w14:textFill>
        </w:rPr>
        <w:t>0+190</w:t>
      </w:r>
      <w:r>
        <w:rPr>
          <w:rFonts w:hint="eastAsia"/>
          <w:color w:val="000000" w:themeColor="text1"/>
          <w:lang w:val="zh-CN"/>
          <w14:textFill>
            <w14:solidFill>
              <w14:schemeClr w14:val="tx1"/>
            </w14:solidFill>
          </w14:textFill>
        </w:rPr>
        <w:t>路右；K</w:t>
      </w:r>
      <w:r>
        <w:rPr>
          <w:color w:val="000000" w:themeColor="text1"/>
          <w:lang w:val="zh-CN"/>
          <w14:textFill>
            <w14:solidFill>
              <w14:schemeClr w14:val="tx1"/>
            </w14:solidFill>
          </w14:textFill>
        </w:rPr>
        <w:t>1+496</w:t>
      </w:r>
      <w:r>
        <w:rPr>
          <w:rFonts w:hint="eastAsia"/>
          <w:color w:val="000000" w:themeColor="text1"/>
          <w:lang w:val="zh-CN"/>
          <w14:textFill>
            <w14:solidFill>
              <w14:schemeClr w14:val="tx1"/>
            </w14:solidFill>
          </w14:textFill>
        </w:rPr>
        <w:t>路右，K</w:t>
      </w:r>
      <w:r>
        <w:rPr>
          <w:color w:val="000000" w:themeColor="text1"/>
          <w:lang w:val="zh-CN"/>
          <w14:textFill>
            <w14:solidFill>
              <w14:schemeClr w14:val="tx1"/>
            </w14:solidFill>
          </w14:textFill>
        </w:rPr>
        <w:t>1+629</w:t>
      </w:r>
      <w:r>
        <w:rPr>
          <w:rFonts w:hint="eastAsia"/>
          <w:color w:val="000000" w:themeColor="text1"/>
          <w:lang w:val="zh-CN"/>
          <w14:textFill>
            <w14:solidFill>
              <w14:schemeClr w14:val="tx1"/>
            </w14:solidFill>
          </w14:textFill>
        </w:rPr>
        <w:t>路左，K</w:t>
      </w:r>
      <w:r>
        <w:rPr>
          <w:color w:val="000000" w:themeColor="text1"/>
          <w:lang w:val="zh-CN"/>
          <w14:textFill>
            <w14:solidFill>
              <w14:schemeClr w14:val="tx1"/>
            </w14:solidFill>
          </w14:textFill>
        </w:rPr>
        <w:t>1+495</w:t>
      </w:r>
      <w:r>
        <w:rPr>
          <w:rFonts w:hint="eastAsia"/>
          <w:color w:val="000000" w:themeColor="text1"/>
          <w:lang w:val="zh-CN"/>
          <w14:textFill>
            <w14:solidFill>
              <w14:schemeClr w14:val="tx1"/>
            </w14:solidFill>
          </w14:textFill>
        </w:rPr>
        <w:t>路右；K</w:t>
      </w:r>
      <w:r>
        <w:rPr>
          <w:color w:val="000000" w:themeColor="text1"/>
          <w:lang w:val="zh-CN"/>
          <w14:textFill>
            <w14:solidFill>
              <w14:schemeClr w14:val="tx1"/>
            </w14:solidFill>
          </w14:textFill>
        </w:rPr>
        <w:t>3+200</w:t>
      </w:r>
      <w:r>
        <w:rPr>
          <w:rFonts w:hint="eastAsia"/>
          <w:color w:val="000000" w:themeColor="text1"/>
          <w:lang w:val="zh-CN"/>
          <w14:textFill>
            <w14:solidFill>
              <w14:schemeClr w14:val="tx1"/>
            </w14:solidFill>
          </w14:textFill>
        </w:rPr>
        <w:t>路左，K</w:t>
      </w:r>
      <w:r>
        <w:rPr>
          <w:color w:val="000000" w:themeColor="text1"/>
          <w:lang w:val="zh-CN"/>
          <w14:textFill>
            <w14:solidFill>
              <w14:schemeClr w14:val="tx1"/>
            </w14:solidFill>
          </w14:textFill>
        </w:rPr>
        <w:t>3+320</w:t>
      </w:r>
      <w:r>
        <w:rPr>
          <w:rFonts w:hint="eastAsia"/>
          <w:color w:val="000000" w:themeColor="text1"/>
          <w:lang w:val="zh-CN"/>
          <w14:textFill>
            <w14:solidFill>
              <w14:schemeClr w14:val="tx1"/>
            </w14:solidFill>
          </w14:textFill>
        </w:rPr>
        <w:t>路右。</w:t>
      </w:r>
    </w:p>
    <w:p w14:paraId="4103FC39">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绿化工程</w:t>
      </w:r>
    </w:p>
    <w:p w14:paraId="673038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沿线绿化布置形式力求简洁明快、经济实用，植物配置变化而统一，以</w:t>
      </w:r>
      <w:bookmarkStart w:id="289" w:name="hmcheck_215b250bf45a4624b1c23a811f934807"/>
      <w:r>
        <w:rPr>
          <w:rFonts w:hint="eastAsia"/>
          <w:color w:val="000000" w:themeColor="text1"/>
          <w:shd w:val="clear" w:fill="FFAFAA"/>
          <w14:textFill>
            <w14:solidFill>
              <w14:schemeClr w14:val="tx1"/>
            </w14:solidFill>
          </w14:textFill>
        </w:rPr>
        <w:t>线性</w:t>
      </w:r>
      <w:bookmarkEnd w:id="289"/>
      <w:r>
        <w:rPr>
          <w:rFonts w:hint="eastAsia"/>
          <w:color w:val="000000" w:themeColor="text1"/>
          <w14:textFill>
            <w14:solidFill>
              <w14:schemeClr w14:val="tx1"/>
            </w14:solidFill>
          </w14:textFill>
        </w:rPr>
        <w:t>种植为主要布置形式，采用的植物主要考虑耐贫瘠、耐修剪、易于养护的乡土植物品种。路线起点处设置景观节点，加强本项目的昭示性，沿线停车区设置景观节点，宣传文化特色的同时，突出旅游公路的道路氛围感。</w:t>
      </w:r>
    </w:p>
    <w:p w14:paraId="48559E50">
      <w:pPr>
        <w:ind w:firstLine="480"/>
        <w:rPr>
          <w:rFonts w:cs="Times New Roman"/>
          <w:color w:val="000000" w:themeColor="text1"/>
          <w:kern w:val="0"/>
          <w:szCs w:val="24"/>
          <w:lang w:val="zh-CN"/>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本项目绿化</w:t>
      </w:r>
      <w:r>
        <w:rPr>
          <w:rFonts w:cs="Times New Roman"/>
          <w:color w:val="000000" w:themeColor="text1"/>
          <w:kern w:val="0"/>
          <w:szCs w:val="24"/>
          <w:lang w:val="zh-CN"/>
          <w14:textFill>
            <w14:solidFill>
              <w14:schemeClr w14:val="tx1"/>
            </w14:solidFill>
          </w14:textFill>
        </w:rPr>
        <w:t>内容</w:t>
      </w:r>
      <w:r>
        <w:rPr>
          <w:rFonts w:hint="eastAsia" w:cs="Times New Roman"/>
          <w:color w:val="000000" w:themeColor="text1"/>
          <w:kern w:val="0"/>
          <w:szCs w:val="24"/>
          <w:lang w:val="zh-CN"/>
          <w14:textFill>
            <w14:solidFill>
              <w14:schemeClr w14:val="tx1"/>
            </w14:solidFill>
          </w14:textFill>
        </w:rPr>
        <w:t>包含</w:t>
      </w:r>
      <w:r>
        <w:rPr>
          <w:rFonts w:cs="Times New Roman"/>
          <w:color w:val="000000" w:themeColor="text1"/>
          <w:kern w:val="0"/>
          <w:szCs w:val="24"/>
          <w:lang w:val="zh-CN"/>
          <w14:textFill>
            <w14:solidFill>
              <w14:schemeClr w14:val="tx1"/>
            </w14:solidFill>
          </w14:textFill>
        </w:rPr>
        <w:t>路堤边坡、路堑碎落台绿化设计。路堤边坡选用品种：夹竹桃</w:t>
      </w:r>
      <w:r>
        <w:rPr>
          <w:rFonts w:hint="eastAsia" w:cs="Times New Roman"/>
          <w:color w:val="000000" w:themeColor="text1"/>
          <w:kern w:val="0"/>
          <w:szCs w:val="24"/>
          <w:lang w:val="zh-CN"/>
          <w14:textFill>
            <w14:solidFill>
              <w14:schemeClr w14:val="tx1"/>
            </w14:solidFill>
          </w14:textFill>
        </w:rPr>
        <w:t>、菩提</w:t>
      </w:r>
      <w:r>
        <w:rPr>
          <w:rFonts w:cs="Times New Roman"/>
          <w:color w:val="000000" w:themeColor="text1"/>
          <w:kern w:val="0"/>
          <w:szCs w:val="24"/>
          <w:lang w:val="zh-CN"/>
          <w14:textFill>
            <w14:solidFill>
              <w14:schemeClr w14:val="tx1"/>
            </w14:solidFill>
          </w14:textFill>
        </w:rPr>
        <w:t>；路堑碎落台选用品种：梅花、四季桂</w:t>
      </w:r>
      <w:r>
        <w:rPr>
          <w:rFonts w:hint="eastAsia" w:cs="Times New Roman"/>
          <w:color w:val="000000" w:themeColor="text1"/>
          <w:kern w:val="0"/>
          <w:szCs w:val="24"/>
          <w:lang w:val="zh-CN"/>
          <w14:textFill>
            <w14:solidFill>
              <w14:schemeClr w14:val="tx1"/>
            </w14:solidFill>
          </w14:textFill>
        </w:rPr>
        <w:t>、爬山虎</w:t>
      </w:r>
      <w:r>
        <w:rPr>
          <w:rFonts w:cs="Times New Roman"/>
          <w:color w:val="000000" w:themeColor="text1"/>
          <w:kern w:val="0"/>
          <w:szCs w:val="24"/>
          <w:lang w:val="zh-CN"/>
          <w14:textFill>
            <w14:solidFill>
              <w14:schemeClr w14:val="tx1"/>
            </w14:solidFill>
          </w14:textFill>
        </w:rPr>
        <w:t>。</w:t>
      </w:r>
    </w:p>
    <w:p w14:paraId="018BED8E">
      <w:pPr>
        <w:pStyle w:val="116"/>
        <w:rPr>
          <w:color w:val="000000" w:themeColor="text1"/>
          <w14:textFill>
            <w14:solidFill>
              <w14:schemeClr w14:val="tx1"/>
            </w14:solidFill>
          </w14:textFill>
        </w:rPr>
      </w:pPr>
      <w:bookmarkStart w:id="290" w:name="_Toc193912368"/>
      <w:r>
        <w:rPr>
          <w:rFonts w:hint="eastAsia"/>
          <w:color w:val="000000" w:themeColor="text1"/>
          <w14:textFill>
            <w14:solidFill>
              <w14:schemeClr w14:val="tx1"/>
            </w14:solidFill>
          </w14:textFill>
        </w:rPr>
        <w:t>下穿福厦高铁段落建设情况回顾调查</w:t>
      </w:r>
      <w:bookmarkEnd w:id="290"/>
    </w:p>
    <w:p w14:paraId="588C804D">
      <w:pPr>
        <w:ind w:firstLine="480"/>
        <w:rPr>
          <w:rFonts w:cs="Times New Roman"/>
          <w:color w:val="000000" w:themeColor="text1"/>
          <w:kern w:val="0"/>
          <w:szCs w:val="24"/>
          <w:lang w:val="zh-CN"/>
          <w14:textFill>
            <w14:solidFill>
              <w14:schemeClr w14:val="tx1"/>
            </w14:solidFill>
          </w14:textFill>
        </w:rPr>
      </w:pPr>
      <w:r>
        <w:rPr>
          <w:rFonts w:hint="eastAsia"/>
          <w:color w:val="000000" w:themeColor="text1"/>
          <w14:textFill>
            <w14:solidFill>
              <w14:schemeClr w14:val="tx1"/>
            </w14:solidFill>
          </w14:textFill>
        </w:rPr>
        <w:t>根据《</w:t>
      </w:r>
      <w:r>
        <w:rPr>
          <w:color w:val="000000" w:themeColor="text1"/>
          <w:lang w:val="zh-CN"/>
          <w14:textFill>
            <w14:solidFill>
              <w14:schemeClr w14:val="tx1"/>
            </w14:solidFill>
          </w14:textFill>
        </w:rPr>
        <w:t>福清市十八届政府第6次常务会议纪要</w:t>
      </w:r>
      <w:r>
        <w:rPr>
          <w:rFonts w:hint="eastAsia"/>
          <w:color w:val="000000" w:themeColor="text1"/>
          <w14:textFill>
            <w14:solidFill>
              <w14:schemeClr w14:val="tx1"/>
            </w14:solidFill>
          </w14:textFill>
        </w:rPr>
        <w:t>》（</w:t>
      </w:r>
      <w:r>
        <w:rPr>
          <w:color w:val="000000" w:themeColor="text1"/>
          <w:lang w:val="zh-CN"/>
          <w14:textFill>
            <w14:solidFill>
              <w14:schemeClr w14:val="tx1"/>
            </w14:solidFill>
          </w14:textFill>
        </w:rPr>
        <w:t>〔2022〕11号</w:t>
      </w:r>
      <w:bookmarkStart w:id="291" w:name="hmcheck_51f1fa3e6d984a698011d6ed8abdb061"/>
      <w:r>
        <w:rPr>
          <w:rFonts w:hint="eastAsia"/>
          <w:color w:val="000000" w:themeColor="text1"/>
          <w:shd w:val="clear" w:fill="FFAFAA"/>
          <w14:textFill>
            <w14:solidFill>
              <w14:schemeClr w14:val="tx1"/>
            </w14:solidFill>
          </w14:textFill>
        </w:rPr>
        <w:t>）四</w:t>
      </w:r>
      <w:bookmarkEnd w:id="291"/>
      <w:r>
        <w:rPr>
          <w:rFonts w:hint="eastAsia"/>
          <w:color w:val="000000" w:themeColor="text1"/>
          <w14:textFill>
            <w14:solidFill>
              <w14:schemeClr w14:val="tx1"/>
            </w14:solidFill>
          </w14:textFill>
        </w:rPr>
        <w:t>：</w:t>
      </w:r>
      <w:r>
        <w:rPr>
          <w:color w:val="000000" w:themeColor="text1"/>
          <w:lang w:val="zh-CN"/>
          <w14:textFill>
            <w14:solidFill>
              <w14:schemeClr w14:val="tx1"/>
            </w14:solidFill>
          </w14:textFill>
        </w:rPr>
        <w:t>为进一步扩大黄檗文化影响力，完善黄檗文化旅游园区交通配套设施，会议原则同意渔溪镇提出并经陈克才副市长专题会议研究同意的意见，具体如下：1.鉴于G324 国道至黄檗文化旅游园区旅游公路下穿福</w:t>
      </w:r>
      <w:r>
        <w:rPr>
          <w:rFonts w:cs="Times New Roman"/>
          <w:color w:val="000000" w:themeColor="text1"/>
          <w:kern w:val="0"/>
          <w:szCs w:val="24"/>
          <w:lang w:val="zh-CN"/>
          <w14:textFill>
            <w14:solidFill>
              <w14:schemeClr w14:val="tx1"/>
            </w14:solidFill>
          </w14:textFill>
        </w:rPr>
        <w:t>厦高铁段项目未涉及基本农田和生态林等敏感因素，为避免后期建设与福厦高铁运营干扰，降低工程费用，同意市交通局与渔溪镇提出的建设方案、即先行启动G324 国道至黄檗文化旅游园区旅游公路下穿福厦高铁段项目建设。2.由市交投集团作为G324国道全黄檗文化旅游园区旅游公路下穿福厦高铁段项目业主，尽快启动该项目建设相关工作。由市自然资源和规划局配合市交投集团办理项目涉及用林、用地等前期报批手续。该项目征地拆迁经费由渔溪镇负责，其余相关建设资金由市财政统筹安排。3.由市交通局负责，将G324国道至黄檗文化旅游园区旅游公路作为旅游专用路纳入全市交通路网，积极争取省</w:t>
      </w:r>
      <w:r>
        <w:rPr>
          <w:rFonts w:hint="eastAsia" w:cs="Times New Roman"/>
          <w:color w:val="000000" w:themeColor="text1"/>
          <w:kern w:val="0"/>
          <w:szCs w:val="24"/>
          <w:lang w:val="zh-CN"/>
          <w14:textFill>
            <w14:solidFill>
              <w14:schemeClr w14:val="tx1"/>
            </w14:solidFill>
          </w14:textFill>
        </w:rPr>
        <w:t>交通运输厅</w:t>
      </w:r>
      <w:r>
        <w:rPr>
          <w:rFonts w:cs="Times New Roman"/>
          <w:color w:val="000000" w:themeColor="text1"/>
          <w:kern w:val="0"/>
          <w:szCs w:val="24"/>
          <w:lang w:val="zh-CN"/>
          <w14:textFill>
            <w14:solidFill>
              <w14:schemeClr w14:val="tx1"/>
            </w14:solidFill>
          </w14:textFill>
        </w:rPr>
        <w:t>等上级专项补助。待条件成熟时，由市交投集团作为建设业主单位，</w:t>
      </w:r>
      <w:r>
        <w:rPr>
          <w:rFonts w:cs="Times New Roman"/>
          <w:b/>
          <w:bCs/>
          <w:color w:val="000000" w:themeColor="text1"/>
          <w:kern w:val="0"/>
          <w:szCs w:val="24"/>
          <w:lang w:val="zh-CN"/>
          <w14:textFill>
            <w14:solidFill>
              <w14:schemeClr w14:val="tx1"/>
            </w14:solidFill>
          </w14:textFill>
        </w:rPr>
        <w:t>适时启动整体道路建设</w:t>
      </w:r>
      <w:r>
        <w:rPr>
          <w:rFonts w:cs="Times New Roman"/>
          <w:color w:val="000000" w:themeColor="text1"/>
          <w:kern w:val="0"/>
          <w:szCs w:val="24"/>
          <w:lang w:val="zh-CN"/>
          <w14:textFill>
            <w14:solidFill>
              <w14:schemeClr w14:val="tx1"/>
            </w14:solidFill>
          </w14:textFill>
        </w:rPr>
        <w:t>。</w:t>
      </w:r>
    </w:p>
    <w:p w14:paraId="39B2E81B">
      <w:pPr>
        <w:ind w:firstLine="480"/>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据以上背景，</w:t>
      </w:r>
      <w:r>
        <w:rPr>
          <w:rFonts w:hint="eastAsia"/>
          <w:color w:val="000000" w:themeColor="text1"/>
          <w14:textFill>
            <w14:solidFill>
              <w14:schemeClr w14:val="tx1"/>
            </w14:solidFill>
          </w14:textFill>
        </w:rPr>
        <w:t>G324国道至黄檗文化旅游园区旅游公路下穿福厦高铁段项目于2</w:t>
      </w:r>
      <w:r>
        <w:rPr>
          <w:color w:val="000000" w:themeColor="text1"/>
          <w14:textFill>
            <w14:solidFill>
              <w14:schemeClr w14:val="tx1"/>
            </w14:solidFill>
          </w14:textFill>
        </w:rPr>
        <w:t>022</w:t>
      </w:r>
      <w:r>
        <w:rPr>
          <w:rFonts w:hint="eastAsia"/>
          <w:color w:val="000000" w:themeColor="text1"/>
          <w14:textFill>
            <w14:solidFill>
              <w14:schemeClr w14:val="tx1"/>
            </w14:solidFill>
          </w14:textFill>
        </w:rPr>
        <w:t>年编制可研并单独立项，2</w:t>
      </w:r>
      <w:r>
        <w:rPr>
          <w:color w:val="000000" w:themeColor="text1"/>
          <w14:textFill>
            <w14:solidFill>
              <w14:schemeClr w14:val="tx1"/>
            </w14:solidFill>
          </w14:textFill>
        </w:rPr>
        <w:t>022</w:t>
      </w:r>
      <w:r>
        <w:rPr>
          <w:rFonts w:hint="eastAsia"/>
          <w:color w:val="000000" w:themeColor="text1"/>
          <w14:textFill>
            <w14:solidFill>
              <w14:schemeClr w14:val="tx1"/>
            </w14:solidFill>
          </w14:textFill>
        </w:rPr>
        <w:t>年4月1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日福清市发展和改革局出具《</w:t>
      </w:r>
      <w:r>
        <w:rPr>
          <w:rFonts w:cs="Times New Roman"/>
          <w:color w:val="000000" w:themeColor="text1"/>
          <w:kern w:val="0"/>
          <w:szCs w:val="24"/>
          <w:lang w:val="zh-CN"/>
          <w14:textFill>
            <w14:solidFill>
              <w14:schemeClr w14:val="tx1"/>
            </w14:solidFill>
          </w14:textFill>
        </w:rPr>
        <w:t>关于 G324 国道至黄檗文化旅游园区旅游公路下穿福厦高铁段项目可行性研究报告暨初步设计的批复</w:t>
      </w:r>
      <w:r>
        <w:rPr>
          <w:rFonts w:hint="eastAsia"/>
          <w:color w:val="000000" w:themeColor="text1"/>
          <w14:textFill>
            <w14:solidFill>
              <w14:schemeClr w14:val="tx1"/>
            </w14:solidFill>
          </w14:textFill>
        </w:rPr>
        <w:t>》（</w:t>
      </w:r>
      <w:r>
        <w:rPr>
          <w:rFonts w:cs="Times New Roman"/>
          <w:color w:val="000000" w:themeColor="text1"/>
          <w:kern w:val="0"/>
          <w:szCs w:val="24"/>
          <w:lang w:val="zh-CN"/>
          <w14:textFill>
            <w14:solidFill>
              <w14:schemeClr w14:val="tx1"/>
            </w14:solidFill>
          </w14:textFill>
        </w:rPr>
        <w:t>融发改审批</w:t>
      </w:r>
      <w:r>
        <w:rPr>
          <w:rFonts w:hint="eastAsia" w:cs="Times New Roman"/>
          <w:color w:val="000000" w:themeColor="text1"/>
          <w:kern w:val="0"/>
          <w:szCs w:val="24"/>
          <w:lang w:val="zh-CN"/>
          <w14:textFill>
            <w14:solidFill>
              <w14:schemeClr w14:val="tx1"/>
            </w14:solidFill>
          </w14:textFill>
        </w:rPr>
        <w:t>〔2022〕202号</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项目编码：2203-350181-04-01-304528，</w:t>
      </w:r>
      <w:r>
        <w:rPr>
          <w:rFonts w:hint="eastAsia"/>
          <w:color w:val="000000" w:themeColor="text1"/>
          <w14:textFill>
            <w14:solidFill>
              <w14:schemeClr w14:val="tx1"/>
            </w14:solidFill>
          </w14:textFill>
        </w:rPr>
        <w:t>该项目建设内容和建设规模：项目起点位于福厦高铁泾江大桥东侧340 m，终点至福厦高铁泾江大桥西侧80 m，全长420m（其中桩板桥桥长65米），路基宽度8.5m（其中下穿铁路段路基宽度17.5米），路面宽度16m。公路等级为三级公路，双向两车道，设计行车速度40km/h，沥青混凝土路面。项目于202</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年委托我公司编制《G324国道至黄檗文化旅游园区旅游公路下穿福厦高铁段项目环境影响报告表》，并于2</w:t>
      </w:r>
      <w:r>
        <w:rPr>
          <w:color w:val="000000" w:themeColor="text1"/>
          <w14:textFill>
            <w14:solidFill>
              <w14:schemeClr w14:val="tx1"/>
            </w14:solidFill>
          </w14:textFill>
        </w:rPr>
        <w:t>023</w:t>
      </w:r>
      <w:r>
        <w:rPr>
          <w:rFonts w:hint="eastAsia"/>
          <w:color w:val="000000" w:themeColor="text1"/>
          <w14:textFill>
            <w14:solidFill>
              <w14:schemeClr w14:val="tx1"/>
            </w14:solidFill>
          </w14:textFill>
        </w:rPr>
        <w:t>年1</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月通过福州市福清生态环境局审批，批文号：</w:t>
      </w:r>
      <w:r>
        <w:rPr>
          <w:rFonts w:cs="Times New Roman"/>
          <w:color w:val="000000" w:themeColor="text1"/>
          <w:kern w:val="0"/>
          <w:szCs w:val="24"/>
          <w:lang w:val="zh-CN"/>
          <w14:textFill>
            <w14:solidFill>
              <w14:schemeClr w14:val="tx1"/>
            </w14:solidFill>
          </w14:textFill>
        </w:rPr>
        <w:t>榕融环评〔2023〕102 号</w:t>
      </w:r>
      <w:r>
        <w:rPr>
          <w:rFonts w:hint="eastAsia" w:cs="Times New Roman"/>
          <w:color w:val="000000" w:themeColor="text1"/>
          <w:kern w:val="0"/>
          <w:szCs w:val="24"/>
          <w:lang w:val="zh-CN"/>
          <w14:textFill>
            <w14:solidFill>
              <w14:schemeClr w14:val="tx1"/>
            </w14:solidFill>
          </w14:textFill>
        </w:rPr>
        <w:t>。</w:t>
      </w:r>
    </w:p>
    <w:p w14:paraId="527D76E0">
      <w:pPr>
        <w:ind w:firstLine="480"/>
        <w:rPr>
          <w:rFonts w:cs="Times New Roman"/>
          <w:color w:val="000000" w:themeColor="text1"/>
          <w:kern w:val="0"/>
          <w:szCs w:val="24"/>
          <w:lang w:val="zh-CN"/>
          <w14:textFill>
            <w14:solidFill>
              <w14:schemeClr w14:val="tx1"/>
            </w14:solidFill>
          </w14:textFill>
        </w:rPr>
      </w:pPr>
      <w:r>
        <w:rPr>
          <w:rFonts w:hint="eastAsia"/>
          <w:color w:val="000000" w:themeColor="text1"/>
          <w14:textFill>
            <w14:solidFill>
              <w14:schemeClr w14:val="tx1"/>
            </w14:solidFill>
          </w14:textFill>
        </w:rPr>
        <w:t>根据现场调查及回顾调查，该工程于2</w:t>
      </w:r>
      <w:r>
        <w:rPr>
          <w:color w:val="000000" w:themeColor="text1"/>
          <w14:textFill>
            <w14:solidFill>
              <w14:schemeClr w14:val="tx1"/>
            </w14:solidFill>
          </w14:textFill>
        </w:rPr>
        <w:t>023</w:t>
      </w:r>
      <w:r>
        <w:rPr>
          <w:rFonts w:hint="eastAsia"/>
          <w:color w:val="000000" w:themeColor="text1"/>
          <w14:textFill>
            <w14:solidFill>
              <w14:schemeClr w14:val="tx1"/>
            </w14:solidFill>
          </w14:textFill>
        </w:rPr>
        <w:t>年6月1</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日完工，总投资1</w:t>
      </w:r>
      <w:r>
        <w:rPr>
          <w:color w:val="000000" w:themeColor="text1"/>
          <w14:textFill>
            <w14:solidFill>
              <w14:schemeClr w14:val="tx1"/>
            </w14:solidFill>
          </w14:textFill>
        </w:rPr>
        <w:t>971.08</w:t>
      </w:r>
      <w:r>
        <w:rPr>
          <w:rFonts w:hint="eastAsia"/>
          <w:color w:val="000000" w:themeColor="text1"/>
          <w14:textFill>
            <w14:solidFill>
              <w14:schemeClr w14:val="tx1"/>
            </w14:solidFill>
          </w14:textFill>
        </w:rPr>
        <w:t>万元。实际完成情况：</w:t>
      </w:r>
      <w:r>
        <w:rPr>
          <w:color w:val="000000" w:themeColor="text1"/>
          <w14:textFill>
            <w14:solidFill>
              <w14:schemeClr w14:val="tx1"/>
            </w14:solidFill>
          </w14:textFill>
        </w:rPr>
        <w:t>K1+324.8~K1+389.8段（65m</w:t>
      </w:r>
      <w:r>
        <w:rPr>
          <w:rFonts w:hint="eastAsia"/>
          <w:color w:val="000000" w:themeColor="text1"/>
          <w14:textFill>
            <w14:solidFill>
              <w14:schemeClr w14:val="tx1"/>
            </w14:solidFill>
          </w14:textFill>
        </w:rPr>
        <w:t>的桩板桥</w:t>
      </w:r>
      <w:r>
        <w:rPr>
          <w:color w:val="000000" w:themeColor="text1"/>
          <w14:textFill>
            <w14:solidFill>
              <w14:schemeClr w14:val="tx1"/>
            </w14:solidFill>
          </w14:textFill>
        </w:rPr>
        <w:t>）已完成施工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K1+030~K1+324.8段</w:t>
      </w:r>
      <w:r>
        <w:rPr>
          <w:rFonts w:hint="eastAsia"/>
          <w:color w:val="000000" w:themeColor="text1"/>
          <w14:textFill>
            <w14:solidFill>
              <w14:schemeClr w14:val="tx1"/>
            </w14:solidFill>
          </w14:textFill>
        </w:rPr>
        <w:t>已完成路基及边坡</w:t>
      </w:r>
      <w:r>
        <w:rPr>
          <w:color w:val="000000" w:themeColor="text1"/>
          <w14:textFill>
            <w14:solidFill>
              <w14:schemeClr w14:val="tx1"/>
            </w14:solidFill>
          </w14:textFill>
        </w:rPr>
        <w:t>防护工程</w:t>
      </w:r>
      <w:r>
        <w:rPr>
          <w:rFonts w:hint="eastAsia"/>
          <w:color w:val="000000" w:themeColor="text1"/>
          <w14:textFill>
            <w14:solidFill>
              <w14:schemeClr w14:val="tx1"/>
            </w14:solidFill>
          </w14:textFill>
        </w:rPr>
        <w:t>，路面未完成。已建</w:t>
      </w:r>
      <w:r>
        <w:rPr>
          <w:rFonts w:cs="Times New Roman"/>
          <w:color w:val="000000" w:themeColor="text1"/>
          <w:kern w:val="0"/>
          <w:szCs w:val="24"/>
          <w:lang w:val="zh-CN"/>
          <w14:textFill>
            <w14:solidFill>
              <w14:schemeClr w14:val="tx1"/>
            </w14:solidFill>
          </w14:textFill>
        </w:rPr>
        <w:t>下穿铁路段的路基宽度为17.5m，采用双向</w:t>
      </w:r>
      <w:r>
        <w:rPr>
          <w:rFonts w:hint="eastAsia" w:cs="Times New Roman"/>
          <w:color w:val="000000" w:themeColor="text1"/>
          <w:kern w:val="0"/>
          <w:szCs w:val="24"/>
          <w:lang w:val="zh-CN"/>
          <w14:textFill>
            <w14:solidFill>
              <w14:schemeClr w14:val="tx1"/>
            </w14:solidFill>
          </w14:textFill>
        </w:rPr>
        <w:t>四车</w:t>
      </w:r>
      <w:r>
        <w:rPr>
          <w:rFonts w:cs="Times New Roman"/>
          <w:color w:val="000000" w:themeColor="text1"/>
          <w:kern w:val="0"/>
          <w:szCs w:val="24"/>
          <w:lang w:val="zh-CN"/>
          <w14:textFill>
            <w14:solidFill>
              <w14:schemeClr w14:val="tx1"/>
            </w14:solidFill>
          </w14:textFill>
        </w:rPr>
        <w:t>道布置</w:t>
      </w:r>
      <w:r>
        <w:rPr>
          <w:rFonts w:hint="eastAsia" w:cs="Times New Roman"/>
          <w:color w:val="000000" w:themeColor="text1"/>
          <w:kern w:val="0"/>
          <w:szCs w:val="24"/>
          <w:lang w:val="zh-CN"/>
          <w14:textFill>
            <w14:solidFill>
              <w14:schemeClr w14:val="tx1"/>
            </w14:solidFill>
          </w14:textFill>
        </w:rPr>
        <w:t>（含远期预留两车道）</w:t>
      </w:r>
      <w:r>
        <w:rPr>
          <w:rFonts w:cs="Times New Roman"/>
          <w:color w:val="000000" w:themeColor="text1"/>
          <w:kern w:val="0"/>
          <w:szCs w:val="24"/>
          <w:lang w:val="zh-CN"/>
          <w14:textFill>
            <w14:solidFill>
              <w14:schemeClr w14:val="tx1"/>
            </w14:solidFill>
          </w14:textFill>
        </w:rPr>
        <w:t>，与福厦高铁交叉位置的中心里程为K1+483.61（铁路交叉在建里程为DK48+862.31），采用桩板结构从7#、8#桥墩之间下穿铁路，交叉角度为69。铁路梁底标高为45.285m，路面中线设计标高为15.776m，净高约29.5m。路基结构最外侧边缘距离铁路桥墩的最小距离为3.2m。基底设置钻孔灌注桩，间距横向6.0m，纵向5.0m，桩径1.0m，桩长13m，设计单桩承载力不小于1912KN；桩顶设置C35钢筋混凝土板梁，厚0.8m，基底浇筑0.1m厚C15垫层。车行道两侧设置HA防撞护栏。</w:t>
      </w:r>
    </w:p>
    <w:p w14:paraId="0A5A58E8">
      <w:pPr>
        <w:ind w:firstLine="480"/>
        <w:rPr>
          <w:color w:val="000000" w:themeColor="text1"/>
          <w14:textFill>
            <w14:solidFill>
              <w14:schemeClr w14:val="tx1"/>
            </w14:solidFill>
          </w14:textFill>
        </w:rPr>
      </w:pPr>
      <w:r>
        <w:rPr>
          <w:rFonts w:hint="eastAsia" w:cs="Times New Roman"/>
          <w:color w:val="000000" w:themeColor="text1"/>
          <w:kern w:val="0"/>
          <w:szCs w:val="24"/>
          <w:lang w:val="zh-CN"/>
          <w14:textFill>
            <w14:solidFill>
              <w14:schemeClr w14:val="tx1"/>
            </w14:solidFill>
          </w14:textFill>
        </w:rPr>
        <w:t>由于</w:t>
      </w:r>
      <w:r>
        <w:rPr>
          <w:rFonts w:hint="eastAsia"/>
          <w:color w:val="000000" w:themeColor="text1"/>
          <w14:textFill>
            <w14:solidFill>
              <w14:schemeClr w14:val="tx1"/>
            </w14:solidFill>
          </w14:textFill>
        </w:rPr>
        <w:t>下穿福厦高铁段项目是本项目提前实施的一段，现状前后均为断头路（未通车），故该工程未开展竣工环保验收调查。</w:t>
      </w:r>
    </w:p>
    <w:p w14:paraId="5C938ECB">
      <w:pPr>
        <w:pStyle w:val="116"/>
        <w:rPr>
          <w:color w:val="000000" w:themeColor="text1"/>
          <w14:textFill>
            <w14:solidFill>
              <w14:schemeClr w14:val="tx1"/>
            </w14:solidFill>
          </w14:textFill>
        </w:rPr>
      </w:pPr>
      <w:bookmarkStart w:id="292" w:name="_Toc159405462"/>
      <w:bookmarkStart w:id="293" w:name="_Toc193912369"/>
      <w:bookmarkStart w:id="294" w:name="_Toc30942"/>
      <w:r>
        <w:rPr>
          <w:color w:val="000000" w:themeColor="text1"/>
          <w14:textFill>
            <w14:solidFill>
              <w14:schemeClr w14:val="tx1"/>
            </w14:solidFill>
          </w14:textFill>
        </w:rPr>
        <w:t>占地与拆迁情况</w:t>
      </w:r>
      <w:bookmarkEnd w:id="292"/>
      <w:bookmarkEnd w:id="293"/>
      <w:bookmarkEnd w:id="294"/>
    </w:p>
    <w:p w14:paraId="36447F5B">
      <w:pPr>
        <w:pStyle w:val="120"/>
        <w:rPr>
          <w:color w:val="000000" w:themeColor="text1"/>
          <w14:textFill>
            <w14:solidFill>
              <w14:schemeClr w14:val="tx1"/>
            </w14:solidFill>
          </w14:textFill>
        </w:rPr>
      </w:pPr>
      <w:bookmarkStart w:id="295" w:name="2.5.1项目占地"/>
      <w:bookmarkEnd w:id="295"/>
      <w:r>
        <w:rPr>
          <w:color w:val="000000" w:themeColor="text1"/>
          <w14:textFill>
            <w14:solidFill>
              <w14:schemeClr w14:val="tx1"/>
            </w14:solidFill>
          </w14:textFill>
        </w:rPr>
        <w:t>项目占地</w:t>
      </w:r>
    </w:p>
    <w:p w14:paraId="5054B6AE">
      <w:pPr>
        <w:ind w:firstLine="466"/>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（1）主体工程征占地说明</w:t>
      </w:r>
    </w:p>
    <w:p w14:paraId="16A931AD">
      <w:pPr>
        <w:ind w:firstLine="466"/>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202</w:t>
      </w:r>
      <w:r>
        <w:rPr>
          <w:color w:val="000000" w:themeColor="text1"/>
          <w:spacing w:val="-7"/>
          <w14:textFill>
            <w14:solidFill>
              <w14:schemeClr w14:val="tx1"/>
            </w14:solidFill>
          </w14:textFill>
        </w:rPr>
        <w:t>4</w:t>
      </w:r>
      <w:r>
        <w:rPr>
          <w:rFonts w:hint="eastAsia"/>
          <w:color w:val="000000" w:themeColor="text1"/>
          <w:spacing w:val="-7"/>
          <w14:textFill>
            <w14:solidFill>
              <w14:schemeClr w14:val="tx1"/>
            </w14:solidFill>
          </w14:textFill>
        </w:rPr>
        <w:t>年</w:t>
      </w:r>
      <w:r>
        <w:rPr>
          <w:color w:val="000000" w:themeColor="text1"/>
          <w:spacing w:val="-7"/>
          <w14:textFill>
            <w14:solidFill>
              <w14:schemeClr w14:val="tx1"/>
            </w14:solidFill>
          </w14:textFill>
        </w:rPr>
        <w:t>3</w:t>
      </w:r>
      <w:r>
        <w:rPr>
          <w:rFonts w:hint="eastAsia"/>
          <w:color w:val="000000" w:themeColor="text1"/>
          <w:spacing w:val="-7"/>
          <w14:textFill>
            <w14:solidFill>
              <w14:schemeClr w14:val="tx1"/>
            </w14:solidFill>
          </w14:textFill>
        </w:rPr>
        <w:t>月 19  日，福清市自然资源局出具了《建设项目用地预审和选址意见书》</w:t>
      </w:r>
      <w:r>
        <w:rPr>
          <w:rFonts w:hint="eastAsia"/>
          <w:color w:val="000000" w:themeColor="text1"/>
          <w14:textFill>
            <w14:solidFill>
              <w14:schemeClr w14:val="tx1"/>
            </w14:solidFill>
          </w14:textFill>
        </w:rPr>
        <w:t>（用字第</w:t>
      </w:r>
      <w:r>
        <w:rPr>
          <w:rFonts w:cs="Times New Roman"/>
          <w:color w:val="000000" w:themeColor="text1"/>
          <w:kern w:val="0"/>
          <w:szCs w:val="24"/>
          <w:lang w:val="zh-CN"/>
          <w14:textFill>
            <w14:solidFill>
              <w14:schemeClr w14:val="tx1"/>
            </w14:solidFill>
          </w14:textFill>
        </w:rPr>
        <w:t>350181202400085</w:t>
      </w:r>
      <w:r>
        <w:rPr>
          <w:rFonts w:hint="eastAsia"/>
          <w:color w:val="000000" w:themeColor="text1"/>
          <w14:textFill>
            <w14:solidFill>
              <w14:schemeClr w14:val="tx1"/>
            </w14:solidFill>
          </w14:textFill>
        </w:rPr>
        <w:t>号）</w:t>
      </w:r>
      <w:r>
        <w:rPr>
          <w:rFonts w:hint="eastAsia"/>
          <w:color w:val="000000" w:themeColor="text1"/>
          <w:spacing w:val="-7"/>
          <w14:textFill>
            <w14:solidFill>
              <w14:schemeClr w14:val="tx1"/>
            </w14:solidFill>
          </w14:textFill>
        </w:rPr>
        <w:t xml:space="preserve">，项目选址面积 </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。用地使用类型</w:t>
      </w:r>
      <w:r>
        <w:rPr>
          <w:color w:val="000000" w:themeColor="text1"/>
          <w:spacing w:val="-7"/>
          <w14:textFill>
            <w14:solidFill>
              <w14:schemeClr w14:val="tx1"/>
            </w14:solidFill>
          </w14:textFill>
        </w:rPr>
        <w:t xml:space="preserve"> </w:t>
      </w:r>
      <w:r>
        <w:rPr>
          <w:rFonts w:hint="eastAsia"/>
          <w:color w:val="000000" w:themeColor="text1"/>
          <w:spacing w:val="-7"/>
          <w14:textFill>
            <w14:solidFill>
              <w14:schemeClr w14:val="tx1"/>
            </w14:solidFill>
          </w14:textFill>
        </w:rPr>
        <w:t>：1</w:t>
      </w:r>
      <w:r>
        <w:rPr>
          <w:color w:val="000000" w:themeColor="text1"/>
          <w:spacing w:val="-7"/>
          <w14:textFill>
            <w14:solidFill>
              <w14:schemeClr w14:val="tx1"/>
            </w14:solidFill>
          </w14:textFill>
        </w:rPr>
        <w:t>202</w:t>
      </w:r>
      <w:r>
        <w:rPr>
          <w:rFonts w:hint="eastAsia"/>
          <w:color w:val="000000" w:themeColor="text1"/>
          <w:spacing w:val="-7"/>
          <w14:textFill>
            <w14:solidFill>
              <w14:schemeClr w14:val="tx1"/>
            </w14:solidFill>
          </w14:textFill>
        </w:rPr>
        <w:t>公路用地。</w:t>
      </w:r>
    </w:p>
    <w:p w14:paraId="388328F1">
      <w:pPr>
        <w:ind w:firstLine="466"/>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202</w:t>
      </w:r>
      <w:r>
        <w:rPr>
          <w:color w:val="000000" w:themeColor="text1"/>
          <w:spacing w:val="-7"/>
          <w14:textFill>
            <w14:solidFill>
              <w14:schemeClr w14:val="tx1"/>
            </w14:solidFill>
          </w14:textFill>
        </w:rPr>
        <w:t>4</w:t>
      </w:r>
      <w:r>
        <w:rPr>
          <w:rFonts w:hint="eastAsia"/>
          <w:color w:val="000000" w:themeColor="text1"/>
          <w:spacing w:val="-7"/>
          <w14:textFill>
            <w14:solidFill>
              <w14:schemeClr w14:val="tx1"/>
            </w14:solidFill>
          </w14:textFill>
        </w:rPr>
        <w:t xml:space="preserve">年 </w:t>
      </w:r>
      <w:r>
        <w:rPr>
          <w:color w:val="000000" w:themeColor="text1"/>
          <w:spacing w:val="-7"/>
          <w14:textFill>
            <w14:solidFill>
              <w14:schemeClr w14:val="tx1"/>
            </w14:solidFill>
          </w14:textFill>
        </w:rPr>
        <w:t>9</w:t>
      </w:r>
      <w:r>
        <w:rPr>
          <w:rFonts w:hint="eastAsia"/>
          <w:color w:val="000000" w:themeColor="text1"/>
          <w:spacing w:val="-7"/>
          <w14:textFill>
            <w14:solidFill>
              <w14:schemeClr w14:val="tx1"/>
            </w14:solidFill>
          </w14:textFill>
        </w:rPr>
        <w:t xml:space="preserve"> 月 30  日，福建省林业局出具了《使用林地审核同意书》，该项目建设涉及林地面积为3</w:t>
      </w:r>
      <w:r>
        <w:rPr>
          <w:color w:val="000000" w:themeColor="text1"/>
          <w:spacing w:val="-7"/>
          <w14:textFill>
            <w14:solidFill>
              <w14:schemeClr w14:val="tx1"/>
            </w14:solidFill>
          </w14:textFill>
        </w:rPr>
        <w:t>.8155</w:t>
      </w:r>
      <w:r>
        <w:rPr>
          <w:rFonts w:hint="eastAsia"/>
          <w:color w:val="000000" w:themeColor="text1"/>
          <w:spacing w:val="-7"/>
          <w14:textFill>
            <w14:solidFill>
              <w14:schemeClr w14:val="tx1"/>
            </w14:solidFill>
          </w14:textFill>
        </w:rPr>
        <w:t xml:space="preserve"> hm</w:t>
      </w:r>
      <w:r>
        <w:rPr>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，其中涉及国家二级公益林为0</w:t>
      </w:r>
      <w:r>
        <w:rPr>
          <w:color w:val="000000" w:themeColor="text1"/>
          <w:spacing w:val="-7"/>
          <w14:textFill>
            <w14:solidFill>
              <w14:schemeClr w14:val="tx1"/>
            </w14:solidFill>
          </w14:textFill>
        </w:rPr>
        <w:t>.5538</w:t>
      </w:r>
      <w:r>
        <w:rPr>
          <w:rFonts w:hint="eastAsia"/>
          <w:color w:val="000000" w:themeColor="text1"/>
          <w:spacing w:val="-7"/>
          <w14:textFill>
            <w14:solidFill>
              <w14:schemeClr w14:val="tx1"/>
            </w14:solidFill>
          </w14:textFill>
        </w:rPr>
        <w:t xml:space="preserve"> hm</w:t>
      </w:r>
      <w:r>
        <w:rPr>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w:t>
      </w:r>
    </w:p>
    <w:p w14:paraId="1C68487F">
      <w:pPr>
        <w:ind w:firstLine="466"/>
        <w:rPr>
          <w:color w:val="000000" w:themeColor="text1"/>
          <w:spacing w:val="-7"/>
          <w14:textFill>
            <w14:solidFill>
              <w14:schemeClr w14:val="tx1"/>
            </w14:solidFill>
          </w14:textFill>
        </w:rPr>
      </w:pPr>
      <w:r>
        <w:rPr>
          <w:rFonts w:hint="eastAsia"/>
          <w:color w:val="000000" w:themeColor="text1"/>
          <w:spacing w:val="-7"/>
          <w14:textFill>
            <w14:solidFill>
              <w14:schemeClr w14:val="tx1"/>
            </w14:solidFill>
          </w14:textFill>
        </w:rPr>
        <w:t>（2）项目总征占地情况</w:t>
      </w:r>
    </w:p>
    <w:p w14:paraId="16AF06B7">
      <w:pPr>
        <w:ind w:firstLine="466"/>
        <w:rPr>
          <w:color w:val="000000" w:themeColor="text1"/>
          <w14:textFill>
            <w14:solidFill>
              <w14:schemeClr w14:val="tx1"/>
            </w14:solidFill>
          </w14:textFill>
        </w:rPr>
      </w:pPr>
      <w:r>
        <w:rPr>
          <w:rFonts w:hint="eastAsia"/>
          <w:color w:val="000000" w:themeColor="text1"/>
          <w:spacing w:val="-7"/>
          <w14:textFill>
            <w14:solidFill>
              <w14:schemeClr w14:val="tx1"/>
            </w14:solidFill>
          </w14:textFill>
        </w:rPr>
        <w:t>本项目总占地面积 16.</w:t>
      </w:r>
      <w:r>
        <w:rPr>
          <w:color w:val="000000" w:themeColor="text1"/>
          <w:spacing w:val="-7"/>
          <w14:textFill>
            <w14:solidFill>
              <w14:schemeClr w14:val="tx1"/>
            </w14:solidFill>
          </w14:textFill>
        </w:rPr>
        <w:t>7067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，其中永久占地 </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 ，临时占地 </w:t>
      </w:r>
      <w:r>
        <w:rPr>
          <w:color w:val="000000" w:themeColor="text1"/>
          <w:spacing w:val="-7"/>
          <w14:textFill>
            <w14:solidFill>
              <w14:schemeClr w14:val="tx1"/>
            </w14:solidFill>
          </w14:textFill>
        </w:rPr>
        <w:t>2.045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w:t>
      </w:r>
      <w:r>
        <w:rPr>
          <w:color w:val="000000" w:themeColor="text1"/>
          <w:lang w:val="zh-CN"/>
          <w14:textFill>
            <w14:solidFill>
              <w14:schemeClr w14:val="tx1"/>
            </w14:solidFill>
          </w14:textFill>
        </w:rPr>
        <w:t>项目</w:t>
      </w:r>
      <w:r>
        <w:rPr>
          <w:rFonts w:hint="eastAsia"/>
          <w:color w:val="000000" w:themeColor="text1"/>
          <w:lang w:val="zh-CN"/>
          <w14:textFill>
            <w14:solidFill>
              <w14:schemeClr w14:val="tx1"/>
            </w14:solidFill>
          </w14:textFill>
        </w:rPr>
        <w:t>用地明细</w:t>
      </w:r>
      <w:r>
        <w:rPr>
          <w:color w:val="000000" w:themeColor="text1"/>
          <w:spacing w:val="-2"/>
          <w14:textFill>
            <w14:solidFill>
              <w14:schemeClr w14:val="tx1"/>
            </w14:solidFill>
          </w14:textFill>
        </w:rPr>
        <w:t>详见</w:t>
      </w:r>
      <w:r>
        <w:rPr>
          <w:color w:val="000000" w:themeColor="text1"/>
          <w:spacing w:val="-2"/>
          <w14:textFill>
            <w14:solidFill>
              <w14:schemeClr w14:val="tx1"/>
            </w14:solidFill>
          </w14:textFill>
        </w:rPr>
        <w:fldChar w:fldCharType="begin"/>
      </w:r>
      <w:r>
        <w:rPr>
          <w:color w:val="000000" w:themeColor="text1"/>
          <w:spacing w:val="-2"/>
          <w14:textFill>
            <w14:solidFill>
              <w14:schemeClr w14:val="tx1"/>
            </w14:solidFill>
          </w14:textFill>
        </w:rPr>
        <w:instrText xml:space="preserve"> REF _Ref156332391 \r \h  \* MERGEFORMAT </w:instrText>
      </w:r>
      <w:r>
        <w:rPr>
          <w:color w:val="000000" w:themeColor="text1"/>
          <w:spacing w:val="-2"/>
          <w14:textFill>
            <w14:solidFill>
              <w14:schemeClr w14:val="tx1"/>
            </w14:solidFill>
          </w14:textFill>
        </w:rPr>
        <w:fldChar w:fldCharType="separate"/>
      </w:r>
      <w:r>
        <w:rPr>
          <w:rFonts w:hint="eastAsia"/>
          <w:color w:val="000000" w:themeColor="text1"/>
          <w:spacing w:val="-2"/>
          <w14:textFill>
            <w14:solidFill>
              <w14:schemeClr w14:val="tx1"/>
            </w14:solidFill>
          </w14:textFill>
        </w:rPr>
        <w:t>表3.5-1</w:t>
      </w:r>
      <w:r>
        <w:rPr>
          <w:color w:val="000000" w:themeColor="text1"/>
          <w:spacing w:val="-2"/>
          <w14:textFill>
            <w14:solidFill>
              <w14:schemeClr w14:val="tx1"/>
            </w14:solidFill>
          </w14:textFill>
        </w:rPr>
        <w:fldChar w:fldCharType="end"/>
      </w:r>
      <w:r>
        <w:rPr>
          <w:color w:val="000000" w:themeColor="text1"/>
          <w14:textFill>
            <w14:solidFill>
              <w14:schemeClr w14:val="tx1"/>
            </w14:solidFill>
          </w14:textFill>
        </w:rPr>
        <w:t>。</w:t>
      </w:r>
    </w:p>
    <w:p w14:paraId="7C4BD5FB">
      <w:pPr>
        <w:pStyle w:val="87"/>
        <w:spacing w:before="120"/>
        <w:rPr>
          <w:color w:val="000000" w:themeColor="text1"/>
          <w14:textFill>
            <w14:solidFill>
              <w14:schemeClr w14:val="tx1"/>
            </w14:solidFill>
          </w14:textFill>
        </w:rPr>
      </w:pPr>
      <w:bookmarkStart w:id="296" w:name="_Ref156332391"/>
      <w:r>
        <w:rPr>
          <w:color w:val="000000" w:themeColor="text1"/>
          <w14:textFill>
            <w14:solidFill>
              <w14:schemeClr w14:val="tx1"/>
            </w14:solidFill>
          </w14:textFill>
        </w:rPr>
        <w:t>项目占地</w:t>
      </w:r>
      <w:bookmarkEnd w:id="296"/>
      <w:r>
        <w:rPr>
          <w:rFonts w:hint="eastAsia"/>
          <w:color w:val="000000" w:themeColor="text1"/>
          <w14:textFill>
            <w14:solidFill>
              <w14:schemeClr w14:val="tx1"/>
            </w14:solidFill>
          </w14:textFill>
        </w:rPr>
        <w:t>情况表</w:t>
      </w:r>
    </w:p>
    <w:tbl>
      <w:tblPr>
        <w:tblStyle w:val="2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17"/>
        <w:gridCol w:w="1372"/>
        <w:gridCol w:w="750"/>
        <w:gridCol w:w="635"/>
        <w:gridCol w:w="635"/>
        <w:gridCol w:w="635"/>
        <w:gridCol w:w="635"/>
        <w:gridCol w:w="1145"/>
        <w:gridCol w:w="918"/>
        <w:gridCol w:w="920"/>
        <w:gridCol w:w="912"/>
      </w:tblGrid>
      <w:tr w14:paraId="489854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85" w:type="pct"/>
            <w:vMerge w:val="restart"/>
            <w:vAlign w:val="center"/>
          </w:tcPr>
          <w:p w14:paraId="5E434BD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序 号</w:t>
            </w:r>
          </w:p>
        </w:tc>
        <w:tc>
          <w:tcPr>
            <w:tcW w:w="756" w:type="pct"/>
            <w:vMerge w:val="restart"/>
            <w:vAlign w:val="center"/>
          </w:tcPr>
          <w:p w14:paraId="64C73BF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413" w:type="pct"/>
            <w:vMerge w:val="restart"/>
            <w:vAlign w:val="center"/>
          </w:tcPr>
          <w:p w14:paraId="2ACE5E7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小计</w:t>
            </w:r>
          </w:p>
        </w:tc>
        <w:tc>
          <w:tcPr>
            <w:tcW w:w="3043" w:type="pct"/>
            <w:gridSpan w:val="7"/>
            <w:vAlign w:val="center"/>
          </w:tcPr>
          <w:p w14:paraId="357A3C9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项目占地类型及面积 (hm</w:t>
            </w:r>
            <w:r>
              <w:rPr>
                <w:color w:val="000000" w:themeColor="text1"/>
                <w:vertAlign w:val="superscript"/>
                <w14:textFill>
                  <w14:solidFill>
                    <w14:schemeClr w14:val="tx1"/>
                  </w14:solidFill>
                </w14:textFill>
              </w:rPr>
              <w:t xml:space="preserve">2 </w:t>
            </w:r>
            <w:r>
              <w:rPr>
                <w:color w:val="000000" w:themeColor="text1"/>
                <w14:textFill>
                  <w14:solidFill>
                    <w14:schemeClr w14:val="tx1"/>
                  </w14:solidFill>
                </w14:textFill>
              </w:rPr>
              <w:t>)</w:t>
            </w:r>
          </w:p>
        </w:tc>
        <w:tc>
          <w:tcPr>
            <w:tcW w:w="502" w:type="pct"/>
            <w:vMerge w:val="restart"/>
            <w:vAlign w:val="center"/>
          </w:tcPr>
          <w:p w14:paraId="7AB5E42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7813C6C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85" w:type="pct"/>
            <w:vMerge w:val="continue"/>
            <w:vAlign w:val="center"/>
          </w:tcPr>
          <w:p w14:paraId="4CB17000">
            <w:pPr>
              <w:pStyle w:val="105"/>
              <w:jc w:val="center"/>
              <w:rPr>
                <w:color w:val="000000" w:themeColor="text1"/>
                <w14:textFill>
                  <w14:solidFill>
                    <w14:schemeClr w14:val="tx1"/>
                  </w14:solidFill>
                </w14:textFill>
              </w:rPr>
            </w:pPr>
          </w:p>
        </w:tc>
        <w:tc>
          <w:tcPr>
            <w:tcW w:w="756" w:type="pct"/>
            <w:vMerge w:val="continue"/>
            <w:vAlign w:val="center"/>
          </w:tcPr>
          <w:p w14:paraId="04CB4D51">
            <w:pPr>
              <w:pStyle w:val="105"/>
              <w:jc w:val="center"/>
              <w:rPr>
                <w:color w:val="000000" w:themeColor="text1"/>
                <w14:textFill>
                  <w14:solidFill>
                    <w14:schemeClr w14:val="tx1"/>
                  </w14:solidFill>
                </w14:textFill>
              </w:rPr>
            </w:pPr>
          </w:p>
        </w:tc>
        <w:tc>
          <w:tcPr>
            <w:tcW w:w="413" w:type="pct"/>
            <w:vMerge w:val="continue"/>
            <w:vAlign w:val="center"/>
          </w:tcPr>
          <w:p w14:paraId="5E0A68DB">
            <w:pPr>
              <w:pStyle w:val="105"/>
              <w:jc w:val="center"/>
              <w:rPr>
                <w:color w:val="000000" w:themeColor="text1"/>
                <w14:textFill>
                  <w14:solidFill>
                    <w14:schemeClr w14:val="tx1"/>
                  </w14:solidFill>
                </w14:textFill>
              </w:rPr>
            </w:pPr>
          </w:p>
        </w:tc>
        <w:tc>
          <w:tcPr>
            <w:tcW w:w="350" w:type="pct"/>
            <w:vAlign w:val="center"/>
          </w:tcPr>
          <w:p w14:paraId="4919ACC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耕地</w:t>
            </w:r>
          </w:p>
        </w:tc>
        <w:tc>
          <w:tcPr>
            <w:tcW w:w="350" w:type="pct"/>
            <w:vAlign w:val="center"/>
          </w:tcPr>
          <w:p w14:paraId="53323A0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园地</w:t>
            </w:r>
          </w:p>
        </w:tc>
        <w:tc>
          <w:tcPr>
            <w:tcW w:w="350" w:type="pct"/>
            <w:vAlign w:val="center"/>
          </w:tcPr>
          <w:p w14:paraId="482BFA8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林地</w:t>
            </w:r>
          </w:p>
        </w:tc>
        <w:tc>
          <w:tcPr>
            <w:tcW w:w="350" w:type="pct"/>
            <w:vAlign w:val="center"/>
          </w:tcPr>
          <w:p w14:paraId="198E58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草地</w:t>
            </w:r>
          </w:p>
        </w:tc>
        <w:tc>
          <w:tcPr>
            <w:tcW w:w="631" w:type="pct"/>
            <w:vAlign w:val="center"/>
          </w:tcPr>
          <w:p w14:paraId="22819E8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其他农用地</w:t>
            </w:r>
          </w:p>
        </w:tc>
        <w:tc>
          <w:tcPr>
            <w:tcW w:w="506" w:type="pct"/>
            <w:vAlign w:val="center"/>
          </w:tcPr>
          <w:p w14:paraId="0EC6B4D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建设用地</w:t>
            </w:r>
          </w:p>
        </w:tc>
        <w:tc>
          <w:tcPr>
            <w:tcW w:w="507" w:type="pct"/>
            <w:vAlign w:val="center"/>
          </w:tcPr>
          <w:p w14:paraId="755E506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未利用地</w:t>
            </w:r>
          </w:p>
        </w:tc>
        <w:tc>
          <w:tcPr>
            <w:tcW w:w="502" w:type="pct"/>
            <w:vMerge w:val="continue"/>
            <w:vAlign w:val="center"/>
          </w:tcPr>
          <w:p w14:paraId="5BC2CB5F">
            <w:pPr>
              <w:pStyle w:val="105"/>
              <w:jc w:val="center"/>
              <w:rPr>
                <w:color w:val="000000" w:themeColor="text1"/>
                <w14:textFill>
                  <w14:solidFill>
                    <w14:schemeClr w14:val="tx1"/>
                  </w14:solidFill>
                </w14:textFill>
              </w:rPr>
            </w:pPr>
          </w:p>
        </w:tc>
      </w:tr>
      <w:tr w14:paraId="0A1D37E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85" w:type="pct"/>
            <w:vAlign w:val="center"/>
          </w:tcPr>
          <w:p w14:paraId="38FF82A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756" w:type="pct"/>
            <w:vAlign w:val="center"/>
          </w:tcPr>
          <w:p w14:paraId="280D583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公路工程</w:t>
            </w:r>
          </w:p>
        </w:tc>
        <w:tc>
          <w:tcPr>
            <w:tcW w:w="413" w:type="pct"/>
            <w:vAlign w:val="center"/>
          </w:tcPr>
          <w:p w14:paraId="1B8CEB7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14.6617</w:t>
            </w:r>
          </w:p>
        </w:tc>
        <w:tc>
          <w:tcPr>
            <w:tcW w:w="350" w:type="pct"/>
            <w:vAlign w:val="center"/>
          </w:tcPr>
          <w:p w14:paraId="4AA2C03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.424</w:t>
            </w:r>
          </w:p>
        </w:tc>
        <w:tc>
          <w:tcPr>
            <w:tcW w:w="350" w:type="pct"/>
            <w:vAlign w:val="center"/>
          </w:tcPr>
          <w:p w14:paraId="42514A6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.6056</w:t>
            </w:r>
          </w:p>
        </w:tc>
        <w:tc>
          <w:tcPr>
            <w:tcW w:w="350" w:type="pct"/>
            <w:vAlign w:val="center"/>
          </w:tcPr>
          <w:p w14:paraId="4F2CA59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14:textFill>
                  <w14:solidFill>
                    <w14:schemeClr w14:val="tx1"/>
                  </w14:solidFill>
                </w14:textFill>
              </w:rPr>
              <w:t>.487</w:t>
            </w:r>
          </w:p>
        </w:tc>
        <w:tc>
          <w:tcPr>
            <w:tcW w:w="350" w:type="pct"/>
            <w:vAlign w:val="center"/>
          </w:tcPr>
          <w:p w14:paraId="6310600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.5844</w:t>
            </w:r>
          </w:p>
        </w:tc>
        <w:tc>
          <w:tcPr>
            <w:tcW w:w="631" w:type="pct"/>
            <w:vAlign w:val="center"/>
          </w:tcPr>
          <w:p w14:paraId="3C70DC4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.052</w:t>
            </w:r>
          </w:p>
        </w:tc>
        <w:tc>
          <w:tcPr>
            <w:tcW w:w="506" w:type="pct"/>
            <w:vAlign w:val="center"/>
          </w:tcPr>
          <w:p w14:paraId="3F786A6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.6581</w:t>
            </w:r>
          </w:p>
        </w:tc>
        <w:tc>
          <w:tcPr>
            <w:tcW w:w="507" w:type="pct"/>
            <w:vAlign w:val="center"/>
          </w:tcPr>
          <w:p w14:paraId="7DCB94D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.8507</w:t>
            </w:r>
          </w:p>
        </w:tc>
        <w:tc>
          <w:tcPr>
            <w:tcW w:w="502" w:type="pct"/>
            <w:vAlign w:val="center"/>
          </w:tcPr>
          <w:p w14:paraId="08463BE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永久占地</w:t>
            </w:r>
          </w:p>
        </w:tc>
      </w:tr>
      <w:tr w14:paraId="6062E50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85" w:type="pct"/>
            <w:vAlign w:val="center"/>
          </w:tcPr>
          <w:p w14:paraId="46F2005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756" w:type="pct"/>
            <w:vAlign w:val="center"/>
          </w:tcPr>
          <w:p w14:paraId="0546E9C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施工便道</w:t>
            </w:r>
          </w:p>
        </w:tc>
        <w:tc>
          <w:tcPr>
            <w:tcW w:w="413" w:type="pct"/>
            <w:vAlign w:val="center"/>
          </w:tcPr>
          <w:p w14:paraId="2D04B34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.085</w:t>
            </w:r>
          </w:p>
        </w:tc>
        <w:tc>
          <w:tcPr>
            <w:tcW w:w="350" w:type="pct"/>
            <w:vAlign w:val="center"/>
          </w:tcPr>
          <w:p w14:paraId="7C0177A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0.072</w:t>
            </w:r>
          </w:p>
        </w:tc>
        <w:tc>
          <w:tcPr>
            <w:tcW w:w="350" w:type="pct"/>
            <w:vAlign w:val="center"/>
          </w:tcPr>
          <w:p w14:paraId="606CA5C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0.013</w:t>
            </w:r>
          </w:p>
        </w:tc>
        <w:tc>
          <w:tcPr>
            <w:tcW w:w="350" w:type="pct"/>
            <w:vAlign w:val="center"/>
          </w:tcPr>
          <w:p w14:paraId="77EC5ABB">
            <w:pPr>
              <w:pStyle w:val="105"/>
              <w:jc w:val="center"/>
              <w:rPr>
                <w:color w:val="000000" w:themeColor="text1"/>
                <w14:textFill>
                  <w14:solidFill>
                    <w14:schemeClr w14:val="tx1"/>
                  </w14:solidFill>
                </w14:textFill>
              </w:rPr>
            </w:pPr>
          </w:p>
        </w:tc>
        <w:tc>
          <w:tcPr>
            <w:tcW w:w="350" w:type="pct"/>
            <w:vAlign w:val="center"/>
          </w:tcPr>
          <w:p w14:paraId="1CCEA5F4">
            <w:pPr>
              <w:pStyle w:val="105"/>
              <w:jc w:val="center"/>
              <w:rPr>
                <w:color w:val="000000" w:themeColor="text1"/>
                <w14:textFill>
                  <w14:solidFill>
                    <w14:schemeClr w14:val="tx1"/>
                  </w14:solidFill>
                </w14:textFill>
              </w:rPr>
            </w:pPr>
          </w:p>
        </w:tc>
        <w:tc>
          <w:tcPr>
            <w:tcW w:w="631" w:type="pct"/>
            <w:vAlign w:val="center"/>
          </w:tcPr>
          <w:p w14:paraId="2D979DD3">
            <w:pPr>
              <w:pStyle w:val="105"/>
              <w:jc w:val="center"/>
              <w:rPr>
                <w:color w:val="000000" w:themeColor="text1"/>
                <w14:textFill>
                  <w14:solidFill>
                    <w14:schemeClr w14:val="tx1"/>
                  </w14:solidFill>
                </w14:textFill>
              </w:rPr>
            </w:pPr>
          </w:p>
        </w:tc>
        <w:tc>
          <w:tcPr>
            <w:tcW w:w="506" w:type="pct"/>
            <w:vAlign w:val="center"/>
          </w:tcPr>
          <w:p w14:paraId="5FE1A356">
            <w:pPr>
              <w:pStyle w:val="105"/>
              <w:jc w:val="center"/>
              <w:rPr>
                <w:color w:val="000000" w:themeColor="text1"/>
                <w14:textFill>
                  <w14:solidFill>
                    <w14:schemeClr w14:val="tx1"/>
                  </w14:solidFill>
                </w14:textFill>
              </w:rPr>
            </w:pPr>
          </w:p>
        </w:tc>
        <w:tc>
          <w:tcPr>
            <w:tcW w:w="507" w:type="pct"/>
            <w:vAlign w:val="center"/>
          </w:tcPr>
          <w:p w14:paraId="4846DF0E">
            <w:pPr>
              <w:pStyle w:val="105"/>
              <w:jc w:val="center"/>
              <w:rPr>
                <w:color w:val="000000" w:themeColor="text1"/>
                <w14:textFill>
                  <w14:solidFill>
                    <w14:schemeClr w14:val="tx1"/>
                  </w14:solidFill>
                </w14:textFill>
              </w:rPr>
            </w:pPr>
          </w:p>
        </w:tc>
        <w:tc>
          <w:tcPr>
            <w:tcW w:w="502" w:type="pct"/>
            <w:vAlign w:val="center"/>
          </w:tcPr>
          <w:p w14:paraId="2606396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临时占地</w:t>
            </w:r>
          </w:p>
        </w:tc>
      </w:tr>
      <w:tr w14:paraId="312B5C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85" w:type="pct"/>
            <w:vAlign w:val="center"/>
          </w:tcPr>
          <w:p w14:paraId="573041A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756" w:type="pct"/>
            <w:vAlign w:val="center"/>
          </w:tcPr>
          <w:p w14:paraId="68FA3B6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施工场地</w:t>
            </w:r>
          </w:p>
        </w:tc>
        <w:tc>
          <w:tcPr>
            <w:tcW w:w="413" w:type="pct"/>
            <w:vAlign w:val="center"/>
          </w:tcPr>
          <w:p w14:paraId="4917153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.05</w:t>
            </w:r>
          </w:p>
        </w:tc>
        <w:tc>
          <w:tcPr>
            <w:tcW w:w="350" w:type="pct"/>
            <w:vAlign w:val="center"/>
          </w:tcPr>
          <w:p w14:paraId="0D56F9E1">
            <w:pPr>
              <w:pStyle w:val="105"/>
              <w:jc w:val="center"/>
              <w:rPr>
                <w:color w:val="000000" w:themeColor="text1"/>
                <w14:textFill>
                  <w14:solidFill>
                    <w14:schemeClr w14:val="tx1"/>
                  </w14:solidFill>
                </w14:textFill>
              </w:rPr>
            </w:pPr>
          </w:p>
        </w:tc>
        <w:tc>
          <w:tcPr>
            <w:tcW w:w="350" w:type="pct"/>
            <w:vAlign w:val="center"/>
          </w:tcPr>
          <w:p w14:paraId="481C0FDD">
            <w:pPr>
              <w:pStyle w:val="105"/>
              <w:jc w:val="center"/>
              <w:rPr>
                <w:color w:val="000000" w:themeColor="text1"/>
                <w14:textFill>
                  <w14:solidFill>
                    <w14:schemeClr w14:val="tx1"/>
                  </w14:solidFill>
                </w14:textFill>
              </w:rPr>
            </w:pPr>
          </w:p>
        </w:tc>
        <w:tc>
          <w:tcPr>
            <w:tcW w:w="350" w:type="pct"/>
            <w:vAlign w:val="center"/>
          </w:tcPr>
          <w:p w14:paraId="1596B61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.55</w:t>
            </w:r>
          </w:p>
        </w:tc>
        <w:tc>
          <w:tcPr>
            <w:tcW w:w="350" w:type="pct"/>
            <w:vAlign w:val="center"/>
          </w:tcPr>
          <w:p w14:paraId="2A726A9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w:t>
            </w:r>
          </w:p>
        </w:tc>
        <w:tc>
          <w:tcPr>
            <w:tcW w:w="631" w:type="pct"/>
            <w:vAlign w:val="center"/>
          </w:tcPr>
          <w:p w14:paraId="45965C50">
            <w:pPr>
              <w:pStyle w:val="105"/>
              <w:jc w:val="center"/>
              <w:rPr>
                <w:color w:val="000000" w:themeColor="text1"/>
                <w14:textFill>
                  <w14:solidFill>
                    <w14:schemeClr w14:val="tx1"/>
                  </w14:solidFill>
                </w14:textFill>
              </w:rPr>
            </w:pPr>
          </w:p>
        </w:tc>
        <w:tc>
          <w:tcPr>
            <w:tcW w:w="506" w:type="pct"/>
            <w:vAlign w:val="center"/>
          </w:tcPr>
          <w:p w14:paraId="221E80F2">
            <w:pPr>
              <w:pStyle w:val="105"/>
              <w:jc w:val="center"/>
              <w:rPr>
                <w:color w:val="000000" w:themeColor="text1"/>
                <w14:textFill>
                  <w14:solidFill>
                    <w14:schemeClr w14:val="tx1"/>
                  </w14:solidFill>
                </w14:textFill>
              </w:rPr>
            </w:pPr>
          </w:p>
        </w:tc>
        <w:tc>
          <w:tcPr>
            <w:tcW w:w="507" w:type="pct"/>
            <w:vAlign w:val="center"/>
          </w:tcPr>
          <w:p w14:paraId="1431F52A">
            <w:pPr>
              <w:pStyle w:val="105"/>
              <w:jc w:val="center"/>
              <w:rPr>
                <w:color w:val="000000" w:themeColor="text1"/>
                <w14:textFill>
                  <w14:solidFill>
                    <w14:schemeClr w14:val="tx1"/>
                  </w14:solidFill>
                </w14:textFill>
              </w:rPr>
            </w:pPr>
          </w:p>
        </w:tc>
        <w:tc>
          <w:tcPr>
            <w:tcW w:w="502" w:type="pct"/>
            <w:vAlign w:val="center"/>
          </w:tcPr>
          <w:p w14:paraId="30D75B0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临时占地</w:t>
            </w:r>
          </w:p>
        </w:tc>
      </w:tr>
      <w:tr w14:paraId="135FEF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85" w:type="pct"/>
            <w:vAlign w:val="center"/>
          </w:tcPr>
          <w:p w14:paraId="0BC99C2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756" w:type="pct"/>
            <w:vAlign w:val="center"/>
          </w:tcPr>
          <w:p w14:paraId="5D1F8BA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表土临时堆场</w:t>
            </w:r>
          </w:p>
        </w:tc>
        <w:tc>
          <w:tcPr>
            <w:tcW w:w="413" w:type="pct"/>
            <w:vAlign w:val="center"/>
          </w:tcPr>
          <w:p w14:paraId="36AAD78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.91</w:t>
            </w:r>
          </w:p>
        </w:tc>
        <w:tc>
          <w:tcPr>
            <w:tcW w:w="350" w:type="pct"/>
            <w:vAlign w:val="center"/>
          </w:tcPr>
          <w:p w14:paraId="164CA9D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.11</w:t>
            </w:r>
          </w:p>
        </w:tc>
        <w:tc>
          <w:tcPr>
            <w:tcW w:w="350" w:type="pct"/>
            <w:vAlign w:val="center"/>
          </w:tcPr>
          <w:p w14:paraId="4DB3A89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.52</w:t>
            </w:r>
          </w:p>
        </w:tc>
        <w:tc>
          <w:tcPr>
            <w:tcW w:w="350" w:type="pct"/>
            <w:vAlign w:val="center"/>
          </w:tcPr>
          <w:p w14:paraId="547FAF74">
            <w:pPr>
              <w:pStyle w:val="105"/>
              <w:jc w:val="center"/>
              <w:rPr>
                <w:color w:val="000000" w:themeColor="text1"/>
                <w14:textFill>
                  <w14:solidFill>
                    <w14:schemeClr w14:val="tx1"/>
                  </w14:solidFill>
                </w14:textFill>
              </w:rPr>
            </w:pPr>
          </w:p>
        </w:tc>
        <w:tc>
          <w:tcPr>
            <w:tcW w:w="350" w:type="pct"/>
            <w:vAlign w:val="center"/>
          </w:tcPr>
          <w:p w14:paraId="5DCADF8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color w:val="000000" w:themeColor="text1"/>
                <w14:textFill>
                  <w14:solidFill>
                    <w14:schemeClr w14:val="tx1"/>
                  </w14:solidFill>
                </w14:textFill>
              </w:rPr>
              <w:t>.28</w:t>
            </w:r>
          </w:p>
        </w:tc>
        <w:tc>
          <w:tcPr>
            <w:tcW w:w="631" w:type="pct"/>
            <w:vAlign w:val="center"/>
          </w:tcPr>
          <w:p w14:paraId="5DB7CAB7">
            <w:pPr>
              <w:pStyle w:val="105"/>
              <w:jc w:val="center"/>
              <w:rPr>
                <w:color w:val="000000" w:themeColor="text1"/>
                <w14:textFill>
                  <w14:solidFill>
                    <w14:schemeClr w14:val="tx1"/>
                  </w14:solidFill>
                </w14:textFill>
              </w:rPr>
            </w:pPr>
          </w:p>
        </w:tc>
        <w:tc>
          <w:tcPr>
            <w:tcW w:w="506" w:type="pct"/>
            <w:vAlign w:val="center"/>
          </w:tcPr>
          <w:p w14:paraId="281D04C8">
            <w:pPr>
              <w:pStyle w:val="105"/>
              <w:jc w:val="center"/>
              <w:rPr>
                <w:color w:val="000000" w:themeColor="text1"/>
                <w14:textFill>
                  <w14:solidFill>
                    <w14:schemeClr w14:val="tx1"/>
                  </w14:solidFill>
                </w14:textFill>
              </w:rPr>
            </w:pPr>
          </w:p>
        </w:tc>
        <w:tc>
          <w:tcPr>
            <w:tcW w:w="507" w:type="pct"/>
            <w:vAlign w:val="center"/>
          </w:tcPr>
          <w:p w14:paraId="02201F26">
            <w:pPr>
              <w:pStyle w:val="105"/>
              <w:jc w:val="center"/>
              <w:rPr>
                <w:color w:val="000000" w:themeColor="text1"/>
                <w14:textFill>
                  <w14:solidFill>
                    <w14:schemeClr w14:val="tx1"/>
                  </w14:solidFill>
                </w14:textFill>
              </w:rPr>
            </w:pPr>
          </w:p>
        </w:tc>
        <w:tc>
          <w:tcPr>
            <w:tcW w:w="502" w:type="pct"/>
            <w:vAlign w:val="center"/>
          </w:tcPr>
          <w:p w14:paraId="75D11F0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临时占地</w:t>
            </w:r>
          </w:p>
        </w:tc>
      </w:tr>
      <w:tr w14:paraId="39DCA8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1041" w:type="pct"/>
            <w:gridSpan w:val="2"/>
            <w:vAlign w:val="center"/>
          </w:tcPr>
          <w:p w14:paraId="3CAA77E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413" w:type="pct"/>
            <w:vAlign w:val="center"/>
          </w:tcPr>
          <w:p w14:paraId="192E3E36">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16.7067</w:t>
            </w:r>
          </w:p>
        </w:tc>
        <w:tc>
          <w:tcPr>
            <w:tcW w:w="350" w:type="pct"/>
            <w:vAlign w:val="center"/>
          </w:tcPr>
          <w:p w14:paraId="63FA00B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4.606</w:t>
            </w:r>
          </w:p>
        </w:tc>
        <w:tc>
          <w:tcPr>
            <w:tcW w:w="350" w:type="pct"/>
            <w:vAlign w:val="center"/>
          </w:tcPr>
          <w:p w14:paraId="2BEBBFC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3.1386</w:t>
            </w:r>
          </w:p>
        </w:tc>
        <w:tc>
          <w:tcPr>
            <w:tcW w:w="350" w:type="pct"/>
            <w:vAlign w:val="center"/>
          </w:tcPr>
          <w:p w14:paraId="23EF4C85">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5.037</w:t>
            </w:r>
          </w:p>
        </w:tc>
        <w:tc>
          <w:tcPr>
            <w:tcW w:w="350" w:type="pct"/>
            <w:vAlign w:val="center"/>
          </w:tcPr>
          <w:p w14:paraId="13424B04">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1.3644</w:t>
            </w:r>
          </w:p>
        </w:tc>
        <w:tc>
          <w:tcPr>
            <w:tcW w:w="631" w:type="pct"/>
            <w:vAlign w:val="center"/>
          </w:tcPr>
          <w:p w14:paraId="6022E544">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1.052</w:t>
            </w:r>
          </w:p>
        </w:tc>
        <w:tc>
          <w:tcPr>
            <w:tcW w:w="506" w:type="pct"/>
            <w:vAlign w:val="center"/>
          </w:tcPr>
          <w:p w14:paraId="50E52999">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0.6581</w:t>
            </w:r>
          </w:p>
        </w:tc>
        <w:tc>
          <w:tcPr>
            <w:tcW w:w="507" w:type="pct"/>
            <w:vAlign w:val="center"/>
          </w:tcPr>
          <w:p w14:paraId="552BCCD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0.8507</w:t>
            </w:r>
          </w:p>
        </w:tc>
        <w:tc>
          <w:tcPr>
            <w:tcW w:w="502" w:type="pct"/>
            <w:vAlign w:val="center"/>
          </w:tcPr>
          <w:p w14:paraId="1811514F">
            <w:pPr>
              <w:pStyle w:val="105"/>
              <w:jc w:val="center"/>
              <w:rPr>
                <w:color w:val="000000" w:themeColor="text1"/>
                <w14:textFill>
                  <w14:solidFill>
                    <w14:schemeClr w14:val="tx1"/>
                  </w14:solidFill>
                </w14:textFill>
              </w:rPr>
            </w:pPr>
          </w:p>
        </w:tc>
      </w:tr>
      <w:tr w14:paraId="04FBBD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5000" w:type="pct"/>
            <w:gridSpan w:val="11"/>
            <w:vAlign w:val="center"/>
          </w:tcPr>
          <w:p w14:paraId="36E6BD60">
            <w:pPr>
              <w:pStyle w:val="105"/>
              <w:jc w:val="left"/>
              <w:rPr>
                <w:color w:val="000000" w:themeColor="text1"/>
                <w14:textFill>
                  <w14:solidFill>
                    <w14:schemeClr w14:val="tx1"/>
                  </w14:solidFill>
                </w14:textFill>
              </w:rPr>
            </w:pPr>
            <w:r>
              <w:rPr>
                <w:rFonts w:hint="eastAsia"/>
                <w:color w:val="000000" w:themeColor="text1"/>
                <w:sz w:val="18"/>
                <w:szCs w:val="18"/>
                <w14:textFill>
                  <w14:solidFill>
                    <w14:schemeClr w14:val="tx1"/>
                  </w14:solidFill>
                </w14:textFill>
              </w:rPr>
              <w:t xml:space="preserve"> 注：本项目自然资源用地预审意见中林地面积（</w:t>
            </w:r>
            <w:r>
              <w:rPr>
                <w:color w:val="000000" w:themeColor="text1"/>
                <w:sz w:val="18"/>
                <w:szCs w:val="18"/>
                <w14:textFill>
                  <w14:solidFill>
                    <w14:schemeClr w14:val="tx1"/>
                  </w14:solidFill>
                </w14:textFill>
              </w:rPr>
              <w:t>4.487hm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）与林地审核意见中林地面积（</w:t>
            </w:r>
            <w:r>
              <w:rPr>
                <w:color w:val="000000" w:themeColor="text1"/>
                <w:sz w:val="18"/>
                <w:szCs w:val="18"/>
                <w14:textFill>
                  <w14:solidFill>
                    <w14:schemeClr w14:val="tx1"/>
                  </w14:solidFill>
                </w14:textFill>
              </w:rPr>
              <w:t>3.8155 hm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）不一致，且相差较大，本次评价以自然资源用地预审意见为主（三调数据）。</w:t>
            </w:r>
          </w:p>
        </w:tc>
      </w:tr>
    </w:tbl>
    <w:p w14:paraId="7AEA9585">
      <w:pPr>
        <w:pStyle w:val="120"/>
        <w:rPr>
          <w:color w:val="000000" w:themeColor="text1"/>
          <w14:textFill>
            <w14:solidFill>
              <w14:schemeClr w14:val="tx1"/>
            </w14:solidFill>
          </w14:textFill>
        </w:rPr>
      </w:pPr>
      <w:bookmarkStart w:id="297" w:name="2.5.2拆迁情况"/>
      <w:bookmarkEnd w:id="297"/>
      <w:r>
        <w:rPr>
          <w:color w:val="000000" w:themeColor="text1"/>
          <w14:textFill>
            <w14:solidFill>
              <w14:schemeClr w14:val="tx1"/>
            </w14:solidFill>
          </w14:textFill>
        </w:rPr>
        <w:t>拆迁情况</w:t>
      </w:r>
    </w:p>
    <w:p w14:paraId="17AFE029">
      <w:pPr>
        <w:ind w:firstLine="476"/>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 xml:space="preserve">项目共拆迁房屋 2474.98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lang w:val="zh-CN"/>
          <w14:textFill>
            <w14:solidFill>
              <w14:schemeClr w14:val="tx1"/>
            </w14:solidFill>
          </w14:textFill>
        </w:rPr>
        <w:t>，</w:t>
      </w:r>
      <w:r>
        <w:rPr>
          <w:rFonts w:hint="eastAsia"/>
          <w:color w:val="000000" w:themeColor="text1"/>
          <w:spacing w:val="-2"/>
          <w14:textFill>
            <w14:solidFill>
              <w14:schemeClr w14:val="tx1"/>
            </w14:solidFill>
          </w14:textFill>
        </w:rPr>
        <w:t xml:space="preserve">其中砖砼房 2269.42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spacing w:val="-2"/>
          <w14:textFill>
            <w14:solidFill>
              <w14:schemeClr w14:val="tx1"/>
            </w14:solidFill>
          </w14:textFill>
        </w:rPr>
        <w:t xml:space="preserve">、厕所猪圈 39.56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spacing w:val="-2"/>
          <w14:textFill>
            <w14:solidFill>
              <w14:schemeClr w14:val="tx1"/>
            </w14:solidFill>
          </w14:textFill>
        </w:rPr>
        <w:t xml:space="preserve">，简房 166 </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spacing w:val="-2"/>
          <w14:textFill>
            <w14:solidFill>
              <w14:schemeClr w14:val="tx1"/>
            </w14:solidFill>
          </w14:textFill>
        </w:rPr>
        <w:t>，鳗鱼场 2 座。征迁10kV 电力杆线 1.4 km/3 根；征迁 0.4kV 低压线 5.1 km/10 根。征迁电讯线 5.8 km/15根。迁移变压器 2 处。</w:t>
      </w:r>
      <w:r>
        <w:rPr>
          <w:rFonts w:hint="eastAsia"/>
          <w:color w:val="000000" w:themeColor="text1"/>
          <w:lang w:val="zh-CN"/>
          <w14:textFill>
            <w14:solidFill>
              <w14:schemeClr w14:val="tx1"/>
            </w14:solidFill>
          </w14:textFill>
        </w:rPr>
        <w:t>拆迁采取货币补偿的方式，不需要安置。</w:t>
      </w:r>
      <w:r>
        <w:rPr>
          <w:color w:val="000000" w:themeColor="text1"/>
          <w:spacing w:val="-2"/>
          <w14:textFill>
            <w14:solidFill>
              <w14:schemeClr w14:val="tx1"/>
            </w14:solidFill>
          </w14:textFill>
        </w:rPr>
        <w:t>拆迁安置费用由建设单位统一交给地方政府，由地方政府解决拆迁问题。</w:t>
      </w:r>
    </w:p>
    <w:p w14:paraId="406E55C8">
      <w:pPr>
        <w:pStyle w:val="116"/>
        <w:rPr>
          <w:color w:val="000000" w:themeColor="text1"/>
          <w:spacing w:val="1"/>
          <w:szCs w:val="24"/>
          <w14:textFill>
            <w14:solidFill>
              <w14:schemeClr w14:val="tx1"/>
            </w14:solidFill>
          </w14:textFill>
        </w:rPr>
      </w:pPr>
      <w:bookmarkStart w:id="298" w:name="_Toc193912370"/>
      <w:bookmarkStart w:id="299" w:name="_Toc159405463"/>
      <w:r>
        <w:rPr>
          <w:color w:val="000000" w:themeColor="text1"/>
          <w14:textFill>
            <w14:solidFill>
              <w14:schemeClr w14:val="tx1"/>
            </w14:solidFill>
          </w14:textFill>
        </w:rPr>
        <w:t>工程土石方平衡</w:t>
      </w:r>
      <w:bookmarkEnd w:id="298"/>
      <w:bookmarkEnd w:id="299"/>
      <w:bookmarkStart w:id="300" w:name="2.4.1土石方平衡"/>
      <w:bookmarkEnd w:id="300"/>
    </w:p>
    <w:p w14:paraId="35494C3E">
      <w:pPr>
        <w:pStyle w:val="118"/>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t>（1）工程土石方平衡</w:t>
      </w:r>
    </w:p>
    <w:p w14:paraId="02970B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本项目土石方主要产生于路基工程、拆迁工程、换填工程、涵洞工程、边坡工程、桥梁基础工程、场地平整工程、路面平整工程、表土剥离及覆土工程等方面。</w:t>
      </w:r>
    </w:p>
    <w:p w14:paraId="732D84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①土石方平衡：</w:t>
      </w: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项目水土保持方案结合施工图设计核算，本项目土石方挖填总量63.61万m³，其中挖方总量40.22万m³（含表土1.80万m³），填方总量23.39万m³（含覆土1.80万m³）；余方16.</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3万m³（其中土方</w:t>
      </w:r>
      <w:r>
        <w:rPr>
          <w:color w:val="000000" w:themeColor="text1"/>
          <w14:textFill>
            <w14:solidFill>
              <w14:schemeClr w14:val="tx1"/>
            </w14:solidFill>
          </w14:textFill>
        </w:rPr>
        <w:t>4.62</w:t>
      </w:r>
      <w:r>
        <w:rPr>
          <w:rFonts w:hint="eastAsia"/>
          <w:color w:val="000000" w:themeColor="text1"/>
          <w14:textFill>
            <w14:solidFill>
              <w14:schemeClr w14:val="tx1"/>
            </w14:solidFill>
          </w14:textFill>
        </w:rPr>
        <w:t>万m³，石方</w:t>
      </w:r>
      <w:r>
        <w:rPr>
          <w:color w:val="000000" w:themeColor="text1"/>
          <w14:textFill>
            <w14:solidFill>
              <w14:schemeClr w14:val="tx1"/>
            </w14:solidFill>
          </w14:textFill>
        </w:rPr>
        <w:t>11.41</w:t>
      </w:r>
      <w:r>
        <w:rPr>
          <w:rFonts w:hint="eastAsia"/>
          <w:color w:val="000000" w:themeColor="text1"/>
          <w14:textFill>
            <w14:solidFill>
              <w14:schemeClr w14:val="tx1"/>
            </w14:solidFill>
          </w14:textFill>
        </w:rPr>
        <w:t>万m³），其中石方</w:t>
      </w:r>
      <w:r>
        <w:rPr>
          <w:color w:val="000000" w:themeColor="text1"/>
          <w14:textFill>
            <w14:solidFill>
              <w14:schemeClr w14:val="tx1"/>
            </w14:solidFill>
          </w14:textFill>
        </w:rPr>
        <w:t>6.88</w:t>
      </w:r>
      <w:r>
        <w:rPr>
          <w:rFonts w:hint="eastAsia"/>
          <w:color w:val="000000" w:themeColor="text1"/>
          <w14:textFill>
            <w14:solidFill>
              <w14:schemeClr w14:val="tx1"/>
            </w14:solidFill>
          </w14:textFill>
        </w:rPr>
        <w:t>万m³本工程利用，作为截（排）水沟、沉沙池、挡墙等附属设施的原材料利用；剩余弃方（9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万m³）拟运往福清市城市管理委员会批准的余方指定堆放点进行综合利用。</w:t>
      </w:r>
    </w:p>
    <w:p w14:paraId="2A18B396">
      <w:pPr>
        <w:ind w:firstLine="474"/>
        <w:rPr>
          <w:color w:val="000000" w:themeColor="text1"/>
          <w14:textFill>
            <w14:solidFill>
              <w14:schemeClr w14:val="tx1"/>
            </w14:solidFill>
          </w14:textFill>
        </w:rPr>
      </w:pPr>
      <w:r>
        <w:rPr>
          <w:rFonts w:hint="eastAsia"/>
          <w:color w:val="000000" w:themeColor="text1"/>
          <w:spacing w:val="-3"/>
          <w14:textFill>
            <w14:solidFill>
              <w14:schemeClr w14:val="tx1"/>
            </w14:solidFill>
          </w14:textFill>
        </w:rPr>
        <w:t>②</w:t>
      </w:r>
      <w:r>
        <w:rPr>
          <w:rFonts w:hint="eastAsia"/>
          <w:color w:val="000000" w:themeColor="text1"/>
          <w14:textFill>
            <w14:solidFill>
              <w14:schemeClr w14:val="tx1"/>
            </w14:solidFill>
          </w14:textFill>
        </w:rPr>
        <w:t>余（弃）方去向说明：本项目建设过程中共产生余方16.</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3万m³（其中土方</w:t>
      </w:r>
      <w:r>
        <w:rPr>
          <w:color w:val="000000" w:themeColor="text1"/>
          <w14:textFill>
            <w14:solidFill>
              <w14:schemeClr w14:val="tx1"/>
            </w14:solidFill>
          </w14:textFill>
        </w:rPr>
        <w:t>4.62</w:t>
      </w:r>
      <w:r>
        <w:rPr>
          <w:rFonts w:hint="eastAsia"/>
          <w:color w:val="000000" w:themeColor="text1"/>
          <w14:textFill>
            <w14:solidFill>
              <w14:schemeClr w14:val="tx1"/>
            </w14:solidFill>
          </w14:textFill>
        </w:rPr>
        <w:t>万m³，石方</w:t>
      </w:r>
      <w:r>
        <w:rPr>
          <w:color w:val="000000" w:themeColor="text1"/>
          <w14:textFill>
            <w14:solidFill>
              <w14:schemeClr w14:val="tx1"/>
            </w14:solidFill>
          </w14:textFill>
        </w:rPr>
        <w:t>12.21</w:t>
      </w:r>
      <w:r>
        <w:rPr>
          <w:rFonts w:hint="eastAsia"/>
          <w:color w:val="000000" w:themeColor="text1"/>
          <w14:textFill>
            <w14:solidFill>
              <w14:schemeClr w14:val="tx1"/>
            </w14:solidFill>
          </w14:textFill>
        </w:rPr>
        <w:t>万m³）。</w:t>
      </w:r>
      <w:r>
        <w:rPr>
          <w:rFonts w:hint="eastAsia"/>
          <w:color w:val="000000" w:themeColor="text1"/>
          <w:spacing w:val="-3"/>
          <w14:textFill>
            <w14:solidFill>
              <w14:schemeClr w14:val="tx1"/>
            </w14:solidFill>
          </w14:textFill>
        </w:rPr>
        <w:t>余方中可利用石方</w:t>
      </w:r>
      <w:r>
        <w:rPr>
          <w:color w:val="000000" w:themeColor="text1"/>
          <w14:textFill>
            <w14:solidFill>
              <w14:schemeClr w14:val="tx1"/>
            </w14:solidFill>
          </w14:textFill>
        </w:rPr>
        <w:t>6.88</w:t>
      </w:r>
      <w:r>
        <w:rPr>
          <w:rFonts w:hint="eastAsia"/>
          <w:color w:val="000000" w:themeColor="text1"/>
          <w:spacing w:val="-3"/>
          <w14:textFill>
            <w14:solidFill>
              <w14:schemeClr w14:val="tx1"/>
            </w14:solidFill>
          </w14:textFill>
        </w:rPr>
        <w:t>万m</w:t>
      </w:r>
      <w:r>
        <w:rPr>
          <w:rFonts w:hint="eastAsia"/>
          <w:color w:val="000000" w:themeColor="text1"/>
          <w:spacing w:val="-3"/>
          <w:vertAlign w:val="superscript"/>
          <w14:textFill>
            <w14:solidFill>
              <w14:schemeClr w14:val="tx1"/>
            </w14:solidFill>
          </w14:textFill>
        </w:rPr>
        <w:t>3</w:t>
      </w:r>
      <w:r>
        <w:rPr>
          <w:rFonts w:hint="eastAsia"/>
          <w:color w:val="000000" w:themeColor="text1"/>
          <w:spacing w:val="-3"/>
          <w14:textFill>
            <w14:solidFill>
              <w14:schemeClr w14:val="tx1"/>
            </w14:solidFill>
          </w14:textFill>
        </w:rPr>
        <w:t>，用于本项目综合利用，剩余弃方</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w:t>
      </w:r>
    </w:p>
    <w:p w14:paraId="501BD006">
      <w:pPr>
        <w:ind w:firstLine="480"/>
        <w:rPr>
          <w:rFonts w:cstheme="minorBidi"/>
          <w:color w:val="000000" w:themeColor="text1"/>
          <w:szCs w:val="24"/>
          <w14:textFill>
            <w14:solidFill>
              <w14:schemeClr w14:val="tx1"/>
            </w14:solidFill>
          </w14:textFill>
        </w:rPr>
      </w:pPr>
      <w:r>
        <w:rPr>
          <w:rFonts w:hint="eastAsia"/>
          <w:color w:val="000000" w:themeColor="text1"/>
          <w14:textFill>
            <w14:solidFill>
              <w14:schemeClr w14:val="tx1"/>
            </w14:solidFill>
          </w14:textFill>
        </w:rPr>
        <w:t>根据福清市《研究建筑渣土消纳运输规范化管理有关问题会议纪要》福清市人民政府专题会议纪要〔2019〕260号文件要求，由行政服务中心牵头负责建筑渣土资源供需信息平台的开发建设，市域内所有建设项目的渣土供需信息、渣土资源调配等均通过该平台统一处理。辖区内建设项目根据建设实际情况，梳理汇总渣土资源供需情况及具体项目清单、弃土量、需土量，并实时报送至市行政服务中心，由市行政服务中心汇总并及时在该信息平台公开发布，并由行政服务中心负责受理渣土运输备案和审批工作。目前建设单位已在平台上完成注册，将根据平台要求完成</w:t>
      </w:r>
      <w:r>
        <w:rPr>
          <w:rFonts w:hint="eastAsia"/>
          <w:color w:val="000000" w:themeColor="text1"/>
          <w:spacing w:val="-3"/>
          <w14:textFill>
            <w14:solidFill>
              <w14:schemeClr w14:val="tx1"/>
            </w14:solidFill>
          </w14:textFill>
        </w:rPr>
        <w:t>弃方</w:t>
      </w:r>
      <w:r>
        <w:rPr>
          <w:rFonts w:hint="eastAsia"/>
          <w:color w:val="000000" w:themeColor="text1"/>
          <w14:textFill>
            <w14:solidFill>
              <w14:schemeClr w14:val="tx1"/>
            </w14:solidFill>
          </w14:textFill>
        </w:rPr>
        <w:t>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万m³，届时余方外运也将向福清市行政服务中心备案并根据规定的路线和余方接纳点，按照规定路线由指定的渣土运输公司承担余方外运工作。</w:t>
      </w:r>
    </w:p>
    <w:p w14:paraId="74C041F6">
      <w:pPr>
        <w:ind w:firstLine="480"/>
        <w:rPr>
          <w:color w:val="000000" w:themeColor="text1"/>
          <w14:textFill>
            <w14:solidFill>
              <w14:schemeClr w14:val="tx1"/>
            </w14:solidFill>
          </w14:textFill>
        </w:rPr>
      </w:pPr>
      <w:r>
        <w:rPr>
          <w:color w:val="000000" w:themeColor="text1"/>
          <w14:textFill>
            <w14:solidFill>
              <w14:schemeClr w14:val="tx1"/>
            </w14:solidFill>
          </w14:textFill>
        </w:rPr>
        <w:t>全线土石方量一览表见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_Ref193623722 \r \h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表3.6-1</w:t>
      </w:r>
      <w:r>
        <w:rPr>
          <w:color w:val="000000" w:themeColor="text1"/>
          <w14:textFill>
            <w14:solidFill>
              <w14:schemeClr w14:val="tx1"/>
            </w14:solidFill>
          </w14:textFill>
        </w:rPr>
        <w:fldChar w:fldCharType="end"/>
      </w:r>
      <w:r>
        <w:rPr>
          <w:color w:val="000000" w:themeColor="text1"/>
          <w14:textFill>
            <w14:solidFill>
              <w14:schemeClr w14:val="tx1"/>
            </w14:solidFill>
          </w14:textFill>
        </w:rPr>
        <w:t>，土石方平衡见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_Ref193623729 \r \h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图3.6-1</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1E674606">
      <w:pPr>
        <w:ind w:firstLine="480"/>
        <w:rPr>
          <w:color w:val="000000" w:themeColor="text1"/>
          <w14:textFill>
            <w14:solidFill>
              <w14:schemeClr w14:val="tx1"/>
            </w14:solidFill>
          </w14:textFill>
        </w:rPr>
        <w:sectPr>
          <w:pgSz w:w="11910" w:h="16840"/>
          <w:pgMar w:top="1418" w:right="1418" w:bottom="1418" w:left="1418" w:header="851" w:footer="851" w:gutter="0"/>
          <w:cols w:space="720" w:num="1"/>
        </w:sectPr>
      </w:pPr>
    </w:p>
    <w:p w14:paraId="5C4FEC7F">
      <w:pPr>
        <w:pStyle w:val="87"/>
        <w:spacing w:before="120"/>
        <w:rPr>
          <w:color w:val="000000" w:themeColor="text1"/>
          <w14:textFill>
            <w14:solidFill>
              <w14:schemeClr w14:val="tx1"/>
            </w14:solidFill>
          </w14:textFill>
        </w:rPr>
      </w:pPr>
      <w:bookmarkStart w:id="301" w:name="_Ref193623722"/>
      <w:r>
        <w:rPr>
          <w:color w:val="000000" w:themeColor="text1"/>
          <w14:textFill>
            <w14:solidFill>
              <w14:schemeClr w14:val="tx1"/>
            </w14:solidFill>
          </w14:textFill>
        </w:rPr>
        <w:t>全线土石方量一览表</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单位：</w:t>
      </w:r>
      <w:r>
        <w:rPr>
          <w:color w:val="000000" w:themeColor="text1"/>
          <w14:textFill>
            <w14:solidFill>
              <w14:schemeClr w14:val="tx1"/>
            </w14:solidFill>
          </w14:textFill>
        </w:rPr>
        <w:t>万m</w:t>
      </w:r>
      <w:r>
        <w:rPr>
          <w:color w:val="000000" w:themeColor="text1"/>
          <w:vertAlign w:val="superscript"/>
          <w14:textFill>
            <w14:solidFill>
              <w14:schemeClr w14:val="tx1"/>
            </w14:solidFill>
          </w14:textFill>
        </w:rPr>
        <w:t>3</w:t>
      </w:r>
      <w:bookmarkEnd w:id="301"/>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624"/>
        <w:gridCol w:w="867"/>
        <w:gridCol w:w="509"/>
        <w:gridCol w:w="2345"/>
        <w:gridCol w:w="834"/>
        <w:gridCol w:w="819"/>
        <w:gridCol w:w="852"/>
        <w:gridCol w:w="819"/>
        <w:gridCol w:w="1009"/>
        <w:gridCol w:w="698"/>
        <w:gridCol w:w="819"/>
        <w:gridCol w:w="609"/>
        <w:gridCol w:w="745"/>
        <w:gridCol w:w="1050"/>
        <w:gridCol w:w="695"/>
        <w:gridCol w:w="819"/>
        <w:gridCol w:w="675"/>
      </w:tblGrid>
      <w:tr w14:paraId="6D12B0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84" w:hRule="atLeast"/>
          <w:tblHeader/>
        </w:trPr>
        <w:tc>
          <w:tcPr>
            <w:tcW w:w="211" w:type="pct"/>
            <w:vMerge w:val="restart"/>
            <w:tcBorders>
              <w:top w:val="single" w:color="auto" w:sz="12" w:space="0"/>
              <w:left w:val="nil"/>
              <w:bottom w:val="nil"/>
              <w:right w:val="single" w:color="auto" w:sz="6" w:space="0"/>
              <w:insideV w:val="single" w:sz="6" w:space="0"/>
              <w:tl2br w:val="nil"/>
              <w:tr2bl w:val="nil"/>
            </w:tcBorders>
            <w:vAlign w:val="center"/>
          </w:tcPr>
          <w:p w14:paraId="40C89B9A">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序号</w:t>
            </w:r>
          </w:p>
        </w:tc>
        <w:tc>
          <w:tcPr>
            <w:tcW w:w="1258" w:type="pct"/>
            <w:gridSpan w:val="3"/>
            <w:vMerge w:val="restart"/>
            <w:tcBorders>
              <w:top w:val="single" w:color="auto" w:sz="12" w:space="0"/>
              <w:bottom w:val="nil"/>
              <w:right w:val="single" w:color="auto" w:sz="6" w:space="0"/>
              <w:insideV w:val="single" w:sz="6" w:space="0"/>
              <w:tl2br w:val="nil"/>
              <w:tr2bl w:val="nil"/>
            </w:tcBorders>
            <w:vAlign w:val="center"/>
          </w:tcPr>
          <w:p w14:paraId="7D661CED">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3"/>
                <w:sz w:val="18"/>
                <w:szCs w:val="18"/>
                <w14:textFill>
                  <w14:solidFill>
                    <w14:schemeClr w14:val="tx1"/>
                  </w14:solidFill>
                </w14:textFill>
              </w:rPr>
              <w:t>项目</w:t>
            </w:r>
          </w:p>
        </w:tc>
        <w:tc>
          <w:tcPr>
            <w:tcW w:w="847" w:type="pct"/>
            <w:gridSpan w:val="3"/>
            <w:tcBorders>
              <w:top w:val="single" w:color="auto" w:sz="12" w:space="0"/>
              <w:bottom w:val="nil"/>
              <w:right w:val="single" w:color="auto" w:sz="6" w:space="0"/>
              <w:insideV w:val="single" w:sz="6" w:space="0"/>
              <w:tl2br w:val="nil"/>
              <w:tr2bl w:val="nil"/>
            </w:tcBorders>
            <w:vAlign w:val="center"/>
          </w:tcPr>
          <w:p w14:paraId="6A25321C">
            <w:pPr>
              <w:pStyle w:val="105"/>
              <w:widowControl w:val="0"/>
              <w:spacing w:before="0" w:after="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挖方</w:t>
            </w:r>
          </w:p>
        </w:tc>
        <w:tc>
          <w:tcPr>
            <w:tcW w:w="854" w:type="pct"/>
            <w:gridSpan w:val="3"/>
            <w:tcBorders>
              <w:top w:val="single" w:color="auto" w:sz="12" w:space="0"/>
              <w:bottom w:val="nil"/>
              <w:right w:val="single" w:color="auto" w:sz="6" w:space="0"/>
              <w:insideV w:val="single" w:sz="6" w:space="0"/>
              <w:tl2br w:val="nil"/>
              <w:tr2bl w:val="nil"/>
            </w:tcBorders>
            <w:vAlign w:val="center"/>
          </w:tcPr>
          <w:p w14:paraId="6566C306">
            <w:pPr>
              <w:pStyle w:val="105"/>
              <w:widowControl w:val="0"/>
              <w:spacing w:before="0" w:after="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填方</w:t>
            </w:r>
          </w:p>
        </w:tc>
        <w:tc>
          <w:tcPr>
            <w:tcW w:w="483" w:type="pct"/>
            <w:gridSpan w:val="2"/>
            <w:tcBorders>
              <w:top w:val="single" w:color="auto" w:sz="12" w:space="0"/>
              <w:bottom w:val="nil"/>
              <w:right w:val="single" w:color="auto" w:sz="6" w:space="0"/>
              <w:insideV w:val="single" w:sz="6" w:space="0"/>
              <w:tl2br w:val="nil"/>
              <w:tr2bl w:val="nil"/>
            </w:tcBorders>
            <w:vAlign w:val="center"/>
          </w:tcPr>
          <w:p w14:paraId="728C305C">
            <w:pPr>
              <w:pStyle w:val="105"/>
              <w:widowControl w:val="0"/>
              <w:spacing w:before="0" w:after="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调入</w:t>
            </w:r>
          </w:p>
        </w:tc>
        <w:tc>
          <w:tcPr>
            <w:tcW w:w="607" w:type="pct"/>
            <w:gridSpan w:val="2"/>
            <w:tcBorders>
              <w:top w:val="single" w:color="auto" w:sz="12" w:space="0"/>
              <w:bottom w:val="nil"/>
              <w:right w:val="single" w:color="auto" w:sz="6" w:space="0"/>
              <w:insideV w:val="single" w:sz="6" w:space="0"/>
              <w:tl2br w:val="nil"/>
              <w:tr2bl w:val="nil"/>
            </w:tcBorders>
            <w:vAlign w:val="center"/>
          </w:tcPr>
          <w:p w14:paraId="4C0C2E33">
            <w:pPr>
              <w:pStyle w:val="105"/>
              <w:widowControl w:val="0"/>
              <w:spacing w:before="0" w:after="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调出</w:t>
            </w:r>
          </w:p>
        </w:tc>
        <w:tc>
          <w:tcPr>
            <w:tcW w:w="740" w:type="pct"/>
            <w:gridSpan w:val="3"/>
            <w:tcBorders>
              <w:top w:val="single" w:color="auto" w:sz="12" w:space="0"/>
              <w:bottom w:val="nil"/>
              <w:right w:val="nil"/>
              <w:insideV w:val="single" w:sz="6" w:space="0"/>
              <w:tl2br w:val="nil"/>
              <w:tr2bl w:val="nil"/>
            </w:tcBorders>
            <w:vAlign w:val="center"/>
          </w:tcPr>
          <w:p w14:paraId="089B46AF">
            <w:pPr>
              <w:pStyle w:val="105"/>
              <w:widowControl w:val="0"/>
              <w:spacing w:before="0" w:after="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余（弃）方</w:t>
            </w:r>
          </w:p>
        </w:tc>
      </w:tr>
      <w:tr w14:paraId="09318D4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84" w:hRule="atLeast"/>
          <w:tblHeader/>
        </w:trPr>
        <w:tc>
          <w:tcPr>
            <w:tcW w:w="211" w:type="pct"/>
            <w:vMerge w:val="continue"/>
            <w:tcBorders>
              <w:top w:val="single" w:color="auto" w:sz="12" w:space="0"/>
              <w:left w:val="nil"/>
              <w:bottom w:val="nil"/>
              <w:right w:val="single" w:color="auto" w:sz="6" w:space="0"/>
              <w:insideH w:val="nil"/>
              <w:insideV w:val="single" w:sz="6" w:space="0"/>
              <w:tl2br w:val="nil"/>
              <w:tr2bl w:val="nil"/>
            </w:tcBorders>
            <w:vAlign w:val="center"/>
          </w:tcPr>
          <w:p w14:paraId="646C1FAD">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p>
        </w:tc>
        <w:tc>
          <w:tcPr>
            <w:tcW w:w="1258" w:type="pct"/>
            <w:gridSpan w:val="3"/>
            <w:vMerge w:val="continue"/>
            <w:tcBorders>
              <w:top w:val="single" w:color="auto" w:sz="12" w:space="0"/>
              <w:bottom w:val="nil"/>
              <w:right w:val="single" w:color="auto" w:sz="6" w:space="0"/>
              <w:insideH w:val="nil"/>
              <w:insideV w:val="single" w:sz="6" w:space="0"/>
              <w:tl2br w:val="nil"/>
              <w:tr2bl w:val="nil"/>
            </w:tcBorders>
            <w:vAlign w:val="center"/>
          </w:tcPr>
          <w:p w14:paraId="207BC095">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p>
        </w:tc>
        <w:tc>
          <w:tcPr>
            <w:tcW w:w="282" w:type="pct"/>
            <w:tcBorders>
              <w:top w:val="single" w:color="auto" w:sz="12" w:space="0"/>
              <w:bottom w:val="nil"/>
              <w:right w:val="single" w:color="auto" w:sz="6" w:space="0"/>
              <w:insideH w:val="nil"/>
              <w:insideV w:val="single" w:sz="6" w:space="0"/>
              <w:tl2br w:val="nil"/>
              <w:tr2bl w:val="nil"/>
            </w:tcBorders>
            <w:vAlign w:val="center"/>
          </w:tcPr>
          <w:p w14:paraId="5BD24767">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2"/>
                <w:sz w:val="18"/>
                <w:szCs w:val="18"/>
                <w14:textFill>
                  <w14:solidFill>
                    <w14:schemeClr w14:val="tx1"/>
                  </w14:solidFill>
                </w14:textFill>
              </w:rPr>
              <w:t>小计</w:t>
            </w:r>
          </w:p>
        </w:tc>
        <w:tc>
          <w:tcPr>
            <w:tcW w:w="277" w:type="pct"/>
            <w:tcBorders>
              <w:top w:val="single" w:color="auto" w:sz="12" w:space="0"/>
              <w:bottom w:val="nil"/>
              <w:right w:val="single" w:color="auto" w:sz="6" w:space="0"/>
              <w:insideH w:val="nil"/>
              <w:insideV w:val="single" w:sz="6" w:space="0"/>
              <w:tl2br w:val="nil"/>
              <w:tr2bl w:val="nil"/>
            </w:tcBorders>
            <w:vAlign w:val="center"/>
          </w:tcPr>
          <w:p w14:paraId="3B555067">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3"/>
                <w:sz w:val="18"/>
                <w:szCs w:val="18"/>
                <w14:textFill>
                  <w14:solidFill>
                    <w14:schemeClr w14:val="tx1"/>
                  </w14:solidFill>
                </w14:textFill>
              </w:rPr>
              <w:t>土方</w:t>
            </w:r>
          </w:p>
        </w:tc>
        <w:tc>
          <w:tcPr>
            <w:tcW w:w="288" w:type="pct"/>
            <w:tcBorders>
              <w:top w:val="single" w:color="auto" w:sz="12" w:space="0"/>
              <w:bottom w:val="nil"/>
              <w:right w:val="single" w:color="auto" w:sz="6" w:space="0"/>
              <w:insideH w:val="nil"/>
              <w:insideV w:val="single" w:sz="6" w:space="0"/>
              <w:tl2br w:val="nil"/>
              <w:tr2bl w:val="nil"/>
            </w:tcBorders>
            <w:vAlign w:val="center"/>
          </w:tcPr>
          <w:p w14:paraId="3C2CD743">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4"/>
                <w:sz w:val="18"/>
                <w:szCs w:val="18"/>
                <w14:textFill>
                  <w14:solidFill>
                    <w14:schemeClr w14:val="tx1"/>
                  </w14:solidFill>
                </w14:textFill>
              </w:rPr>
              <w:t>石方</w:t>
            </w:r>
          </w:p>
        </w:tc>
        <w:tc>
          <w:tcPr>
            <w:tcW w:w="277" w:type="pct"/>
            <w:tcBorders>
              <w:top w:val="single" w:color="auto" w:sz="12" w:space="0"/>
              <w:bottom w:val="nil"/>
              <w:right w:val="single" w:color="auto" w:sz="6" w:space="0"/>
              <w:insideH w:val="nil"/>
              <w:insideV w:val="single" w:sz="6" w:space="0"/>
              <w:tl2br w:val="nil"/>
              <w:tr2bl w:val="nil"/>
            </w:tcBorders>
            <w:vAlign w:val="center"/>
          </w:tcPr>
          <w:p w14:paraId="1679F773">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2"/>
                <w:sz w:val="18"/>
                <w:szCs w:val="18"/>
                <w14:textFill>
                  <w14:solidFill>
                    <w14:schemeClr w14:val="tx1"/>
                  </w14:solidFill>
                </w14:textFill>
              </w:rPr>
              <w:t>小计</w:t>
            </w:r>
          </w:p>
        </w:tc>
        <w:tc>
          <w:tcPr>
            <w:tcW w:w="341" w:type="pct"/>
            <w:tcBorders>
              <w:top w:val="single" w:color="auto" w:sz="12" w:space="0"/>
              <w:bottom w:val="nil"/>
              <w:right w:val="single" w:color="auto" w:sz="6" w:space="0"/>
              <w:insideH w:val="nil"/>
              <w:insideV w:val="single" w:sz="6" w:space="0"/>
              <w:tl2br w:val="nil"/>
              <w:tr2bl w:val="nil"/>
            </w:tcBorders>
            <w:vAlign w:val="center"/>
          </w:tcPr>
          <w:p w14:paraId="281200BC">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3"/>
                <w:sz w:val="18"/>
                <w:szCs w:val="18"/>
                <w14:textFill>
                  <w14:solidFill>
                    <w14:schemeClr w14:val="tx1"/>
                  </w14:solidFill>
                </w14:textFill>
              </w:rPr>
              <w:t>土方</w:t>
            </w:r>
          </w:p>
        </w:tc>
        <w:tc>
          <w:tcPr>
            <w:tcW w:w="236" w:type="pct"/>
            <w:tcBorders>
              <w:top w:val="single" w:color="auto" w:sz="12" w:space="0"/>
              <w:bottom w:val="nil"/>
              <w:right w:val="single" w:color="auto" w:sz="6" w:space="0"/>
              <w:insideH w:val="nil"/>
              <w:insideV w:val="single" w:sz="6" w:space="0"/>
              <w:tl2br w:val="nil"/>
              <w:tr2bl w:val="nil"/>
            </w:tcBorders>
            <w:vAlign w:val="center"/>
          </w:tcPr>
          <w:p w14:paraId="7FC4ED06">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石方</w:t>
            </w:r>
          </w:p>
        </w:tc>
        <w:tc>
          <w:tcPr>
            <w:tcW w:w="277" w:type="pct"/>
            <w:tcBorders>
              <w:top w:val="single" w:color="auto" w:sz="12" w:space="0"/>
              <w:bottom w:val="nil"/>
              <w:right w:val="single" w:color="auto" w:sz="6" w:space="0"/>
              <w:insideH w:val="nil"/>
              <w:insideV w:val="single" w:sz="6" w:space="0"/>
              <w:tl2br w:val="nil"/>
              <w:tr2bl w:val="nil"/>
            </w:tcBorders>
            <w:vAlign w:val="center"/>
          </w:tcPr>
          <w:p w14:paraId="0FD84C18">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3"/>
                <w:sz w:val="18"/>
                <w:szCs w:val="18"/>
                <w14:textFill>
                  <w14:solidFill>
                    <w14:schemeClr w14:val="tx1"/>
                  </w14:solidFill>
                </w14:textFill>
              </w:rPr>
              <w:t>数量</w:t>
            </w:r>
          </w:p>
        </w:tc>
        <w:tc>
          <w:tcPr>
            <w:tcW w:w="206" w:type="pct"/>
            <w:tcBorders>
              <w:top w:val="single" w:color="auto" w:sz="12" w:space="0"/>
              <w:bottom w:val="nil"/>
              <w:right w:val="single" w:color="auto" w:sz="6" w:space="0"/>
              <w:insideH w:val="nil"/>
              <w:insideV w:val="single" w:sz="6" w:space="0"/>
              <w:tl2br w:val="nil"/>
              <w:tr2bl w:val="nil"/>
            </w:tcBorders>
            <w:vAlign w:val="center"/>
          </w:tcPr>
          <w:p w14:paraId="41522E4C">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来源</w:t>
            </w:r>
          </w:p>
        </w:tc>
        <w:tc>
          <w:tcPr>
            <w:tcW w:w="252" w:type="pct"/>
            <w:tcBorders>
              <w:top w:val="single" w:color="auto" w:sz="12" w:space="0"/>
              <w:bottom w:val="nil"/>
              <w:right w:val="single" w:color="auto" w:sz="6" w:space="0"/>
              <w:insideH w:val="nil"/>
              <w:insideV w:val="single" w:sz="6" w:space="0"/>
              <w:tl2br w:val="nil"/>
              <w:tr2bl w:val="nil"/>
            </w:tcBorders>
            <w:vAlign w:val="center"/>
          </w:tcPr>
          <w:p w14:paraId="2AAFE0C6">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3"/>
                <w:sz w:val="18"/>
                <w:szCs w:val="18"/>
                <w14:textFill>
                  <w14:solidFill>
                    <w14:schemeClr w14:val="tx1"/>
                  </w14:solidFill>
                </w14:textFill>
              </w:rPr>
              <w:t>数量</w:t>
            </w:r>
          </w:p>
        </w:tc>
        <w:tc>
          <w:tcPr>
            <w:tcW w:w="355" w:type="pct"/>
            <w:tcBorders>
              <w:top w:val="single" w:color="auto" w:sz="12" w:space="0"/>
              <w:bottom w:val="nil"/>
              <w:right w:val="single" w:color="auto" w:sz="6" w:space="0"/>
              <w:insideH w:val="nil"/>
              <w:insideV w:val="single" w:sz="6" w:space="0"/>
              <w:tl2br w:val="nil"/>
              <w:tr2bl w:val="nil"/>
            </w:tcBorders>
            <w:vAlign w:val="center"/>
          </w:tcPr>
          <w:p w14:paraId="57A1BFBA">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4"/>
                <w:sz w:val="18"/>
                <w:szCs w:val="18"/>
                <w14:textFill>
                  <w14:solidFill>
                    <w14:schemeClr w14:val="tx1"/>
                  </w14:solidFill>
                </w14:textFill>
              </w:rPr>
              <w:t>去向</w:t>
            </w:r>
          </w:p>
        </w:tc>
        <w:tc>
          <w:tcPr>
            <w:tcW w:w="235" w:type="pct"/>
            <w:tcBorders>
              <w:top w:val="single" w:color="auto" w:sz="12" w:space="0"/>
              <w:bottom w:val="nil"/>
              <w:right w:val="single" w:color="auto" w:sz="6" w:space="0"/>
              <w:insideH w:val="nil"/>
              <w:insideV w:val="single" w:sz="6" w:space="0"/>
              <w:tl2br w:val="nil"/>
              <w:tr2bl w:val="nil"/>
            </w:tcBorders>
            <w:vAlign w:val="center"/>
          </w:tcPr>
          <w:p w14:paraId="4389F120">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1"/>
                <w:sz w:val="18"/>
                <w:szCs w:val="18"/>
                <w14:textFill>
                  <w14:solidFill>
                    <w14:schemeClr w14:val="tx1"/>
                  </w14:solidFill>
                </w14:textFill>
              </w:rPr>
              <w:t>土方</w:t>
            </w:r>
          </w:p>
        </w:tc>
        <w:tc>
          <w:tcPr>
            <w:tcW w:w="277" w:type="pct"/>
            <w:tcBorders>
              <w:top w:val="single" w:color="auto" w:sz="12" w:space="0"/>
              <w:bottom w:val="nil"/>
              <w:right w:val="single" w:color="auto" w:sz="6" w:space="0"/>
              <w:insideH w:val="nil"/>
              <w:insideV w:val="single" w:sz="6" w:space="0"/>
              <w:tl2br w:val="nil"/>
              <w:tr2bl w:val="nil"/>
            </w:tcBorders>
            <w:vAlign w:val="center"/>
          </w:tcPr>
          <w:p w14:paraId="7045D8DF">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8"/>
                <w:sz w:val="18"/>
                <w:szCs w:val="18"/>
                <w14:textFill>
                  <w14:solidFill>
                    <w14:schemeClr w14:val="tx1"/>
                  </w14:solidFill>
                </w14:textFill>
              </w:rPr>
              <w:t>石方</w:t>
            </w:r>
          </w:p>
        </w:tc>
        <w:tc>
          <w:tcPr>
            <w:tcW w:w="228" w:type="pct"/>
            <w:tcBorders>
              <w:top w:val="single" w:color="auto" w:sz="12" w:space="0"/>
              <w:bottom w:val="nil"/>
              <w:right w:val="nil"/>
              <w:insideH w:val="nil"/>
              <w:insideV w:val="single" w:sz="6" w:space="0"/>
              <w:tl2br w:val="nil"/>
              <w:tr2bl w:val="nil"/>
            </w:tcBorders>
            <w:vAlign w:val="center"/>
          </w:tcPr>
          <w:p w14:paraId="5393D905">
            <w:pPr>
              <w:pStyle w:val="105"/>
              <w:widowControl w:val="0"/>
              <w:ind w:left="-48" w:leftChars="-20" w:right="-48" w:rightChars="-2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z w:val="18"/>
                <w:szCs w:val="18"/>
                <w14:textFill>
                  <w14:solidFill>
                    <w14:schemeClr w14:val="tx1"/>
                  </w14:solidFill>
                </w14:textFill>
              </w:rPr>
              <w:t>去向</w:t>
            </w:r>
          </w:p>
        </w:tc>
      </w:tr>
      <w:tr w14:paraId="08D0E19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54A777E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A</w:t>
            </w:r>
          </w:p>
        </w:tc>
        <w:tc>
          <w:tcPr>
            <w:tcW w:w="293" w:type="pct"/>
            <w:vMerge w:val="restart"/>
            <w:vAlign w:val="center"/>
          </w:tcPr>
          <w:p w14:paraId="20838BE5">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路基工程</w:t>
            </w:r>
            <w:r>
              <w:rPr>
                <w:color w:val="000000" w:themeColor="text1"/>
                <w:sz w:val="18"/>
                <w:szCs w:val="18"/>
                <w14:textFill>
                  <w14:solidFill>
                    <w14:schemeClr w14:val="tx1"/>
                  </w14:solidFill>
                </w14:textFill>
              </w:rPr>
              <w:t>区</w:t>
            </w:r>
          </w:p>
        </w:tc>
        <w:tc>
          <w:tcPr>
            <w:tcW w:w="172" w:type="pct"/>
            <w:vMerge w:val="restart"/>
            <w:vAlign w:val="center"/>
          </w:tcPr>
          <w:p w14:paraId="2BD2E1A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15"/>
                <w:sz w:val="18"/>
                <w:szCs w:val="18"/>
                <w14:textFill>
                  <w14:solidFill>
                    <w14:schemeClr w14:val="tx1"/>
                  </w14:solidFill>
                </w14:textFill>
              </w:rPr>
              <w:t>路基工程</w:t>
            </w:r>
          </w:p>
        </w:tc>
        <w:tc>
          <w:tcPr>
            <w:tcW w:w="792" w:type="pct"/>
            <w:vAlign w:val="center"/>
          </w:tcPr>
          <w:p w14:paraId="2CDA322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K0+</w:t>
            </w:r>
            <w:bookmarkStart w:id="302" w:name="hmcheck_90aedc2a9de84e72b744da0f7b07cbad"/>
            <w:r>
              <w:rPr>
                <w:rFonts w:eastAsia="Times New Roman" w:cs="Times New Roman"/>
                <w:color w:val="000000" w:themeColor="text1"/>
                <w:spacing w:val="-1"/>
                <w:sz w:val="18"/>
                <w:szCs w:val="18"/>
                <w:shd w:val="clear" w:fill="FFAFAA"/>
                <w14:textFill>
                  <w14:solidFill>
                    <w14:schemeClr w14:val="tx1"/>
                  </w14:solidFill>
                </w14:textFill>
              </w:rPr>
              <w:t>000~</w:t>
            </w:r>
            <w:bookmarkEnd w:id="302"/>
            <w:r>
              <w:rPr>
                <w:rFonts w:eastAsia="Times New Roman" w:cs="Times New Roman"/>
                <w:color w:val="000000" w:themeColor="text1"/>
                <w:spacing w:val="-1"/>
                <w:sz w:val="18"/>
                <w:szCs w:val="18"/>
                <w14:textFill>
                  <w14:solidFill>
                    <w14:schemeClr w14:val="tx1"/>
                  </w14:solidFill>
                </w14:textFill>
              </w:rPr>
              <w:t>K1+000</w:t>
            </w:r>
          </w:p>
        </w:tc>
        <w:tc>
          <w:tcPr>
            <w:tcW w:w="282" w:type="pct"/>
            <w:vAlign w:val="center"/>
          </w:tcPr>
          <w:p w14:paraId="60BE71D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26.89</w:t>
            </w:r>
          </w:p>
        </w:tc>
        <w:tc>
          <w:tcPr>
            <w:tcW w:w="277" w:type="pct"/>
            <w:vAlign w:val="center"/>
          </w:tcPr>
          <w:p w14:paraId="4FB6164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17.88</w:t>
            </w:r>
          </w:p>
        </w:tc>
        <w:tc>
          <w:tcPr>
            <w:tcW w:w="288" w:type="pct"/>
            <w:vAlign w:val="center"/>
          </w:tcPr>
          <w:p w14:paraId="1180C0F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9.01</w:t>
            </w:r>
          </w:p>
        </w:tc>
        <w:tc>
          <w:tcPr>
            <w:tcW w:w="277" w:type="pct"/>
            <w:vAlign w:val="center"/>
          </w:tcPr>
          <w:p w14:paraId="17A1D38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1.96</w:t>
            </w:r>
          </w:p>
        </w:tc>
        <w:tc>
          <w:tcPr>
            <w:tcW w:w="341" w:type="pct"/>
            <w:vAlign w:val="center"/>
          </w:tcPr>
          <w:p w14:paraId="0E9F7E6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1.96</w:t>
            </w:r>
          </w:p>
        </w:tc>
        <w:tc>
          <w:tcPr>
            <w:tcW w:w="236" w:type="pct"/>
            <w:vAlign w:val="center"/>
          </w:tcPr>
          <w:p w14:paraId="6644843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318542AB">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4B419449">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75C2F7D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15.23</w:t>
            </w:r>
          </w:p>
        </w:tc>
        <w:tc>
          <w:tcPr>
            <w:tcW w:w="355" w:type="pct"/>
            <w:vAlign w:val="center"/>
          </w:tcPr>
          <w:p w14:paraId="1226BF3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BCDGJ</w:t>
            </w:r>
          </w:p>
        </w:tc>
        <w:tc>
          <w:tcPr>
            <w:tcW w:w="235" w:type="pct"/>
            <w:vAlign w:val="center"/>
          </w:tcPr>
          <w:p w14:paraId="6624837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0.80</w:t>
            </w:r>
          </w:p>
        </w:tc>
        <w:tc>
          <w:tcPr>
            <w:tcW w:w="277" w:type="pct"/>
            <w:vAlign w:val="center"/>
          </w:tcPr>
          <w:p w14:paraId="1E97859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8.90</w:t>
            </w:r>
          </w:p>
        </w:tc>
        <w:tc>
          <w:tcPr>
            <w:tcW w:w="228" w:type="pct"/>
            <w:vAlign w:val="center"/>
          </w:tcPr>
          <w:p w14:paraId="728A08FC">
            <w:pPr>
              <w:pStyle w:val="105"/>
              <w:widowControl w:val="0"/>
              <w:ind w:left="-48" w:leftChars="-20" w:right="-48" w:rightChars="-20"/>
              <w:jc w:val="center"/>
              <w:rPr>
                <w:color w:val="000000" w:themeColor="text1"/>
                <w:sz w:val="18"/>
                <w:szCs w:val="18"/>
                <w14:textFill>
                  <w14:solidFill>
                    <w14:schemeClr w14:val="tx1"/>
                  </w14:solidFill>
                </w14:textFill>
              </w:rPr>
            </w:pPr>
          </w:p>
        </w:tc>
      </w:tr>
      <w:tr w14:paraId="438107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3F388225">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B</w:t>
            </w:r>
          </w:p>
        </w:tc>
        <w:tc>
          <w:tcPr>
            <w:tcW w:w="293" w:type="pct"/>
            <w:vMerge w:val="continue"/>
            <w:vAlign w:val="center"/>
          </w:tcPr>
          <w:p w14:paraId="5799ABFD">
            <w:pPr>
              <w:pStyle w:val="105"/>
              <w:widowControl w:val="0"/>
              <w:ind w:left="-48" w:leftChars="-20" w:right="-48" w:rightChars="-20"/>
              <w:jc w:val="center"/>
              <w:rPr>
                <w:color w:val="000000" w:themeColor="text1"/>
                <w:sz w:val="18"/>
                <w:szCs w:val="18"/>
                <w14:textFill>
                  <w14:solidFill>
                    <w14:schemeClr w14:val="tx1"/>
                  </w14:solidFill>
                </w14:textFill>
              </w:rPr>
            </w:pPr>
          </w:p>
        </w:tc>
        <w:tc>
          <w:tcPr>
            <w:tcW w:w="172" w:type="pct"/>
            <w:vMerge w:val="continue"/>
            <w:vAlign w:val="center"/>
          </w:tcPr>
          <w:p w14:paraId="598B1A54">
            <w:pPr>
              <w:pStyle w:val="105"/>
              <w:widowControl w:val="0"/>
              <w:ind w:left="-48" w:leftChars="-20" w:right="-48" w:rightChars="-20"/>
              <w:jc w:val="center"/>
              <w:rPr>
                <w:color w:val="000000" w:themeColor="text1"/>
                <w:sz w:val="18"/>
                <w:szCs w:val="18"/>
                <w14:textFill>
                  <w14:solidFill>
                    <w14:schemeClr w14:val="tx1"/>
                  </w14:solidFill>
                </w14:textFill>
              </w:rPr>
            </w:pPr>
          </w:p>
        </w:tc>
        <w:tc>
          <w:tcPr>
            <w:tcW w:w="792" w:type="pct"/>
            <w:vAlign w:val="center"/>
          </w:tcPr>
          <w:p w14:paraId="15F16D6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K1+</w:t>
            </w:r>
            <w:bookmarkStart w:id="303" w:name="hmcheck_07e041a17b304aedb70404ddeb3e120a"/>
            <w:r>
              <w:rPr>
                <w:rFonts w:eastAsia="Times New Roman" w:cs="Times New Roman"/>
                <w:color w:val="000000" w:themeColor="text1"/>
                <w:spacing w:val="-1"/>
                <w:sz w:val="18"/>
                <w:szCs w:val="18"/>
                <w:shd w:val="clear" w:fill="FFAFAA"/>
                <w14:textFill>
                  <w14:solidFill>
                    <w14:schemeClr w14:val="tx1"/>
                  </w14:solidFill>
                </w14:textFill>
              </w:rPr>
              <w:t>000~</w:t>
            </w:r>
            <w:bookmarkEnd w:id="303"/>
            <w:r>
              <w:rPr>
                <w:rFonts w:eastAsia="Times New Roman" w:cs="Times New Roman"/>
                <w:color w:val="000000" w:themeColor="text1"/>
                <w:spacing w:val="-1"/>
                <w:sz w:val="18"/>
                <w:szCs w:val="18"/>
                <w14:textFill>
                  <w14:solidFill>
                    <w14:schemeClr w14:val="tx1"/>
                  </w14:solidFill>
                </w14:textFill>
              </w:rPr>
              <w:t>K2+000</w:t>
            </w:r>
          </w:p>
        </w:tc>
        <w:tc>
          <w:tcPr>
            <w:tcW w:w="282" w:type="pct"/>
            <w:vAlign w:val="center"/>
          </w:tcPr>
          <w:p w14:paraId="5A0E579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0.51</w:t>
            </w:r>
          </w:p>
        </w:tc>
        <w:tc>
          <w:tcPr>
            <w:tcW w:w="277" w:type="pct"/>
            <w:vAlign w:val="center"/>
          </w:tcPr>
          <w:p w14:paraId="2A1EDB5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0.51</w:t>
            </w:r>
          </w:p>
        </w:tc>
        <w:tc>
          <w:tcPr>
            <w:tcW w:w="288" w:type="pct"/>
            <w:vAlign w:val="center"/>
          </w:tcPr>
          <w:p w14:paraId="3968E9A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02D6BB2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3.26</w:t>
            </w:r>
          </w:p>
        </w:tc>
        <w:tc>
          <w:tcPr>
            <w:tcW w:w="341" w:type="pct"/>
            <w:vAlign w:val="center"/>
          </w:tcPr>
          <w:p w14:paraId="3AA4994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3.26</w:t>
            </w:r>
          </w:p>
        </w:tc>
        <w:tc>
          <w:tcPr>
            <w:tcW w:w="236" w:type="pct"/>
            <w:vAlign w:val="center"/>
          </w:tcPr>
          <w:p w14:paraId="1BF591F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7BACCDD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2.76</w:t>
            </w:r>
          </w:p>
        </w:tc>
        <w:tc>
          <w:tcPr>
            <w:tcW w:w="206" w:type="pct"/>
            <w:vAlign w:val="center"/>
          </w:tcPr>
          <w:p w14:paraId="3328DB9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A</w:t>
            </w:r>
          </w:p>
        </w:tc>
        <w:tc>
          <w:tcPr>
            <w:tcW w:w="252" w:type="pct"/>
            <w:vAlign w:val="center"/>
          </w:tcPr>
          <w:p w14:paraId="3F421DDB">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39FB04A6">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2DF66C4F">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2984A680">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73F6D59E">
            <w:pPr>
              <w:pStyle w:val="105"/>
              <w:widowControl w:val="0"/>
              <w:ind w:left="-48" w:leftChars="-20" w:right="-48" w:rightChars="-20"/>
              <w:jc w:val="center"/>
              <w:rPr>
                <w:color w:val="000000" w:themeColor="text1"/>
                <w:sz w:val="18"/>
                <w:szCs w:val="18"/>
                <w14:textFill>
                  <w14:solidFill>
                    <w14:schemeClr w14:val="tx1"/>
                  </w14:solidFill>
                </w14:textFill>
              </w:rPr>
            </w:pPr>
          </w:p>
        </w:tc>
      </w:tr>
      <w:tr w14:paraId="215DF0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3BA4FEA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C</w:t>
            </w:r>
          </w:p>
        </w:tc>
        <w:tc>
          <w:tcPr>
            <w:tcW w:w="293" w:type="pct"/>
            <w:vMerge w:val="continue"/>
            <w:vAlign w:val="center"/>
          </w:tcPr>
          <w:p w14:paraId="4DB8EA48">
            <w:pPr>
              <w:pStyle w:val="105"/>
              <w:widowControl w:val="0"/>
              <w:ind w:left="-48" w:leftChars="-20" w:right="-48" w:rightChars="-20"/>
              <w:jc w:val="center"/>
              <w:rPr>
                <w:color w:val="000000" w:themeColor="text1"/>
                <w:sz w:val="18"/>
                <w:szCs w:val="18"/>
                <w14:textFill>
                  <w14:solidFill>
                    <w14:schemeClr w14:val="tx1"/>
                  </w14:solidFill>
                </w14:textFill>
              </w:rPr>
            </w:pPr>
          </w:p>
        </w:tc>
        <w:tc>
          <w:tcPr>
            <w:tcW w:w="172" w:type="pct"/>
            <w:vMerge w:val="continue"/>
            <w:vAlign w:val="center"/>
          </w:tcPr>
          <w:p w14:paraId="11392E20">
            <w:pPr>
              <w:pStyle w:val="105"/>
              <w:widowControl w:val="0"/>
              <w:ind w:left="-48" w:leftChars="-20" w:right="-48" w:rightChars="-20"/>
              <w:jc w:val="center"/>
              <w:rPr>
                <w:color w:val="000000" w:themeColor="text1"/>
                <w:sz w:val="18"/>
                <w:szCs w:val="18"/>
                <w14:textFill>
                  <w14:solidFill>
                    <w14:schemeClr w14:val="tx1"/>
                  </w14:solidFill>
                </w14:textFill>
              </w:rPr>
            </w:pPr>
          </w:p>
        </w:tc>
        <w:tc>
          <w:tcPr>
            <w:tcW w:w="792" w:type="pct"/>
            <w:vAlign w:val="center"/>
          </w:tcPr>
          <w:p w14:paraId="53DEEBF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K2+</w:t>
            </w:r>
            <w:bookmarkStart w:id="304" w:name="hmcheck_0b041a4cbc9a4e7fb4de458c9b70ce07"/>
            <w:r>
              <w:rPr>
                <w:rFonts w:eastAsia="Times New Roman" w:cs="Times New Roman"/>
                <w:color w:val="000000" w:themeColor="text1"/>
                <w:spacing w:val="-1"/>
                <w:sz w:val="18"/>
                <w:szCs w:val="18"/>
                <w:shd w:val="clear" w:fill="FFAFAA"/>
                <w14:textFill>
                  <w14:solidFill>
                    <w14:schemeClr w14:val="tx1"/>
                  </w14:solidFill>
                </w14:textFill>
              </w:rPr>
              <w:t>000~</w:t>
            </w:r>
            <w:bookmarkEnd w:id="304"/>
            <w:r>
              <w:rPr>
                <w:rFonts w:eastAsia="Times New Roman" w:cs="Times New Roman"/>
                <w:color w:val="000000" w:themeColor="text1"/>
                <w:spacing w:val="-1"/>
                <w:sz w:val="18"/>
                <w:szCs w:val="18"/>
                <w14:textFill>
                  <w14:solidFill>
                    <w14:schemeClr w14:val="tx1"/>
                  </w14:solidFill>
                </w14:textFill>
              </w:rPr>
              <w:t>K3+000</w:t>
            </w:r>
          </w:p>
        </w:tc>
        <w:tc>
          <w:tcPr>
            <w:tcW w:w="282" w:type="pct"/>
            <w:vAlign w:val="center"/>
          </w:tcPr>
          <w:p w14:paraId="6715138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0.03</w:t>
            </w:r>
          </w:p>
        </w:tc>
        <w:tc>
          <w:tcPr>
            <w:tcW w:w="277" w:type="pct"/>
            <w:vAlign w:val="center"/>
          </w:tcPr>
          <w:p w14:paraId="1B467C1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0.03</w:t>
            </w:r>
          </w:p>
        </w:tc>
        <w:tc>
          <w:tcPr>
            <w:tcW w:w="288" w:type="pct"/>
            <w:vAlign w:val="center"/>
          </w:tcPr>
          <w:p w14:paraId="30AABD2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30F4D6E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10.86</w:t>
            </w:r>
          </w:p>
        </w:tc>
        <w:tc>
          <w:tcPr>
            <w:tcW w:w="341" w:type="pct"/>
            <w:vAlign w:val="center"/>
          </w:tcPr>
          <w:p w14:paraId="7943172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10.86</w:t>
            </w:r>
          </w:p>
        </w:tc>
        <w:tc>
          <w:tcPr>
            <w:tcW w:w="236" w:type="pct"/>
            <w:vAlign w:val="center"/>
          </w:tcPr>
          <w:p w14:paraId="5B971D1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618EE23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10.82</w:t>
            </w:r>
          </w:p>
        </w:tc>
        <w:tc>
          <w:tcPr>
            <w:tcW w:w="206" w:type="pct"/>
            <w:vAlign w:val="center"/>
          </w:tcPr>
          <w:p w14:paraId="52D463E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A</w:t>
            </w:r>
          </w:p>
        </w:tc>
        <w:tc>
          <w:tcPr>
            <w:tcW w:w="252" w:type="pct"/>
            <w:vAlign w:val="center"/>
          </w:tcPr>
          <w:p w14:paraId="384C01F5">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1C4F77C2">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745366C6">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68D074A1">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34D24A17">
            <w:pPr>
              <w:pStyle w:val="105"/>
              <w:widowControl w:val="0"/>
              <w:ind w:left="-48" w:leftChars="-20" w:right="-48" w:rightChars="-20"/>
              <w:jc w:val="center"/>
              <w:rPr>
                <w:color w:val="000000" w:themeColor="text1"/>
                <w:sz w:val="18"/>
                <w:szCs w:val="18"/>
                <w14:textFill>
                  <w14:solidFill>
                    <w14:schemeClr w14:val="tx1"/>
                  </w14:solidFill>
                </w14:textFill>
              </w:rPr>
            </w:pPr>
          </w:p>
        </w:tc>
      </w:tr>
      <w:tr w14:paraId="72EF31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0115056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D</w:t>
            </w:r>
          </w:p>
        </w:tc>
        <w:tc>
          <w:tcPr>
            <w:tcW w:w="293" w:type="pct"/>
            <w:vMerge w:val="continue"/>
            <w:vAlign w:val="center"/>
          </w:tcPr>
          <w:p w14:paraId="42B34C92">
            <w:pPr>
              <w:pStyle w:val="105"/>
              <w:widowControl w:val="0"/>
              <w:ind w:left="-48" w:leftChars="-20" w:right="-48" w:rightChars="-20"/>
              <w:jc w:val="center"/>
              <w:rPr>
                <w:color w:val="000000" w:themeColor="text1"/>
                <w:sz w:val="18"/>
                <w:szCs w:val="18"/>
                <w14:textFill>
                  <w14:solidFill>
                    <w14:schemeClr w14:val="tx1"/>
                  </w14:solidFill>
                </w14:textFill>
              </w:rPr>
            </w:pPr>
          </w:p>
        </w:tc>
        <w:tc>
          <w:tcPr>
            <w:tcW w:w="172" w:type="pct"/>
            <w:vMerge w:val="continue"/>
            <w:vAlign w:val="center"/>
          </w:tcPr>
          <w:p w14:paraId="376E30C8">
            <w:pPr>
              <w:pStyle w:val="105"/>
              <w:widowControl w:val="0"/>
              <w:ind w:left="-48" w:leftChars="-20" w:right="-48" w:rightChars="-20"/>
              <w:jc w:val="center"/>
              <w:rPr>
                <w:color w:val="000000" w:themeColor="text1"/>
                <w:sz w:val="18"/>
                <w:szCs w:val="18"/>
                <w14:textFill>
                  <w14:solidFill>
                    <w14:schemeClr w14:val="tx1"/>
                  </w14:solidFill>
                </w14:textFill>
              </w:rPr>
            </w:pPr>
          </w:p>
        </w:tc>
        <w:tc>
          <w:tcPr>
            <w:tcW w:w="792" w:type="pct"/>
            <w:vAlign w:val="center"/>
          </w:tcPr>
          <w:p w14:paraId="32AB989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K3+</w:t>
            </w:r>
            <w:bookmarkStart w:id="305" w:name="hmcheck_17135f3f0f82476fb40f863281edc29b"/>
            <w:r>
              <w:rPr>
                <w:rFonts w:eastAsia="Times New Roman" w:cs="Times New Roman"/>
                <w:color w:val="000000" w:themeColor="text1"/>
                <w:spacing w:val="-1"/>
                <w:sz w:val="18"/>
                <w:szCs w:val="18"/>
                <w:shd w:val="clear" w:fill="FFAFAA"/>
                <w14:textFill>
                  <w14:solidFill>
                    <w14:schemeClr w14:val="tx1"/>
                  </w14:solidFill>
                </w14:textFill>
              </w:rPr>
              <w:t>000~</w:t>
            </w:r>
            <w:bookmarkEnd w:id="305"/>
            <w:r>
              <w:rPr>
                <w:rFonts w:eastAsia="Times New Roman" w:cs="Times New Roman"/>
                <w:color w:val="000000" w:themeColor="text1"/>
                <w:spacing w:val="-1"/>
                <w:sz w:val="18"/>
                <w:szCs w:val="18"/>
                <w14:textFill>
                  <w14:solidFill>
                    <w14:schemeClr w14:val="tx1"/>
                  </w14:solidFill>
                </w14:textFill>
              </w:rPr>
              <w:t>K4+000</w:t>
            </w:r>
          </w:p>
        </w:tc>
        <w:tc>
          <w:tcPr>
            <w:tcW w:w="282" w:type="pct"/>
            <w:vAlign w:val="center"/>
          </w:tcPr>
          <w:p w14:paraId="5D77E78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1.74</w:t>
            </w:r>
          </w:p>
        </w:tc>
        <w:tc>
          <w:tcPr>
            <w:tcW w:w="277" w:type="pct"/>
            <w:vAlign w:val="center"/>
          </w:tcPr>
          <w:p w14:paraId="0188F11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1.74</w:t>
            </w:r>
          </w:p>
        </w:tc>
        <w:tc>
          <w:tcPr>
            <w:tcW w:w="288" w:type="pct"/>
            <w:vAlign w:val="center"/>
          </w:tcPr>
          <w:p w14:paraId="59F4321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5D3B53B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1.83</w:t>
            </w:r>
          </w:p>
        </w:tc>
        <w:tc>
          <w:tcPr>
            <w:tcW w:w="341" w:type="pct"/>
            <w:vAlign w:val="center"/>
          </w:tcPr>
          <w:p w14:paraId="0238B73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1.83</w:t>
            </w:r>
          </w:p>
        </w:tc>
        <w:tc>
          <w:tcPr>
            <w:tcW w:w="236" w:type="pct"/>
            <w:vAlign w:val="center"/>
          </w:tcPr>
          <w:p w14:paraId="231071F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1A33849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0.09</w:t>
            </w:r>
          </w:p>
        </w:tc>
        <w:tc>
          <w:tcPr>
            <w:tcW w:w="206" w:type="pct"/>
            <w:vAlign w:val="center"/>
          </w:tcPr>
          <w:p w14:paraId="5C91F7A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A</w:t>
            </w:r>
          </w:p>
        </w:tc>
        <w:tc>
          <w:tcPr>
            <w:tcW w:w="252" w:type="pct"/>
            <w:vAlign w:val="center"/>
          </w:tcPr>
          <w:p w14:paraId="6A447DDA">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5DF6743C">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04347C04">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74111ABC">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4AAC4D98">
            <w:pPr>
              <w:pStyle w:val="105"/>
              <w:widowControl w:val="0"/>
              <w:ind w:left="-48" w:leftChars="-20" w:right="-48" w:rightChars="-20"/>
              <w:jc w:val="center"/>
              <w:rPr>
                <w:color w:val="000000" w:themeColor="text1"/>
                <w:sz w:val="18"/>
                <w:szCs w:val="18"/>
                <w14:textFill>
                  <w14:solidFill>
                    <w14:schemeClr w14:val="tx1"/>
                  </w14:solidFill>
                </w14:textFill>
              </w:rPr>
            </w:pPr>
          </w:p>
        </w:tc>
      </w:tr>
      <w:tr w14:paraId="2B2D78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0811E9F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E</w:t>
            </w:r>
          </w:p>
        </w:tc>
        <w:tc>
          <w:tcPr>
            <w:tcW w:w="293" w:type="pct"/>
            <w:vMerge w:val="continue"/>
            <w:vAlign w:val="center"/>
          </w:tcPr>
          <w:p w14:paraId="76395712">
            <w:pPr>
              <w:pStyle w:val="105"/>
              <w:widowControl w:val="0"/>
              <w:ind w:left="-48" w:leftChars="-20" w:right="-48" w:rightChars="-20"/>
              <w:jc w:val="center"/>
              <w:rPr>
                <w:color w:val="000000" w:themeColor="text1"/>
                <w:sz w:val="18"/>
                <w:szCs w:val="18"/>
                <w14:textFill>
                  <w14:solidFill>
                    <w14:schemeClr w14:val="tx1"/>
                  </w14:solidFill>
                </w14:textFill>
              </w:rPr>
            </w:pPr>
          </w:p>
        </w:tc>
        <w:tc>
          <w:tcPr>
            <w:tcW w:w="172" w:type="pct"/>
            <w:vMerge w:val="continue"/>
            <w:vAlign w:val="center"/>
          </w:tcPr>
          <w:p w14:paraId="6D17090C">
            <w:pPr>
              <w:pStyle w:val="105"/>
              <w:widowControl w:val="0"/>
              <w:ind w:left="-48" w:leftChars="-20" w:right="-48" w:rightChars="-20"/>
              <w:jc w:val="center"/>
              <w:rPr>
                <w:color w:val="000000" w:themeColor="text1"/>
                <w:sz w:val="18"/>
                <w:szCs w:val="18"/>
                <w14:textFill>
                  <w14:solidFill>
                    <w14:schemeClr w14:val="tx1"/>
                  </w14:solidFill>
                </w14:textFill>
              </w:rPr>
            </w:pPr>
          </w:p>
        </w:tc>
        <w:tc>
          <w:tcPr>
            <w:tcW w:w="792" w:type="pct"/>
            <w:vAlign w:val="center"/>
          </w:tcPr>
          <w:p w14:paraId="32D9E12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K4+</w:t>
            </w:r>
            <w:bookmarkStart w:id="306" w:name="hmcheck_3bb57ca9c7ae41b3a905166d2fd0d8ed"/>
            <w:r>
              <w:rPr>
                <w:rFonts w:eastAsia="Times New Roman" w:cs="Times New Roman"/>
                <w:color w:val="000000" w:themeColor="text1"/>
                <w:spacing w:val="-1"/>
                <w:sz w:val="18"/>
                <w:szCs w:val="18"/>
                <w:shd w:val="clear" w:fill="FFAFAA"/>
                <w14:textFill>
                  <w14:solidFill>
                    <w14:schemeClr w14:val="tx1"/>
                  </w14:solidFill>
                </w14:textFill>
              </w:rPr>
              <w:t>000~</w:t>
            </w:r>
            <w:bookmarkEnd w:id="306"/>
            <w:r>
              <w:rPr>
                <w:rFonts w:eastAsia="Times New Roman" w:cs="Times New Roman"/>
                <w:color w:val="000000" w:themeColor="text1"/>
                <w:spacing w:val="-1"/>
                <w:sz w:val="18"/>
                <w:szCs w:val="18"/>
                <w14:textFill>
                  <w14:solidFill>
                    <w14:schemeClr w14:val="tx1"/>
                  </w14:solidFill>
                </w14:textFill>
              </w:rPr>
              <w:t>K5+000</w:t>
            </w:r>
          </w:p>
        </w:tc>
        <w:tc>
          <w:tcPr>
            <w:tcW w:w="282" w:type="pct"/>
            <w:vAlign w:val="center"/>
          </w:tcPr>
          <w:p w14:paraId="62036B0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6.28</w:t>
            </w:r>
          </w:p>
        </w:tc>
        <w:tc>
          <w:tcPr>
            <w:tcW w:w="277" w:type="pct"/>
            <w:vAlign w:val="center"/>
          </w:tcPr>
          <w:p w14:paraId="69D7550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3.32</w:t>
            </w:r>
          </w:p>
        </w:tc>
        <w:tc>
          <w:tcPr>
            <w:tcW w:w="288" w:type="pct"/>
            <w:vAlign w:val="center"/>
          </w:tcPr>
          <w:p w14:paraId="2B75163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2.97</w:t>
            </w:r>
          </w:p>
        </w:tc>
        <w:tc>
          <w:tcPr>
            <w:tcW w:w="277" w:type="pct"/>
            <w:vAlign w:val="center"/>
          </w:tcPr>
          <w:p w14:paraId="7A37192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1.07</w:t>
            </w:r>
          </w:p>
        </w:tc>
        <w:tc>
          <w:tcPr>
            <w:tcW w:w="341" w:type="pct"/>
            <w:vAlign w:val="center"/>
          </w:tcPr>
          <w:p w14:paraId="515058C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1.07</w:t>
            </w:r>
          </w:p>
        </w:tc>
        <w:tc>
          <w:tcPr>
            <w:tcW w:w="236" w:type="pct"/>
            <w:vAlign w:val="center"/>
          </w:tcPr>
          <w:p w14:paraId="06C4068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57C89D8E">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6513C8FD">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62A47441">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54BA272D">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562BA19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2.24</w:t>
            </w:r>
          </w:p>
        </w:tc>
        <w:tc>
          <w:tcPr>
            <w:tcW w:w="277" w:type="pct"/>
            <w:vAlign w:val="center"/>
          </w:tcPr>
          <w:p w14:paraId="096B15F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2.97</w:t>
            </w:r>
          </w:p>
        </w:tc>
        <w:tc>
          <w:tcPr>
            <w:tcW w:w="228" w:type="pct"/>
            <w:vAlign w:val="center"/>
          </w:tcPr>
          <w:p w14:paraId="1C874B8A">
            <w:pPr>
              <w:pStyle w:val="105"/>
              <w:widowControl w:val="0"/>
              <w:ind w:left="-48" w:leftChars="-20" w:right="-48" w:rightChars="-20"/>
              <w:jc w:val="center"/>
              <w:rPr>
                <w:color w:val="000000" w:themeColor="text1"/>
                <w:sz w:val="18"/>
                <w:szCs w:val="18"/>
                <w14:textFill>
                  <w14:solidFill>
                    <w14:schemeClr w14:val="tx1"/>
                  </w14:solidFill>
                </w14:textFill>
              </w:rPr>
            </w:pPr>
          </w:p>
        </w:tc>
      </w:tr>
      <w:tr w14:paraId="0A2D93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6CC243D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F</w:t>
            </w:r>
          </w:p>
        </w:tc>
        <w:tc>
          <w:tcPr>
            <w:tcW w:w="293" w:type="pct"/>
            <w:vMerge w:val="continue"/>
            <w:vAlign w:val="center"/>
          </w:tcPr>
          <w:p w14:paraId="423E82C2">
            <w:pPr>
              <w:pStyle w:val="105"/>
              <w:widowControl w:val="0"/>
              <w:ind w:left="-48" w:leftChars="-20" w:right="-48" w:rightChars="-20"/>
              <w:jc w:val="center"/>
              <w:rPr>
                <w:color w:val="000000" w:themeColor="text1"/>
                <w:sz w:val="18"/>
                <w:szCs w:val="18"/>
                <w14:textFill>
                  <w14:solidFill>
                    <w14:schemeClr w14:val="tx1"/>
                  </w14:solidFill>
                </w14:textFill>
              </w:rPr>
            </w:pPr>
          </w:p>
        </w:tc>
        <w:tc>
          <w:tcPr>
            <w:tcW w:w="172" w:type="pct"/>
            <w:vMerge w:val="continue"/>
            <w:vAlign w:val="center"/>
          </w:tcPr>
          <w:p w14:paraId="2C0526C0">
            <w:pPr>
              <w:pStyle w:val="105"/>
              <w:widowControl w:val="0"/>
              <w:ind w:left="-48" w:leftChars="-20" w:right="-48" w:rightChars="-20"/>
              <w:jc w:val="center"/>
              <w:rPr>
                <w:color w:val="000000" w:themeColor="text1"/>
                <w:sz w:val="18"/>
                <w:szCs w:val="18"/>
                <w14:textFill>
                  <w14:solidFill>
                    <w14:schemeClr w14:val="tx1"/>
                  </w14:solidFill>
                </w14:textFill>
              </w:rPr>
            </w:pPr>
          </w:p>
        </w:tc>
        <w:tc>
          <w:tcPr>
            <w:tcW w:w="792" w:type="pct"/>
            <w:vAlign w:val="center"/>
          </w:tcPr>
          <w:p w14:paraId="163CEFA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K5+</w:t>
            </w:r>
            <w:bookmarkStart w:id="307" w:name="hmcheck_fe1ed9ff1bef43e0b785845c6b909774"/>
            <w:r>
              <w:rPr>
                <w:rFonts w:eastAsia="Times New Roman" w:cs="Times New Roman"/>
                <w:color w:val="000000" w:themeColor="text1"/>
                <w:spacing w:val="-1"/>
                <w:sz w:val="18"/>
                <w:szCs w:val="18"/>
                <w:shd w:val="clear" w:fill="FFAFAA"/>
                <w14:textFill>
                  <w14:solidFill>
                    <w14:schemeClr w14:val="tx1"/>
                  </w14:solidFill>
                </w14:textFill>
              </w:rPr>
              <w:t>000~</w:t>
            </w:r>
            <w:bookmarkEnd w:id="307"/>
            <w:r>
              <w:rPr>
                <w:rFonts w:eastAsia="Times New Roman" w:cs="Times New Roman"/>
                <w:color w:val="000000" w:themeColor="text1"/>
                <w:spacing w:val="-1"/>
                <w:sz w:val="18"/>
                <w:szCs w:val="18"/>
                <w14:textFill>
                  <w14:solidFill>
                    <w14:schemeClr w14:val="tx1"/>
                  </w14:solidFill>
                </w14:textFill>
              </w:rPr>
              <w:t>K5+000</w:t>
            </w:r>
          </w:p>
        </w:tc>
        <w:tc>
          <w:tcPr>
            <w:tcW w:w="282" w:type="pct"/>
            <w:vAlign w:val="center"/>
          </w:tcPr>
          <w:p w14:paraId="526B9DA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0.13</w:t>
            </w:r>
          </w:p>
        </w:tc>
        <w:tc>
          <w:tcPr>
            <w:tcW w:w="277" w:type="pct"/>
            <w:vAlign w:val="center"/>
          </w:tcPr>
          <w:p w14:paraId="1A3990D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0.12</w:t>
            </w:r>
          </w:p>
        </w:tc>
        <w:tc>
          <w:tcPr>
            <w:tcW w:w="288" w:type="pct"/>
            <w:vAlign w:val="center"/>
          </w:tcPr>
          <w:p w14:paraId="47619BE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0.01</w:t>
            </w:r>
          </w:p>
        </w:tc>
        <w:tc>
          <w:tcPr>
            <w:tcW w:w="277" w:type="pct"/>
            <w:vAlign w:val="center"/>
          </w:tcPr>
          <w:p w14:paraId="1E39E38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0.12</w:t>
            </w:r>
          </w:p>
        </w:tc>
        <w:tc>
          <w:tcPr>
            <w:tcW w:w="341" w:type="pct"/>
            <w:vAlign w:val="center"/>
          </w:tcPr>
          <w:p w14:paraId="11AFCE6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0.12</w:t>
            </w:r>
          </w:p>
        </w:tc>
        <w:tc>
          <w:tcPr>
            <w:tcW w:w="236" w:type="pct"/>
            <w:vAlign w:val="center"/>
          </w:tcPr>
          <w:p w14:paraId="16AA7FA5">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4DB3921B">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1400DFBA">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5EF01884">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07136202">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4FAF34D5">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53D8E50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0.01</w:t>
            </w:r>
          </w:p>
        </w:tc>
        <w:tc>
          <w:tcPr>
            <w:tcW w:w="228" w:type="pct"/>
            <w:vAlign w:val="center"/>
          </w:tcPr>
          <w:p w14:paraId="1C87784F">
            <w:pPr>
              <w:pStyle w:val="105"/>
              <w:widowControl w:val="0"/>
              <w:ind w:left="-48" w:leftChars="-20" w:right="-48" w:rightChars="-20"/>
              <w:jc w:val="center"/>
              <w:rPr>
                <w:color w:val="000000" w:themeColor="text1"/>
                <w:sz w:val="18"/>
                <w:szCs w:val="18"/>
                <w14:textFill>
                  <w14:solidFill>
                    <w14:schemeClr w14:val="tx1"/>
                  </w14:solidFill>
                </w14:textFill>
              </w:rPr>
            </w:pPr>
          </w:p>
        </w:tc>
      </w:tr>
      <w:tr w14:paraId="5922DE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650B89C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293" w:type="pct"/>
            <w:vMerge w:val="continue"/>
            <w:vAlign w:val="center"/>
          </w:tcPr>
          <w:p w14:paraId="163FA3E7">
            <w:pPr>
              <w:pStyle w:val="105"/>
              <w:widowControl w:val="0"/>
              <w:ind w:left="-48" w:leftChars="-20" w:right="-48" w:rightChars="-20"/>
              <w:jc w:val="center"/>
              <w:rPr>
                <w:color w:val="000000" w:themeColor="text1"/>
                <w:sz w:val="18"/>
                <w:szCs w:val="18"/>
                <w14:textFill>
                  <w14:solidFill>
                    <w14:schemeClr w14:val="tx1"/>
                  </w14:solidFill>
                </w14:textFill>
              </w:rPr>
            </w:pPr>
          </w:p>
        </w:tc>
        <w:tc>
          <w:tcPr>
            <w:tcW w:w="172" w:type="pct"/>
            <w:vMerge w:val="continue"/>
            <w:vAlign w:val="center"/>
          </w:tcPr>
          <w:p w14:paraId="74C7BD23">
            <w:pPr>
              <w:pStyle w:val="105"/>
              <w:widowControl w:val="0"/>
              <w:ind w:left="-48" w:leftChars="-20" w:right="-48" w:rightChars="-20"/>
              <w:jc w:val="center"/>
              <w:rPr>
                <w:color w:val="000000" w:themeColor="text1"/>
                <w:sz w:val="18"/>
                <w:szCs w:val="18"/>
                <w14:textFill>
                  <w14:solidFill>
                    <w14:schemeClr w14:val="tx1"/>
                  </w14:solidFill>
                </w14:textFill>
              </w:rPr>
            </w:pPr>
          </w:p>
        </w:tc>
        <w:tc>
          <w:tcPr>
            <w:tcW w:w="792" w:type="pct"/>
            <w:vAlign w:val="center"/>
          </w:tcPr>
          <w:p w14:paraId="7E276C6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LK0+</w:t>
            </w:r>
            <w:bookmarkStart w:id="308" w:name="hmcheck_fe3ee65df5034d9990c871c50095f6bb"/>
            <w:r>
              <w:rPr>
                <w:rFonts w:eastAsia="Times New Roman" w:cs="Times New Roman"/>
                <w:color w:val="000000" w:themeColor="text1"/>
                <w:spacing w:val="-1"/>
                <w:sz w:val="18"/>
                <w:szCs w:val="18"/>
                <w:shd w:val="clear" w:fill="FFAFAA"/>
                <w14:textFill>
                  <w14:solidFill>
                    <w14:schemeClr w14:val="tx1"/>
                  </w14:solidFill>
                </w14:textFill>
              </w:rPr>
              <w:t>000~</w:t>
            </w:r>
            <w:bookmarkEnd w:id="308"/>
            <w:r>
              <w:rPr>
                <w:rFonts w:eastAsia="Times New Roman" w:cs="Times New Roman"/>
                <w:color w:val="000000" w:themeColor="text1"/>
                <w:spacing w:val="-1"/>
                <w:sz w:val="18"/>
                <w:szCs w:val="18"/>
                <w14:textFill>
                  <w14:solidFill>
                    <w14:schemeClr w14:val="tx1"/>
                  </w14:solidFill>
                </w14:textFill>
              </w:rPr>
              <w:t>LK0+090</w:t>
            </w:r>
          </w:p>
        </w:tc>
        <w:tc>
          <w:tcPr>
            <w:tcW w:w="282" w:type="pct"/>
            <w:vAlign w:val="center"/>
          </w:tcPr>
          <w:p w14:paraId="7BB9F4B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0.01</w:t>
            </w:r>
          </w:p>
        </w:tc>
        <w:tc>
          <w:tcPr>
            <w:tcW w:w="277" w:type="pct"/>
            <w:vAlign w:val="center"/>
          </w:tcPr>
          <w:p w14:paraId="0C6B880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0.01</w:t>
            </w:r>
          </w:p>
        </w:tc>
        <w:tc>
          <w:tcPr>
            <w:tcW w:w="288" w:type="pct"/>
            <w:vAlign w:val="center"/>
          </w:tcPr>
          <w:p w14:paraId="0D922765">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7291113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0.46</w:t>
            </w:r>
          </w:p>
        </w:tc>
        <w:tc>
          <w:tcPr>
            <w:tcW w:w="341" w:type="pct"/>
            <w:vAlign w:val="center"/>
          </w:tcPr>
          <w:p w14:paraId="33B8CDF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0.46</w:t>
            </w:r>
          </w:p>
        </w:tc>
        <w:tc>
          <w:tcPr>
            <w:tcW w:w="236" w:type="pct"/>
            <w:vAlign w:val="center"/>
          </w:tcPr>
          <w:p w14:paraId="68AC5D0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5CBA41D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0.45</w:t>
            </w:r>
          </w:p>
        </w:tc>
        <w:tc>
          <w:tcPr>
            <w:tcW w:w="206" w:type="pct"/>
            <w:vAlign w:val="center"/>
          </w:tcPr>
          <w:p w14:paraId="1F50821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A</w:t>
            </w:r>
          </w:p>
        </w:tc>
        <w:tc>
          <w:tcPr>
            <w:tcW w:w="252" w:type="pct"/>
            <w:vAlign w:val="center"/>
          </w:tcPr>
          <w:p w14:paraId="381ED990">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378ACC23">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0AFFB37C">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072CE4C8">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687389D6">
            <w:pPr>
              <w:pStyle w:val="105"/>
              <w:widowControl w:val="0"/>
              <w:ind w:left="-48" w:leftChars="-20" w:right="-48" w:rightChars="-20"/>
              <w:jc w:val="center"/>
              <w:rPr>
                <w:color w:val="000000" w:themeColor="text1"/>
                <w:sz w:val="18"/>
                <w:szCs w:val="18"/>
                <w14:textFill>
                  <w14:solidFill>
                    <w14:schemeClr w14:val="tx1"/>
                  </w14:solidFill>
                </w14:textFill>
              </w:rPr>
            </w:pPr>
          </w:p>
        </w:tc>
      </w:tr>
      <w:tr w14:paraId="261C80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6DD96F0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H</w:t>
            </w:r>
          </w:p>
        </w:tc>
        <w:tc>
          <w:tcPr>
            <w:tcW w:w="293" w:type="pct"/>
            <w:vMerge w:val="continue"/>
            <w:vAlign w:val="center"/>
          </w:tcPr>
          <w:p w14:paraId="6678B340">
            <w:pPr>
              <w:pStyle w:val="105"/>
              <w:widowControl w:val="0"/>
              <w:ind w:left="-48" w:leftChars="-20" w:right="-48" w:rightChars="-20"/>
              <w:jc w:val="center"/>
              <w:rPr>
                <w:color w:val="000000" w:themeColor="text1"/>
                <w:sz w:val="18"/>
                <w:szCs w:val="18"/>
                <w14:textFill>
                  <w14:solidFill>
                    <w14:schemeClr w14:val="tx1"/>
                  </w14:solidFill>
                </w14:textFill>
              </w:rPr>
            </w:pPr>
          </w:p>
        </w:tc>
        <w:tc>
          <w:tcPr>
            <w:tcW w:w="172" w:type="pct"/>
            <w:vMerge w:val="continue"/>
            <w:vAlign w:val="center"/>
          </w:tcPr>
          <w:p w14:paraId="03F3FC90">
            <w:pPr>
              <w:pStyle w:val="105"/>
              <w:widowControl w:val="0"/>
              <w:ind w:left="-48" w:leftChars="-20" w:right="-48" w:rightChars="-20"/>
              <w:jc w:val="center"/>
              <w:rPr>
                <w:color w:val="000000" w:themeColor="text1"/>
                <w:sz w:val="18"/>
                <w:szCs w:val="18"/>
                <w14:textFill>
                  <w14:solidFill>
                    <w14:schemeClr w14:val="tx1"/>
                  </w14:solidFill>
                </w14:textFill>
              </w:rPr>
            </w:pPr>
          </w:p>
        </w:tc>
        <w:tc>
          <w:tcPr>
            <w:tcW w:w="792" w:type="pct"/>
            <w:vAlign w:val="center"/>
          </w:tcPr>
          <w:p w14:paraId="41BC9587">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小计</w:t>
            </w:r>
          </w:p>
        </w:tc>
        <w:tc>
          <w:tcPr>
            <w:tcW w:w="282" w:type="pct"/>
            <w:vAlign w:val="center"/>
          </w:tcPr>
          <w:p w14:paraId="40BA086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35.59</w:t>
            </w:r>
          </w:p>
        </w:tc>
        <w:tc>
          <w:tcPr>
            <w:tcW w:w="277" w:type="pct"/>
            <w:vAlign w:val="center"/>
          </w:tcPr>
          <w:p w14:paraId="01B8ED9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23.61</w:t>
            </w:r>
          </w:p>
        </w:tc>
        <w:tc>
          <w:tcPr>
            <w:tcW w:w="288" w:type="pct"/>
            <w:vAlign w:val="center"/>
          </w:tcPr>
          <w:p w14:paraId="0A59972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11.98</w:t>
            </w:r>
          </w:p>
        </w:tc>
        <w:tc>
          <w:tcPr>
            <w:tcW w:w="277" w:type="pct"/>
            <w:vAlign w:val="center"/>
          </w:tcPr>
          <w:p w14:paraId="5BE8901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19.56</w:t>
            </w:r>
          </w:p>
        </w:tc>
        <w:tc>
          <w:tcPr>
            <w:tcW w:w="341" w:type="pct"/>
            <w:vAlign w:val="center"/>
          </w:tcPr>
          <w:p w14:paraId="776AC37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19.56</w:t>
            </w:r>
          </w:p>
        </w:tc>
        <w:tc>
          <w:tcPr>
            <w:tcW w:w="236" w:type="pct"/>
            <w:vAlign w:val="center"/>
          </w:tcPr>
          <w:p w14:paraId="4012C013">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7DE8ADD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14.12</w:t>
            </w:r>
          </w:p>
        </w:tc>
        <w:tc>
          <w:tcPr>
            <w:tcW w:w="206" w:type="pct"/>
            <w:vAlign w:val="center"/>
          </w:tcPr>
          <w:p w14:paraId="7AB3C123">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1BC23AB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15.23</w:t>
            </w:r>
          </w:p>
        </w:tc>
        <w:tc>
          <w:tcPr>
            <w:tcW w:w="355" w:type="pct"/>
            <w:vAlign w:val="center"/>
          </w:tcPr>
          <w:p w14:paraId="3977EE24">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6489A5A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3.04</w:t>
            </w:r>
          </w:p>
        </w:tc>
        <w:tc>
          <w:tcPr>
            <w:tcW w:w="277" w:type="pct"/>
            <w:vAlign w:val="center"/>
          </w:tcPr>
          <w:p w14:paraId="362033A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11.98</w:t>
            </w:r>
          </w:p>
        </w:tc>
        <w:tc>
          <w:tcPr>
            <w:tcW w:w="228" w:type="pct"/>
            <w:vAlign w:val="center"/>
          </w:tcPr>
          <w:p w14:paraId="4CA861F5">
            <w:pPr>
              <w:pStyle w:val="105"/>
              <w:widowControl w:val="0"/>
              <w:ind w:left="-48" w:leftChars="-20" w:right="-48" w:rightChars="-20"/>
              <w:jc w:val="center"/>
              <w:rPr>
                <w:color w:val="000000" w:themeColor="text1"/>
                <w:sz w:val="18"/>
                <w:szCs w:val="18"/>
                <w14:textFill>
                  <w14:solidFill>
                    <w14:schemeClr w14:val="tx1"/>
                  </w14:solidFill>
                </w14:textFill>
              </w:rPr>
            </w:pPr>
          </w:p>
        </w:tc>
      </w:tr>
      <w:tr w14:paraId="12EA61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4CB2CD2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I</w:t>
            </w:r>
          </w:p>
        </w:tc>
        <w:tc>
          <w:tcPr>
            <w:tcW w:w="293" w:type="pct"/>
            <w:vMerge w:val="continue"/>
            <w:vAlign w:val="center"/>
          </w:tcPr>
          <w:p w14:paraId="40EE5D49">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0BDC2CE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拆迁工程</w:t>
            </w:r>
          </w:p>
        </w:tc>
        <w:tc>
          <w:tcPr>
            <w:tcW w:w="282" w:type="pct"/>
            <w:vAlign w:val="center"/>
          </w:tcPr>
          <w:p w14:paraId="57C730C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0.29</w:t>
            </w:r>
          </w:p>
        </w:tc>
        <w:tc>
          <w:tcPr>
            <w:tcW w:w="277" w:type="pct"/>
            <w:vAlign w:val="center"/>
          </w:tcPr>
          <w:p w14:paraId="654F672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88" w:type="pct"/>
            <w:vAlign w:val="center"/>
          </w:tcPr>
          <w:p w14:paraId="10F4CCB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0.29</w:t>
            </w:r>
          </w:p>
        </w:tc>
        <w:tc>
          <w:tcPr>
            <w:tcW w:w="277" w:type="pct"/>
            <w:vAlign w:val="center"/>
          </w:tcPr>
          <w:p w14:paraId="6146899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341" w:type="pct"/>
            <w:vAlign w:val="center"/>
          </w:tcPr>
          <w:p w14:paraId="60BBA48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36" w:type="pct"/>
            <w:vAlign w:val="center"/>
          </w:tcPr>
          <w:p w14:paraId="1998EDF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6163009C">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04233D91">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34BFC88D">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56FF1B10">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36EE2D54">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138BA3A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0.29</w:t>
            </w:r>
          </w:p>
        </w:tc>
        <w:tc>
          <w:tcPr>
            <w:tcW w:w="228" w:type="pct"/>
            <w:vAlign w:val="center"/>
          </w:tcPr>
          <w:p w14:paraId="5F2F3134">
            <w:pPr>
              <w:pStyle w:val="105"/>
              <w:widowControl w:val="0"/>
              <w:ind w:left="-48" w:leftChars="-20" w:right="-48" w:rightChars="-20"/>
              <w:jc w:val="center"/>
              <w:rPr>
                <w:color w:val="000000" w:themeColor="text1"/>
                <w:sz w:val="18"/>
                <w:szCs w:val="18"/>
                <w14:textFill>
                  <w14:solidFill>
                    <w14:schemeClr w14:val="tx1"/>
                  </w14:solidFill>
                </w14:textFill>
              </w:rPr>
            </w:pPr>
          </w:p>
        </w:tc>
      </w:tr>
      <w:tr w14:paraId="49EE16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69B48B1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J</w:t>
            </w:r>
          </w:p>
        </w:tc>
        <w:tc>
          <w:tcPr>
            <w:tcW w:w="293" w:type="pct"/>
            <w:vMerge w:val="continue"/>
            <w:vAlign w:val="center"/>
          </w:tcPr>
          <w:p w14:paraId="320C29FD">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5FBE31E4">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换填工程</w:t>
            </w:r>
          </w:p>
        </w:tc>
        <w:tc>
          <w:tcPr>
            <w:tcW w:w="282" w:type="pct"/>
            <w:vAlign w:val="center"/>
          </w:tcPr>
          <w:p w14:paraId="0843821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1.11</w:t>
            </w:r>
          </w:p>
        </w:tc>
        <w:tc>
          <w:tcPr>
            <w:tcW w:w="277" w:type="pct"/>
            <w:vAlign w:val="center"/>
          </w:tcPr>
          <w:p w14:paraId="3DDCA8E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1.11</w:t>
            </w:r>
          </w:p>
        </w:tc>
        <w:tc>
          <w:tcPr>
            <w:tcW w:w="288" w:type="pct"/>
            <w:vAlign w:val="center"/>
          </w:tcPr>
          <w:p w14:paraId="1377089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1A33632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1.11</w:t>
            </w:r>
          </w:p>
        </w:tc>
        <w:tc>
          <w:tcPr>
            <w:tcW w:w="341" w:type="pct"/>
            <w:vAlign w:val="center"/>
          </w:tcPr>
          <w:p w14:paraId="39286A9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1.11</w:t>
            </w:r>
          </w:p>
        </w:tc>
        <w:tc>
          <w:tcPr>
            <w:tcW w:w="236" w:type="pct"/>
            <w:vAlign w:val="center"/>
          </w:tcPr>
          <w:p w14:paraId="3591504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2F44DA2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1.11</w:t>
            </w:r>
          </w:p>
        </w:tc>
        <w:tc>
          <w:tcPr>
            <w:tcW w:w="206" w:type="pct"/>
            <w:vAlign w:val="center"/>
          </w:tcPr>
          <w:p w14:paraId="22EC016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A</w:t>
            </w:r>
          </w:p>
        </w:tc>
        <w:tc>
          <w:tcPr>
            <w:tcW w:w="252" w:type="pct"/>
            <w:vAlign w:val="center"/>
          </w:tcPr>
          <w:p w14:paraId="2D672858">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7BF6F586">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6544EA8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1.11</w:t>
            </w:r>
          </w:p>
        </w:tc>
        <w:tc>
          <w:tcPr>
            <w:tcW w:w="277" w:type="pct"/>
            <w:vAlign w:val="center"/>
          </w:tcPr>
          <w:p w14:paraId="79DEF2B0">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7E194D01">
            <w:pPr>
              <w:pStyle w:val="105"/>
              <w:widowControl w:val="0"/>
              <w:ind w:left="-48" w:leftChars="-20" w:right="-48" w:rightChars="-20"/>
              <w:jc w:val="center"/>
              <w:rPr>
                <w:color w:val="000000" w:themeColor="text1"/>
                <w:sz w:val="18"/>
                <w:szCs w:val="18"/>
                <w14:textFill>
                  <w14:solidFill>
                    <w14:schemeClr w14:val="tx1"/>
                  </w14:solidFill>
                </w14:textFill>
              </w:rPr>
            </w:pPr>
          </w:p>
        </w:tc>
      </w:tr>
      <w:tr w14:paraId="1614DE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138E506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K</w:t>
            </w:r>
          </w:p>
        </w:tc>
        <w:tc>
          <w:tcPr>
            <w:tcW w:w="293" w:type="pct"/>
            <w:vMerge w:val="continue"/>
            <w:vAlign w:val="center"/>
          </w:tcPr>
          <w:p w14:paraId="4107D16E">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3FD6987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涵洞工程</w:t>
            </w:r>
          </w:p>
        </w:tc>
        <w:tc>
          <w:tcPr>
            <w:tcW w:w="282" w:type="pct"/>
            <w:vAlign w:val="center"/>
          </w:tcPr>
          <w:p w14:paraId="52141C0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0.56</w:t>
            </w:r>
          </w:p>
        </w:tc>
        <w:tc>
          <w:tcPr>
            <w:tcW w:w="277" w:type="pct"/>
            <w:vAlign w:val="center"/>
          </w:tcPr>
          <w:p w14:paraId="03E3263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0.56</w:t>
            </w:r>
          </w:p>
        </w:tc>
        <w:tc>
          <w:tcPr>
            <w:tcW w:w="288" w:type="pct"/>
            <w:vAlign w:val="center"/>
          </w:tcPr>
          <w:p w14:paraId="3769E5A3">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36B36F6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0.30</w:t>
            </w:r>
          </w:p>
        </w:tc>
        <w:tc>
          <w:tcPr>
            <w:tcW w:w="341" w:type="pct"/>
            <w:vAlign w:val="center"/>
          </w:tcPr>
          <w:p w14:paraId="431DC97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0.30</w:t>
            </w:r>
          </w:p>
        </w:tc>
        <w:tc>
          <w:tcPr>
            <w:tcW w:w="236" w:type="pct"/>
            <w:vAlign w:val="center"/>
          </w:tcPr>
          <w:p w14:paraId="72F3E2E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020EA3CD">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7FF3F860">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36939AC9">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117CA918">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6679189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0.26</w:t>
            </w:r>
          </w:p>
        </w:tc>
        <w:tc>
          <w:tcPr>
            <w:tcW w:w="277" w:type="pct"/>
            <w:vAlign w:val="center"/>
          </w:tcPr>
          <w:p w14:paraId="10760BB7">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6E9CCC9E">
            <w:pPr>
              <w:pStyle w:val="105"/>
              <w:widowControl w:val="0"/>
              <w:ind w:left="-48" w:leftChars="-20" w:right="-48" w:rightChars="-20"/>
              <w:jc w:val="center"/>
              <w:rPr>
                <w:color w:val="000000" w:themeColor="text1"/>
                <w:sz w:val="18"/>
                <w:szCs w:val="18"/>
                <w14:textFill>
                  <w14:solidFill>
                    <w14:schemeClr w14:val="tx1"/>
                  </w14:solidFill>
                </w14:textFill>
              </w:rPr>
            </w:pPr>
          </w:p>
        </w:tc>
      </w:tr>
      <w:tr w14:paraId="2B26ED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5C85C0B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L</w:t>
            </w:r>
          </w:p>
        </w:tc>
        <w:tc>
          <w:tcPr>
            <w:tcW w:w="293" w:type="pct"/>
            <w:vMerge w:val="continue"/>
            <w:vAlign w:val="center"/>
          </w:tcPr>
          <w:p w14:paraId="32C7196B">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04EC231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表土剥离工程</w:t>
            </w:r>
          </w:p>
        </w:tc>
        <w:tc>
          <w:tcPr>
            <w:tcW w:w="282" w:type="pct"/>
            <w:vAlign w:val="center"/>
          </w:tcPr>
          <w:p w14:paraId="28BBB2F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0.90</w:t>
            </w:r>
          </w:p>
        </w:tc>
        <w:tc>
          <w:tcPr>
            <w:tcW w:w="277" w:type="pct"/>
            <w:vAlign w:val="center"/>
          </w:tcPr>
          <w:p w14:paraId="6155A4D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0.90</w:t>
            </w:r>
          </w:p>
        </w:tc>
        <w:tc>
          <w:tcPr>
            <w:tcW w:w="288" w:type="pct"/>
            <w:vAlign w:val="center"/>
          </w:tcPr>
          <w:p w14:paraId="24D05A8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111F238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0.07</w:t>
            </w:r>
          </w:p>
        </w:tc>
        <w:tc>
          <w:tcPr>
            <w:tcW w:w="341" w:type="pct"/>
            <w:vAlign w:val="center"/>
          </w:tcPr>
          <w:p w14:paraId="3041AF3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0.07</w:t>
            </w:r>
          </w:p>
        </w:tc>
        <w:tc>
          <w:tcPr>
            <w:tcW w:w="236" w:type="pct"/>
            <w:vAlign w:val="center"/>
          </w:tcPr>
          <w:p w14:paraId="7BA7BB1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18FEC29A">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671B1054">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6EB98E90">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0.83</w:t>
            </w:r>
          </w:p>
        </w:tc>
        <w:tc>
          <w:tcPr>
            <w:tcW w:w="355" w:type="pct"/>
            <w:vAlign w:val="center"/>
          </w:tcPr>
          <w:p w14:paraId="1C525CD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O/AA</w:t>
            </w:r>
          </w:p>
        </w:tc>
        <w:tc>
          <w:tcPr>
            <w:tcW w:w="235" w:type="pct"/>
            <w:vAlign w:val="center"/>
          </w:tcPr>
          <w:p w14:paraId="2F575D12">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3118B494">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75BFFAB3">
            <w:pPr>
              <w:pStyle w:val="105"/>
              <w:widowControl w:val="0"/>
              <w:ind w:left="-48" w:leftChars="-20" w:right="-48" w:rightChars="-20"/>
              <w:jc w:val="center"/>
              <w:rPr>
                <w:color w:val="000000" w:themeColor="text1"/>
                <w:sz w:val="18"/>
                <w:szCs w:val="18"/>
                <w14:textFill>
                  <w14:solidFill>
                    <w14:schemeClr w14:val="tx1"/>
                  </w14:solidFill>
                </w14:textFill>
              </w:rPr>
            </w:pPr>
          </w:p>
        </w:tc>
      </w:tr>
      <w:tr w14:paraId="378086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4B68CA8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M</w:t>
            </w:r>
          </w:p>
        </w:tc>
        <w:tc>
          <w:tcPr>
            <w:tcW w:w="293" w:type="pct"/>
            <w:vMerge w:val="continue"/>
            <w:vAlign w:val="center"/>
          </w:tcPr>
          <w:p w14:paraId="23E96477">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0E1B9F9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小计</w:t>
            </w:r>
          </w:p>
        </w:tc>
        <w:tc>
          <w:tcPr>
            <w:tcW w:w="282" w:type="pct"/>
            <w:vAlign w:val="center"/>
          </w:tcPr>
          <w:p w14:paraId="7FA8226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38.45</w:t>
            </w:r>
          </w:p>
        </w:tc>
        <w:tc>
          <w:tcPr>
            <w:tcW w:w="277" w:type="pct"/>
            <w:vAlign w:val="center"/>
          </w:tcPr>
          <w:p w14:paraId="72A6E93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26.18</w:t>
            </w:r>
          </w:p>
        </w:tc>
        <w:tc>
          <w:tcPr>
            <w:tcW w:w="288" w:type="pct"/>
            <w:vAlign w:val="center"/>
          </w:tcPr>
          <w:p w14:paraId="5CE98CF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12.27</w:t>
            </w:r>
          </w:p>
        </w:tc>
        <w:tc>
          <w:tcPr>
            <w:tcW w:w="277" w:type="pct"/>
            <w:vAlign w:val="center"/>
          </w:tcPr>
          <w:p w14:paraId="5E4D3EF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21.04</w:t>
            </w:r>
          </w:p>
        </w:tc>
        <w:tc>
          <w:tcPr>
            <w:tcW w:w="341" w:type="pct"/>
            <w:vAlign w:val="center"/>
          </w:tcPr>
          <w:p w14:paraId="1D4EB7D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21.04</w:t>
            </w:r>
          </w:p>
        </w:tc>
        <w:tc>
          <w:tcPr>
            <w:tcW w:w="236" w:type="pct"/>
            <w:vAlign w:val="center"/>
          </w:tcPr>
          <w:p w14:paraId="709E6FD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2A8A1904">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15.23</w:t>
            </w:r>
          </w:p>
        </w:tc>
        <w:tc>
          <w:tcPr>
            <w:tcW w:w="206" w:type="pct"/>
            <w:vAlign w:val="center"/>
          </w:tcPr>
          <w:p w14:paraId="13A5E559">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38FF92D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4"/>
                <w:sz w:val="18"/>
                <w:szCs w:val="18"/>
                <w14:textFill>
                  <w14:solidFill>
                    <w14:schemeClr w14:val="tx1"/>
                  </w14:solidFill>
                </w14:textFill>
              </w:rPr>
              <w:t>16.06</w:t>
            </w:r>
          </w:p>
        </w:tc>
        <w:tc>
          <w:tcPr>
            <w:tcW w:w="355" w:type="pct"/>
            <w:vAlign w:val="center"/>
          </w:tcPr>
          <w:p w14:paraId="4BD26B74">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02DAB555">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4.41</w:t>
            </w:r>
          </w:p>
        </w:tc>
        <w:tc>
          <w:tcPr>
            <w:tcW w:w="277" w:type="pct"/>
            <w:vAlign w:val="center"/>
          </w:tcPr>
          <w:p w14:paraId="1E5B581B">
            <w:pPr>
              <w:widowControl/>
              <w:adjustRightInd/>
              <w:snapToGrid/>
              <w:spacing w:line="240" w:lineRule="auto"/>
              <w:ind w:firstLine="0" w:firstLineChars="0"/>
              <w:jc w:val="center"/>
              <w:rPr>
                <w:rFonts w:eastAsia="Times New Roman" w:cs="Times New Roman"/>
                <w:color w:val="000000" w:themeColor="text1"/>
                <w:sz w:val="18"/>
                <w:szCs w:val="18"/>
                <w14:textFill>
                  <w14:solidFill>
                    <w14:schemeClr w14:val="tx1"/>
                  </w14:solidFill>
                </w14:textFill>
              </w:rPr>
            </w:pPr>
            <w:r>
              <w:rPr>
                <w:rFonts w:eastAsia="等线" w:cs="Times New Roman"/>
                <w:color w:val="000000" w:themeColor="text1"/>
                <w:sz w:val="18"/>
                <w:szCs w:val="18"/>
                <w14:textFill>
                  <w14:solidFill>
                    <w14:schemeClr w14:val="tx1"/>
                  </w14:solidFill>
                </w14:textFill>
              </w:rPr>
              <w:t>12.17</w:t>
            </w:r>
          </w:p>
        </w:tc>
        <w:tc>
          <w:tcPr>
            <w:tcW w:w="228" w:type="pct"/>
            <w:vAlign w:val="center"/>
          </w:tcPr>
          <w:p w14:paraId="57E06CEC">
            <w:pPr>
              <w:pStyle w:val="105"/>
              <w:widowControl w:val="0"/>
              <w:ind w:left="-48" w:leftChars="-20" w:right="-48" w:rightChars="-20"/>
              <w:jc w:val="center"/>
              <w:rPr>
                <w:color w:val="000000" w:themeColor="text1"/>
                <w:sz w:val="18"/>
                <w:szCs w:val="18"/>
                <w14:textFill>
                  <w14:solidFill>
                    <w14:schemeClr w14:val="tx1"/>
                  </w14:solidFill>
                </w14:textFill>
              </w:rPr>
            </w:pPr>
          </w:p>
        </w:tc>
      </w:tr>
      <w:tr w14:paraId="6FC6DD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349B9A5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3"/>
                <w:sz w:val="18"/>
                <w:szCs w:val="18"/>
                <w14:textFill>
                  <w14:solidFill>
                    <w14:schemeClr w14:val="tx1"/>
                  </w14:solidFill>
                </w14:textFill>
              </w:rPr>
              <w:t>N</w:t>
            </w:r>
          </w:p>
        </w:tc>
        <w:tc>
          <w:tcPr>
            <w:tcW w:w="293" w:type="pct"/>
            <w:vMerge w:val="restart"/>
            <w:vAlign w:val="center"/>
          </w:tcPr>
          <w:p w14:paraId="085B220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边坡</w:t>
            </w:r>
            <w:r>
              <w:rPr>
                <w:color w:val="000000" w:themeColor="text1"/>
                <w:spacing w:val="-7"/>
                <w:sz w:val="18"/>
                <w:szCs w:val="18"/>
                <w14:textFill>
                  <w14:solidFill>
                    <w14:schemeClr w14:val="tx1"/>
                  </w14:solidFill>
                </w14:textFill>
              </w:rPr>
              <w:t>防护</w:t>
            </w:r>
            <w:r>
              <w:rPr>
                <w:color w:val="000000" w:themeColor="text1"/>
                <w:spacing w:val="-3"/>
                <w:sz w:val="18"/>
                <w:szCs w:val="18"/>
                <w14:textFill>
                  <w14:solidFill>
                    <w14:schemeClr w14:val="tx1"/>
                  </w14:solidFill>
                </w14:textFill>
              </w:rPr>
              <w:t>工程</w:t>
            </w:r>
            <w:r>
              <w:rPr>
                <w:color w:val="000000" w:themeColor="text1"/>
                <w:sz w:val="18"/>
                <w:szCs w:val="18"/>
                <w14:textFill>
                  <w14:solidFill>
                    <w14:schemeClr w14:val="tx1"/>
                  </w14:solidFill>
                </w14:textFill>
              </w:rPr>
              <w:t>区</w:t>
            </w:r>
          </w:p>
        </w:tc>
        <w:tc>
          <w:tcPr>
            <w:tcW w:w="965" w:type="pct"/>
            <w:gridSpan w:val="2"/>
            <w:vAlign w:val="center"/>
          </w:tcPr>
          <w:p w14:paraId="74D7BDCF">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边坡工程</w:t>
            </w:r>
          </w:p>
        </w:tc>
        <w:tc>
          <w:tcPr>
            <w:tcW w:w="282" w:type="pct"/>
            <w:vAlign w:val="center"/>
          </w:tcPr>
          <w:p w14:paraId="2197EA35">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0.42</w:t>
            </w:r>
          </w:p>
        </w:tc>
        <w:tc>
          <w:tcPr>
            <w:tcW w:w="277" w:type="pct"/>
            <w:vAlign w:val="center"/>
          </w:tcPr>
          <w:p w14:paraId="585A90F1">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0.42</w:t>
            </w:r>
          </w:p>
        </w:tc>
        <w:tc>
          <w:tcPr>
            <w:tcW w:w="288" w:type="pct"/>
            <w:vAlign w:val="center"/>
          </w:tcPr>
          <w:p w14:paraId="37EDBA9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72C84B6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0.42</w:t>
            </w:r>
          </w:p>
        </w:tc>
        <w:tc>
          <w:tcPr>
            <w:tcW w:w="341" w:type="pct"/>
            <w:vAlign w:val="center"/>
          </w:tcPr>
          <w:p w14:paraId="2300439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0.42</w:t>
            </w:r>
          </w:p>
        </w:tc>
        <w:tc>
          <w:tcPr>
            <w:tcW w:w="236" w:type="pct"/>
            <w:vAlign w:val="center"/>
          </w:tcPr>
          <w:p w14:paraId="7A92096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6BF93053">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2C93117B">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3F7480E8">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229C172E">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2F2DCE9F">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3BFFAF4D">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7A95251F">
            <w:pPr>
              <w:pStyle w:val="105"/>
              <w:widowControl w:val="0"/>
              <w:ind w:left="-48" w:leftChars="-20" w:right="-48" w:rightChars="-20"/>
              <w:jc w:val="center"/>
              <w:rPr>
                <w:color w:val="000000" w:themeColor="text1"/>
                <w:sz w:val="18"/>
                <w:szCs w:val="18"/>
                <w14:textFill>
                  <w14:solidFill>
                    <w14:schemeClr w14:val="tx1"/>
                  </w14:solidFill>
                </w14:textFill>
              </w:rPr>
            </w:pPr>
          </w:p>
        </w:tc>
      </w:tr>
      <w:tr w14:paraId="725592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111B759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O</w:t>
            </w:r>
          </w:p>
        </w:tc>
        <w:tc>
          <w:tcPr>
            <w:tcW w:w="293" w:type="pct"/>
            <w:vMerge w:val="continue"/>
            <w:vAlign w:val="center"/>
          </w:tcPr>
          <w:p w14:paraId="4195524D">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044412C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表土剥离及覆土工程</w:t>
            </w:r>
          </w:p>
        </w:tc>
        <w:tc>
          <w:tcPr>
            <w:tcW w:w="282" w:type="pct"/>
            <w:vAlign w:val="center"/>
          </w:tcPr>
          <w:p w14:paraId="3F6C1F6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0.40</w:t>
            </w:r>
          </w:p>
        </w:tc>
        <w:tc>
          <w:tcPr>
            <w:tcW w:w="277" w:type="pct"/>
            <w:vAlign w:val="center"/>
          </w:tcPr>
          <w:p w14:paraId="1FAB7027">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0.40</w:t>
            </w:r>
          </w:p>
        </w:tc>
        <w:tc>
          <w:tcPr>
            <w:tcW w:w="288" w:type="pct"/>
            <w:vAlign w:val="center"/>
          </w:tcPr>
          <w:p w14:paraId="139500C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56EF11FC">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1.22</w:t>
            </w:r>
          </w:p>
        </w:tc>
        <w:tc>
          <w:tcPr>
            <w:tcW w:w="341" w:type="pct"/>
            <w:vAlign w:val="center"/>
          </w:tcPr>
          <w:p w14:paraId="6B4DFF3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1.22</w:t>
            </w:r>
          </w:p>
        </w:tc>
        <w:tc>
          <w:tcPr>
            <w:tcW w:w="236" w:type="pct"/>
            <w:vAlign w:val="center"/>
          </w:tcPr>
          <w:p w14:paraId="194280D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513BDDA5">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0.82</w:t>
            </w:r>
          </w:p>
        </w:tc>
        <w:tc>
          <w:tcPr>
            <w:tcW w:w="206" w:type="pct"/>
            <w:vAlign w:val="center"/>
          </w:tcPr>
          <w:p w14:paraId="77C249F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L</w:t>
            </w:r>
          </w:p>
        </w:tc>
        <w:tc>
          <w:tcPr>
            <w:tcW w:w="252" w:type="pct"/>
            <w:vAlign w:val="center"/>
          </w:tcPr>
          <w:p w14:paraId="097FE458">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2B36DC14">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6E527520">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61E1E0BF">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57705088">
            <w:pPr>
              <w:pStyle w:val="105"/>
              <w:widowControl w:val="0"/>
              <w:ind w:left="-48" w:leftChars="-20" w:right="-48" w:rightChars="-20"/>
              <w:jc w:val="center"/>
              <w:rPr>
                <w:color w:val="000000" w:themeColor="text1"/>
                <w:sz w:val="18"/>
                <w:szCs w:val="18"/>
                <w14:textFill>
                  <w14:solidFill>
                    <w14:schemeClr w14:val="tx1"/>
                  </w14:solidFill>
                </w14:textFill>
              </w:rPr>
            </w:pPr>
          </w:p>
        </w:tc>
      </w:tr>
      <w:tr w14:paraId="097B76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4D1A4A0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P</w:t>
            </w:r>
          </w:p>
        </w:tc>
        <w:tc>
          <w:tcPr>
            <w:tcW w:w="293" w:type="pct"/>
            <w:vMerge w:val="continue"/>
            <w:vAlign w:val="center"/>
          </w:tcPr>
          <w:p w14:paraId="6FA11324">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094B1ACF">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小计</w:t>
            </w:r>
          </w:p>
        </w:tc>
        <w:tc>
          <w:tcPr>
            <w:tcW w:w="282" w:type="pct"/>
            <w:vAlign w:val="center"/>
          </w:tcPr>
          <w:p w14:paraId="6EDE7D0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0.82</w:t>
            </w:r>
          </w:p>
        </w:tc>
        <w:tc>
          <w:tcPr>
            <w:tcW w:w="277" w:type="pct"/>
            <w:vAlign w:val="center"/>
          </w:tcPr>
          <w:p w14:paraId="367A294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0.82</w:t>
            </w:r>
          </w:p>
        </w:tc>
        <w:tc>
          <w:tcPr>
            <w:tcW w:w="288" w:type="pct"/>
            <w:vAlign w:val="center"/>
          </w:tcPr>
          <w:p w14:paraId="30D89D6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61392A36">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1.64</w:t>
            </w:r>
          </w:p>
        </w:tc>
        <w:tc>
          <w:tcPr>
            <w:tcW w:w="341" w:type="pct"/>
            <w:vAlign w:val="center"/>
          </w:tcPr>
          <w:p w14:paraId="264ED112">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1.64</w:t>
            </w:r>
          </w:p>
        </w:tc>
        <w:tc>
          <w:tcPr>
            <w:tcW w:w="236" w:type="pct"/>
            <w:vAlign w:val="center"/>
          </w:tcPr>
          <w:p w14:paraId="0DECE00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59662CC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0.82</w:t>
            </w:r>
          </w:p>
        </w:tc>
        <w:tc>
          <w:tcPr>
            <w:tcW w:w="206" w:type="pct"/>
            <w:vAlign w:val="center"/>
          </w:tcPr>
          <w:p w14:paraId="71044CBD">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764CE5CC">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3FCED38A">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5082B8EB">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4B4F7616">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4BC81ED3">
            <w:pPr>
              <w:pStyle w:val="105"/>
              <w:widowControl w:val="0"/>
              <w:ind w:left="-48" w:leftChars="-20" w:right="-48" w:rightChars="-20"/>
              <w:jc w:val="center"/>
              <w:rPr>
                <w:color w:val="000000" w:themeColor="text1"/>
                <w:sz w:val="18"/>
                <w:szCs w:val="18"/>
                <w14:textFill>
                  <w14:solidFill>
                    <w14:schemeClr w14:val="tx1"/>
                  </w14:solidFill>
                </w14:textFill>
              </w:rPr>
            </w:pPr>
          </w:p>
        </w:tc>
      </w:tr>
      <w:tr w14:paraId="59EB1B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63330FB3">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Q</w:t>
            </w:r>
          </w:p>
        </w:tc>
        <w:tc>
          <w:tcPr>
            <w:tcW w:w="293" w:type="pct"/>
            <w:vMerge w:val="restart"/>
            <w:vAlign w:val="center"/>
          </w:tcPr>
          <w:p w14:paraId="1C5CE81B">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桥梁</w:t>
            </w:r>
          </w:p>
          <w:p w14:paraId="60D1E678">
            <w:pPr>
              <w:pStyle w:val="105"/>
              <w:widowControl w:val="0"/>
              <w:ind w:left="-48" w:leftChars="-20" w:right="-48" w:rightChars="-20"/>
              <w:jc w:val="center"/>
              <w:rPr>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工程区</w:t>
            </w:r>
          </w:p>
        </w:tc>
        <w:tc>
          <w:tcPr>
            <w:tcW w:w="965" w:type="pct"/>
            <w:gridSpan w:val="2"/>
            <w:vAlign w:val="center"/>
          </w:tcPr>
          <w:p w14:paraId="2B3036B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桥梁基础工程</w:t>
            </w:r>
          </w:p>
        </w:tc>
        <w:tc>
          <w:tcPr>
            <w:tcW w:w="282" w:type="pct"/>
            <w:vAlign w:val="center"/>
          </w:tcPr>
          <w:p w14:paraId="36117353">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0.40</w:t>
            </w:r>
          </w:p>
        </w:tc>
        <w:tc>
          <w:tcPr>
            <w:tcW w:w="277" w:type="pct"/>
            <w:vAlign w:val="center"/>
          </w:tcPr>
          <w:p w14:paraId="04D6EB4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0.36</w:t>
            </w:r>
          </w:p>
        </w:tc>
        <w:tc>
          <w:tcPr>
            <w:tcW w:w="288" w:type="pct"/>
            <w:vAlign w:val="center"/>
          </w:tcPr>
          <w:p w14:paraId="0DCC181A">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0.04</w:t>
            </w:r>
          </w:p>
        </w:tc>
        <w:tc>
          <w:tcPr>
            <w:tcW w:w="277" w:type="pct"/>
            <w:vAlign w:val="center"/>
          </w:tcPr>
          <w:p w14:paraId="39929E49">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0.15</w:t>
            </w:r>
          </w:p>
        </w:tc>
        <w:tc>
          <w:tcPr>
            <w:tcW w:w="341" w:type="pct"/>
            <w:vAlign w:val="center"/>
          </w:tcPr>
          <w:p w14:paraId="1943AFB8">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0.15</w:t>
            </w:r>
          </w:p>
        </w:tc>
        <w:tc>
          <w:tcPr>
            <w:tcW w:w="236" w:type="pct"/>
            <w:vAlign w:val="center"/>
          </w:tcPr>
          <w:p w14:paraId="0AFF1B4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277" w:type="pct"/>
            <w:vAlign w:val="center"/>
          </w:tcPr>
          <w:p w14:paraId="1D8405EB">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585D3CE2">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08DC7E58">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58A567AC">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020A945D">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0.21</w:t>
            </w:r>
          </w:p>
        </w:tc>
        <w:tc>
          <w:tcPr>
            <w:tcW w:w="277" w:type="pct"/>
            <w:vAlign w:val="center"/>
          </w:tcPr>
          <w:p w14:paraId="7F7DE10E">
            <w:pPr>
              <w:pStyle w:val="105"/>
              <w:widowControl w:val="0"/>
              <w:ind w:left="-48" w:leftChars="-20" w:right="-48" w:rightChars="-2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0.04</w:t>
            </w:r>
          </w:p>
        </w:tc>
        <w:tc>
          <w:tcPr>
            <w:tcW w:w="228" w:type="pct"/>
            <w:vAlign w:val="center"/>
          </w:tcPr>
          <w:p w14:paraId="5D2C86CE">
            <w:pPr>
              <w:pStyle w:val="105"/>
              <w:widowControl w:val="0"/>
              <w:ind w:left="-48" w:leftChars="-20" w:right="-48" w:rightChars="-20"/>
              <w:jc w:val="center"/>
              <w:rPr>
                <w:color w:val="000000" w:themeColor="text1"/>
                <w:sz w:val="18"/>
                <w:szCs w:val="18"/>
                <w14:textFill>
                  <w14:solidFill>
                    <w14:schemeClr w14:val="tx1"/>
                  </w14:solidFill>
                </w14:textFill>
              </w:rPr>
            </w:pPr>
          </w:p>
        </w:tc>
      </w:tr>
      <w:tr w14:paraId="499E68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015D9D7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R</w:t>
            </w:r>
          </w:p>
        </w:tc>
        <w:tc>
          <w:tcPr>
            <w:tcW w:w="293" w:type="pct"/>
            <w:vMerge w:val="continue"/>
            <w:vAlign w:val="center"/>
          </w:tcPr>
          <w:p w14:paraId="6975169B">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46A314FE">
            <w:pPr>
              <w:pStyle w:val="105"/>
              <w:widowControl w:val="0"/>
              <w:ind w:left="-48" w:leftChars="-20" w:right="-48" w:rightChars="-20"/>
              <w:jc w:val="center"/>
              <w:rPr>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表土剥离及覆土工程</w:t>
            </w:r>
          </w:p>
        </w:tc>
        <w:tc>
          <w:tcPr>
            <w:tcW w:w="282" w:type="pct"/>
            <w:vAlign w:val="center"/>
          </w:tcPr>
          <w:p w14:paraId="5422AC05">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0.16</w:t>
            </w:r>
          </w:p>
        </w:tc>
        <w:tc>
          <w:tcPr>
            <w:tcW w:w="277" w:type="pct"/>
            <w:vAlign w:val="center"/>
          </w:tcPr>
          <w:p w14:paraId="19EF8A2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0.16</w:t>
            </w:r>
          </w:p>
        </w:tc>
        <w:tc>
          <w:tcPr>
            <w:tcW w:w="288" w:type="pct"/>
            <w:vAlign w:val="center"/>
          </w:tcPr>
          <w:p w14:paraId="31969C9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4A70127">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341" w:type="pct"/>
            <w:vAlign w:val="center"/>
          </w:tcPr>
          <w:p w14:paraId="36CD39F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36" w:type="pct"/>
            <w:vAlign w:val="center"/>
          </w:tcPr>
          <w:p w14:paraId="675BD4B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0BF9A341">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3A59A32B">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565F742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0.16</w:t>
            </w:r>
          </w:p>
        </w:tc>
        <w:tc>
          <w:tcPr>
            <w:tcW w:w="355" w:type="pct"/>
            <w:vAlign w:val="center"/>
          </w:tcPr>
          <w:p w14:paraId="6950E24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U/AC</w:t>
            </w:r>
          </w:p>
        </w:tc>
        <w:tc>
          <w:tcPr>
            <w:tcW w:w="235" w:type="pct"/>
            <w:vAlign w:val="center"/>
          </w:tcPr>
          <w:p w14:paraId="74CD87B6">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3B16F510">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784FDD33">
            <w:pPr>
              <w:pStyle w:val="105"/>
              <w:widowControl w:val="0"/>
              <w:ind w:left="-48" w:leftChars="-20" w:right="-48" w:rightChars="-20"/>
              <w:jc w:val="center"/>
              <w:rPr>
                <w:color w:val="000000" w:themeColor="text1"/>
                <w:sz w:val="18"/>
                <w:szCs w:val="18"/>
                <w14:textFill>
                  <w14:solidFill>
                    <w14:schemeClr w14:val="tx1"/>
                  </w14:solidFill>
                </w14:textFill>
              </w:rPr>
            </w:pPr>
          </w:p>
        </w:tc>
      </w:tr>
      <w:tr w14:paraId="68141A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08C7011B">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S</w:t>
            </w:r>
          </w:p>
        </w:tc>
        <w:tc>
          <w:tcPr>
            <w:tcW w:w="293" w:type="pct"/>
            <w:vMerge w:val="continue"/>
            <w:vAlign w:val="center"/>
          </w:tcPr>
          <w:p w14:paraId="1BC02723">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7814485C">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小计</w:t>
            </w:r>
          </w:p>
        </w:tc>
        <w:tc>
          <w:tcPr>
            <w:tcW w:w="282" w:type="pct"/>
            <w:vAlign w:val="center"/>
          </w:tcPr>
          <w:p w14:paraId="1932BCE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0.56</w:t>
            </w:r>
          </w:p>
        </w:tc>
        <w:tc>
          <w:tcPr>
            <w:tcW w:w="277" w:type="pct"/>
            <w:vAlign w:val="center"/>
          </w:tcPr>
          <w:p w14:paraId="3D7272D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0.52</w:t>
            </w:r>
          </w:p>
        </w:tc>
        <w:tc>
          <w:tcPr>
            <w:tcW w:w="288" w:type="pct"/>
            <w:vAlign w:val="center"/>
          </w:tcPr>
          <w:p w14:paraId="2AD42B4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0.04</w:t>
            </w:r>
          </w:p>
        </w:tc>
        <w:tc>
          <w:tcPr>
            <w:tcW w:w="277" w:type="pct"/>
            <w:vAlign w:val="center"/>
          </w:tcPr>
          <w:p w14:paraId="2AE41294">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0.15</w:t>
            </w:r>
          </w:p>
        </w:tc>
        <w:tc>
          <w:tcPr>
            <w:tcW w:w="341" w:type="pct"/>
            <w:vAlign w:val="center"/>
          </w:tcPr>
          <w:p w14:paraId="47CF014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0.15</w:t>
            </w:r>
          </w:p>
        </w:tc>
        <w:tc>
          <w:tcPr>
            <w:tcW w:w="236" w:type="pct"/>
            <w:vAlign w:val="center"/>
          </w:tcPr>
          <w:p w14:paraId="4EC842B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1C38817E">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23C03CB0">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03B2D39F">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0.16</w:t>
            </w:r>
          </w:p>
        </w:tc>
        <w:tc>
          <w:tcPr>
            <w:tcW w:w="355" w:type="pct"/>
            <w:vAlign w:val="center"/>
          </w:tcPr>
          <w:p w14:paraId="77B87A96">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7487EAC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0.21</w:t>
            </w:r>
          </w:p>
        </w:tc>
        <w:tc>
          <w:tcPr>
            <w:tcW w:w="277" w:type="pct"/>
            <w:vAlign w:val="center"/>
          </w:tcPr>
          <w:p w14:paraId="28E0DFB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0.04</w:t>
            </w:r>
          </w:p>
        </w:tc>
        <w:tc>
          <w:tcPr>
            <w:tcW w:w="228" w:type="pct"/>
            <w:vAlign w:val="center"/>
          </w:tcPr>
          <w:p w14:paraId="7FC9D011">
            <w:pPr>
              <w:pStyle w:val="105"/>
              <w:widowControl w:val="0"/>
              <w:ind w:left="-48" w:leftChars="-20" w:right="-48" w:rightChars="-20"/>
              <w:jc w:val="center"/>
              <w:rPr>
                <w:color w:val="000000" w:themeColor="text1"/>
                <w:sz w:val="18"/>
                <w:szCs w:val="18"/>
                <w14:textFill>
                  <w14:solidFill>
                    <w14:schemeClr w14:val="tx1"/>
                  </w14:solidFill>
                </w14:textFill>
              </w:rPr>
            </w:pPr>
          </w:p>
        </w:tc>
      </w:tr>
      <w:tr w14:paraId="518017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3CEBC13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T</w:t>
            </w:r>
          </w:p>
        </w:tc>
        <w:tc>
          <w:tcPr>
            <w:tcW w:w="293" w:type="pct"/>
            <w:vMerge w:val="restart"/>
            <w:vAlign w:val="center"/>
          </w:tcPr>
          <w:p w14:paraId="5477919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施工场地区</w:t>
            </w:r>
          </w:p>
        </w:tc>
        <w:tc>
          <w:tcPr>
            <w:tcW w:w="965" w:type="pct"/>
            <w:gridSpan w:val="2"/>
            <w:vAlign w:val="center"/>
          </w:tcPr>
          <w:p w14:paraId="4AFF260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场地平整工程</w:t>
            </w:r>
          </w:p>
        </w:tc>
        <w:tc>
          <w:tcPr>
            <w:tcW w:w="282" w:type="pct"/>
            <w:vAlign w:val="center"/>
          </w:tcPr>
          <w:p w14:paraId="6443020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0.02</w:t>
            </w:r>
          </w:p>
        </w:tc>
        <w:tc>
          <w:tcPr>
            <w:tcW w:w="277" w:type="pct"/>
            <w:vAlign w:val="center"/>
          </w:tcPr>
          <w:p w14:paraId="6F13331F">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0.02</w:t>
            </w:r>
          </w:p>
        </w:tc>
        <w:tc>
          <w:tcPr>
            <w:tcW w:w="288" w:type="pct"/>
            <w:vAlign w:val="center"/>
          </w:tcPr>
          <w:p w14:paraId="547EB604">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7B25DE7B">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0.02</w:t>
            </w:r>
          </w:p>
        </w:tc>
        <w:tc>
          <w:tcPr>
            <w:tcW w:w="341" w:type="pct"/>
            <w:vAlign w:val="center"/>
          </w:tcPr>
          <w:p w14:paraId="4DC6D3B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0.02</w:t>
            </w:r>
          </w:p>
        </w:tc>
        <w:tc>
          <w:tcPr>
            <w:tcW w:w="236" w:type="pct"/>
            <w:vAlign w:val="center"/>
          </w:tcPr>
          <w:p w14:paraId="73413EA6">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13A1ECD5">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3F3FC700">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287FF072">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543D2504">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562B4043">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075CCB53">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5F0CB59C">
            <w:pPr>
              <w:pStyle w:val="105"/>
              <w:widowControl w:val="0"/>
              <w:ind w:left="-48" w:leftChars="-20" w:right="-48" w:rightChars="-20"/>
              <w:jc w:val="center"/>
              <w:rPr>
                <w:color w:val="000000" w:themeColor="text1"/>
                <w:sz w:val="18"/>
                <w:szCs w:val="18"/>
                <w14:textFill>
                  <w14:solidFill>
                    <w14:schemeClr w14:val="tx1"/>
                  </w14:solidFill>
                </w14:textFill>
              </w:rPr>
            </w:pPr>
          </w:p>
        </w:tc>
      </w:tr>
      <w:tr w14:paraId="1DDB63A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66CAA74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U</w:t>
            </w:r>
          </w:p>
        </w:tc>
        <w:tc>
          <w:tcPr>
            <w:tcW w:w="293" w:type="pct"/>
            <w:vMerge w:val="continue"/>
            <w:vAlign w:val="center"/>
          </w:tcPr>
          <w:p w14:paraId="538023C7">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364A7B07">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表土剥离及覆土工程</w:t>
            </w:r>
          </w:p>
        </w:tc>
        <w:tc>
          <w:tcPr>
            <w:tcW w:w="282" w:type="pct"/>
            <w:vAlign w:val="center"/>
          </w:tcPr>
          <w:p w14:paraId="2014D10C">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0.12</w:t>
            </w:r>
          </w:p>
        </w:tc>
        <w:tc>
          <w:tcPr>
            <w:tcW w:w="277" w:type="pct"/>
            <w:vAlign w:val="center"/>
          </w:tcPr>
          <w:p w14:paraId="4820A12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0.12</w:t>
            </w:r>
          </w:p>
        </w:tc>
        <w:tc>
          <w:tcPr>
            <w:tcW w:w="288" w:type="pct"/>
            <w:vAlign w:val="center"/>
          </w:tcPr>
          <w:p w14:paraId="0FB4101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45D8887">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0.19</w:t>
            </w:r>
          </w:p>
        </w:tc>
        <w:tc>
          <w:tcPr>
            <w:tcW w:w="341" w:type="pct"/>
            <w:vAlign w:val="center"/>
          </w:tcPr>
          <w:p w14:paraId="55215C4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0.19</w:t>
            </w:r>
          </w:p>
        </w:tc>
        <w:tc>
          <w:tcPr>
            <w:tcW w:w="236" w:type="pct"/>
            <w:vAlign w:val="center"/>
          </w:tcPr>
          <w:p w14:paraId="749125A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118F4BB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0.07</w:t>
            </w:r>
          </w:p>
        </w:tc>
        <w:tc>
          <w:tcPr>
            <w:tcW w:w="206" w:type="pct"/>
            <w:vAlign w:val="center"/>
          </w:tcPr>
          <w:p w14:paraId="51F1CE8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R</w:t>
            </w:r>
          </w:p>
        </w:tc>
        <w:tc>
          <w:tcPr>
            <w:tcW w:w="252" w:type="pct"/>
            <w:vAlign w:val="center"/>
          </w:tcPr>
          <w:p w14:paraId="18826769">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4F5EE00A">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36909331">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5195BD07">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5FCDC5B4">
            <w:pPr>
              <w:pStyle w:val="105"/>
              <w:widowControl w:val="0"/>
              <w:ind w:left="-48" w:leftChars="-20" w:right="-48" w:rightChars="-20"/>
              <w:jc w:val="center"/>
              <w:rPr>
                <w:color w:val="000000" w:themeColor="text1"/>
                <w:sz w:val="18"/>
                <w:szCs w:val="18"/>
                <w14:textFill>
                  <w14:solidFill>
                    <w14:schemeClr w14:val="tx1"/>
                  </w14:solidFill>
                </w14:textFill>
              </w:rPr>
            </w:pPr>
          </w:p>
        </w:tc>
      </w:tr>
      <w:tr w14:paraId="71AB1F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51F3F25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V</w:t>
            </w:r>
          </w:p>
        </w:tc>
        <w:tc>
          <w:tcPr>
            <w:tcW w:w="293" w:type="pct"/>
            <w:vMerge w:val="continue"/>
            <w:vAlign w:val="center"/>
          </w:tcPr>
          <w:p w14:paraId="591AA6E1">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56C73F5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小计</w:t>
            </w:r>
          </w:p>
        </w:tc>
        <w:tc>
          <w:tcPr>
            <w:tcW w:w="282" w:type="pct"/>
            <w:vAlign w:val="center"/>
          </w:tcPr>
          <w:p w14:paraId="1B6A76D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0.14</w:t>
            </w:r>
          </w:p>
        </w:tc>
        <w:tc>
          <w:tcPr>
            <w:tcW w:w="277" w:type="pct"/>
            <w:vAlign w:val="center"/>
          </w:tcPr>
          <w:p w14:paraId="7D89CA6F">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0.14</w:t>
            </w:r>
          </w:p>
        </w:tc>
        <w:tc>
          <w:tcPr>
            <w:tcW w:w="288" w:type="pct"/>
            <w:vAlign w:val="center"/>
          </w:tcPr>
          <w:p w14:paraId="65F2E7A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15681C4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0.21</w:t>
            </w:r>
          </w:p>
        </w:tc>
        <w:tc>
          <w:tcPr>
            <w:tcW w:w="341" w:type="pct"/>
            <w:vAlign w:val="center"/>
          </w:tcPr>
          <w:p w14:paraId="5821DC9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0.21</w:t>
            </w:r>
          </w:p>
        </w:tc>
        <w:tc>
          <w:tcPr>
            <w:tcW w:w="236" w:type="pct"/>
            <w:vAlign w:val="center"/>
          </w:tcPr>
          <w:p w14:paraId="27CAA5E4">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CA14B7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0.07</w:t>
            </w:r>
          </w:p>
        </w:tc>
        <w:tc>
          <w:tcPr>
            <w:tcW w:w="206" w:type="pct"/>
            <w:vAlign w:val="center"/>
          </w:tcPr>
          <w:p w14:paraId="650BB69C">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58ED64D6">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76D4DCFE">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009F3A09">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2F8A0C6A">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3C0E8D9E">
            <w:pPr>
              <w:pStyle w:val="105"/>
              <w:widowControl w:val="0"/>
              <w:ind w:left="-48" w:leftChars="-20" w:right="-48" w:rightChars="-20"/>
              <w:jc w:val="center"/>
              <w:rPr>
                <w:color w:val="000000" w:themeColor="text1"/>
                <w:sz w:val="18"/>
                <w:szCs w:val="18"/>
                <w14:textFill>
                  <w14:solidFill>
                    <w14:schemeClr w14:val="tx1"/>
                  </w14:solidFill>
                </w14:textFill>
              </w:rPr>
            </w:pPr>
          </w:p>
        </w:tc>
      </w:tr>
      <w:tr w14:paraId="7343BF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46DE763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W</w:t>
            </w:r>
          </w:p>
        </w:tc>
        <w:tc>
          <w:tcPr>
            <w:tcW w:w="293" w:type="pct"/>
            <w:vMerge w:val="restart"/>
            <w:vAlign w:val="center"/>
          </w:tcPr>
          <w:p w14:paraId="7BC93546">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施工便道区</w:t>
            </w:r>
          </w:p>
        </w:tc>
        <w:tc>
          <w:tcPr>
            <w:tcW w:w="965" w:type="pct"/>
            <w:gridSpan w:val="2"/>
            <w:vAlign w:val="center"/>
          </w:tcPr>
          <w:p w14:paraId="7224871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路面平整工程</w:t>
            </w:r>
          </w:p>
        </w:tc>
        <w:tc>
          <w:tcPr>
            <w:tcW w:w="282" w:type="pct"/>
            <w:vAlign w:val="center"/>
          </w:tcPr>
          <w:p w14:paraId="5B2725EC">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77" w:type="pct"/>
            <w:vAlign w:val="center"/>
          </w:tcPr>
          <w:p w14:paraId="335B42B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88" w:type="pct"/>
            <w:vAlign w:val="center"/>
          </w:tcPr>
          <w:p w14:paraId="655FE78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1A0A23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341" w:type="pct"/>
            <w:vAlign w:val="center"/>
          </w:tcPr>
          <w:p w14:paraId="1CC6287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36" w:type="pct"/>
            <w:vAlign w:val="center"/>
          </w:tcPr>
          <w:p w14:paraId="40D86F4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06B05498">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29A30325">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7B8DBF90">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66EFA549">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1CB9A384">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7F12DCAA">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672A9424">
            <w:pPr>
              <w:pStyle w:val="105"/>
              <w:widowControl w:val="0"/>
              <w:ind w:left="-48" w:leftChars="-20" w:right="-48" w:rightChars="-20"/>
              <w:jc w:val="center"/>
              <w:rPr>
                <w:color w:val="000000" w:themeColor="text1"/>
                <w:sz w:val="18"/>
                <w:szCs w:val="18"/>
                <w14:textFill>
                  <w14:solidFill>
                    <w14:schemeClr w14:val="tx1"/>
                  </w14:solidFill>
                </w14:textFill>
              </w:rPr>
            </w:pPr>
          </w:p>
        </w:tc>
      </w:tr>
      <w:tr w14:paraId="266686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24DCC3F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X</w:t>
            </w:r>
          </w:p>
        </w:tc>
        <w:tc>
          <w:tcPr>
            <w:tcW w:w="293" w:type="pct"/>
            <w:vMerge w:val="continue"/>
            <w:vAlign w:val="center"/>
          </w:tcPr>
          <w:p w14:paraId="5AB2D1BB">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7B839A67">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表土剥离及覆土工程</w:t>
            </w:r>
          </w:p>
        </w:tc>
        <w:tc>
          <w:tcPr>
            <w:tcW w:w="282" w:type="pct"/>
            <w:vAlign w:val="center"/>
          </w:tcPr>
          <w:p w14:paraId="222823A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0.04</w:t>
            </w:r>
          </w:p>
        </w:tc>
        <w:tc>
          <w:tcPr>
            <w:tcW w:w="277" w:type="pct"/>
            <w:vAlign w:val="center"/>
          </w:tcPr>
          <w:p w14:paraId="791C4E8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0.04</w:t>
            </w:r>
          </w:p>
        </w:tc>
        <w:tc>
          <w:tcPr>
            <w:tcW w:w="288" w:type="pct"/>
            <w:vAlign w:val="center"/>
          </w:tcPr>
          <w:p w14:paraId="149C3C0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4A1C1C7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0.04</w:t>
            </w:r>
          </w:p>
        </w:tc>
        <w:tc>
          <w:tcPr>
            <w:tcW w:w="341" w:type="pct"/>
            <w:vAlign w:val="center"/>
          </w:tcPr>
          <w:p w14:paraId="33E8124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0.04</w:t>
            </w:r>
          </w:p>
        </w:tc>
        <w:tc>
          <w:tcPr>
            <w:tcW w:w="236" w:type="pct"/>
            <w:vAlign w:val="center"/>
          </w:tcPr>
          <w:p w14:paraId="7D11771B">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C30CFF2">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0561D2E5">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478B6976">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3C5E2492">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5EE628BF">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4F90D9E8">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47619569">
            <w:pPr>
              <w:pStyle w:val="105"/>
              <w:widowControl w:val="0"/>
              <w:ind w:left="-48" w:leftChars="-20" w:right="-48" w:rightChars="-20"/>
              <w:jc w:val="center"/>
              <w:rPr>
                <w:color w:val="000000" w:themeColor="text1"/>
                <w:sz w:val="18"/>
                <w:szCs w:val="18"/>
                <w14:textFill>
                  <w14:solidFill>
                    <w14:schemeClr w14:val="tx1"/>
                  </w14:solidFill>
                </w14:textFill>
              </w:rPr>
            </w:pPr>
          </w:p>
        </w:tc>
      </w:tr>
      <w:tr w14:paraId="778711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6E6100E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Y</w:t>
            </w:r>
          </w:p>
        </w:tc>
        <w:tc>
          <w:tcPr>
            <w:tcW w:w="293" w:type="pct"/>
            <w:vMerge w:val="continue"/>
            <w:vAlign w:val="center"/>
          </w:tcPr>
          <w:p w14:paraId="42F711FC">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5C44C05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小计</w:t>
            </w:r>
          </w:p>
        </w:tc>
        <w:tc>
          <w:tcPr>
            <w:tcW w:w="282" w:type="pct"/>
            <w:vAlign w:val="center"/>
          </w:tcPr>
          <w:p w14:paraId="10D3C1F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0.05</w:t>
            </w:r>
          </w:p>
        </w:tc>
        <w:tc>
          <w:tcPr>
            <w:tcW w:w="277" w:type="pct"/>
            <w:vAlign w:val="center"/>
          </w:tcPr>
          <w:p w14:paraId="47C1DA7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0.05</w:t>
            </w:r>
          </w:p>
        </w:tc>
        <w:tc>
          <w:tcPr>
            <w:tcW w:w="288" w:type="pct"/>
            <w:vAlign w:val="center"/>
          </w:tcPr>
          <w:p w14:paraId="09C8E16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2980AE9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0.05</w:t>
            </w:r>
          </w:p>
        </w:tc>
        <w:tc>
          <w:tcPr>
            <w:tcW w:w="341" w:type="pct"/>
            <w:vAlign w:val="center"/>
          </w:tcPr>
          <w:p w14:paraId="1211E26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0.05</w:t>
            </w:r>
          </w:p>
        </w:tc>
        <w:tc>
          <w:tcPr>
            <w:tcW w:w="236" w:type="pct"/>
            <w:vAlign w:val="center"/>
          </w:tcPr>
          <w:p w14:paraId="0780C30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D7946A0">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63A53B26">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6E79924C">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2629783C">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6CCF36B0">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16F6A329">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0EE2C524">
            <w:pPr>
              <w:pStyle w:val="105"/>
              <w:widowControl w:val="0"/>
              <w:ind w:left="-48" w:leftChars="-20" w:right="-48" w:rightChars="-20"/>
              <w:jc w:val="center"/>
              <w:rPr>
                <w:color w:val="000000" w:themeColor="text1"/>
                <w:sz w:val="18"/>
                <w:szCs w:val="18"/>
                <w14:textFill>
                  <w14:solidFill>
                    <w14:schemeClr w14:val="tx1"/>
                  </w14:solidFill>
                </w14:textFill>
              </w:rPr>
            </w:pPr>
          </w:p>
        </w:tc>
      </w:tr>
      <w:tr w14:paraId="0EA25F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58BB383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Z</w:t>
            </w:r>
          </w:p>
        </w:tc>
        <w:tc>
          <w:tcPr>
            <w:tcW w:w="293" w:type="pct"/>
            <w:vMerge w:val="restart"/>
            <w:vAlign w:val="center"/>
          </w:tcPr>
          <w:p w14:paraId="4D82447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表土临时堆场区</w:t>
            </w:r>
          </w:p>
        </w:tc>
        <w:tc>
          <w:tcPr>
            <w:tcW w:w="965" w:type="pct"/>
            <w:gridSpan w:val="2"/>
            <w:vAlign w:val="center"/>
          </w:tcPr>
          <w:p w14:paraId="6C6CD476">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场地平整工程</w:t>
            </w:r>
          </w:p>
        </w:tc>
        <w:tc>
          <w:tcPr>
            <w:tcW w:w="282" w:type="pct"/>
            <w:vAlign w:val="center"/>
          </w:tcPr>
          <w:p w14:paraId="6435515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77" w:type="pct"/>
            <w:vAlign w:val="center"/>
          </w:tcPr>
          <w:p w14:paraId="028E843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88" w:type="pct"/>
            <w:vAlign w:val="center"/>
          </w:tcPr>
          <w:p w14:paraId="1450207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29A806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341" w:type="pct"/>
            <w:vAlign w:val="center"/>
          </w:tcPr>
          <w:p w14:paraId="719E155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36" w:type="pct"/>
            <w:vAlign w:val="center"/>
          </w:tcPr>
          <w:p w14:paraId="2F21F25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24E08879">
            <w:pPr>
              <w:pStyle w:val="105"/>
              <w:widowControl w:val="0"/>
              <w:ind w:left="-48" w:leftChars="-20" w:right="-48" w:rightChars="-20"/>
              <w:jc w:val="center"/>
              <w:rPr>
                <w:color w:val="000000" w:themeColor="text1"/>
                <w:sz w:val="18"/>
                <w:szCs w:val="18"/>
                <w14:textFill>
                  <w14:solidFill>
                    <w14:schemeClr w14:val="tx1"/>
                  </w14:solidFill>
                </w14:textFill>
              </w:rPr>
            </w:pPr>
          </w:p>
        </w:tc>
        <w:tc>
          <w:tcPr>
            <w:tcW w:w="206" w:type="pct"/>
            <w:vAlign w:val="center"/>
          </w:tcPr>
          <w:p w14:paraId="1684B67A">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31D26E7C">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1ABFC74B">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1057BE5D">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2414983C">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620AB145">
            <w:pPr>
              <w:pStyle w:val="105"/>
              <w:widowControl w:val="0"/>
              <w:ind w:left="-48" w:leftChars="-20" w:right="-48" w:rightChars="-20"/>
              <w:jc w:val="center"/>
              <w:rPr>
                <w:color w:val="000000" w:themeColor="text1"/>
                <w:sz w:val="18"/>
                <w:szCs w:val="18"/>
                <w14:textFill>
                  <w14:solidFill>
                    <w14:schemeClr w14:val="tx1"/>
                  </w14:solidFill>
                </w14:textFill>
              </w:rPr>
            </w:pPr>
          </w:p>
        </w:tc>
      </w:tr>
      <w:tr w14:paraId="49C4648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7A24664F">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AA</w:t>
            </w:r>
          </w:p>
        </w:tc>
        <w:tc>
          <w:tcPr>
            <w:tcW w:w="293" w:type="pct"/>
            <w:vMerge w:val="continue"/>
            <w:vAlign w:val="center"/>
          </w:tcPr>
          <w:p w14:paraId="61BBBB51">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36BFC93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覆土工程</w:t>
            </w:r>
          </w:p>
        </w:tc>
        <w:tc>
          <w:tcPr>
            <w:tcW w:w="282" w:type="pct"/>
            <w:vAlign w:val="center"/>
          </w:tcPr>
          <w:p w14:paraId="0DE9C11B">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0.18</w:t>
            </w:r>
          </w:p>
        </w:tc>
        <w:tc>
          <w:tcPr>
            <w:tcW w:w="277" w:type="pct"/>
            <w:vAlign w:val="center"/>
          </w:tcPr>
          <w:p w14:paraId="2263A16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0.18</w:t>
            </w:r>
          </w:p>
        </w:tc>
        <w:tc>
          <w:tcPr>
            <w:tcW w:w="288" w:type="pct"/>
            <w:vAlign w:val="center"/>
          </w:tcPr>
          <w:p w14:paraId="631C4BF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5804267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0.19</w:t>
            </w:r>
          </w:p>
        </w:tc>
        <w:tc>
          <w:tcPr>
            <w:tcW w:w="341" w:type="pct"/>
            <w:vAlign w:val="center"/>
          </w:tcPr>
          <w:p w14:paraId="3C5D419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0.19</w:t>
            </w:r>
          </w:p>
        </w:tc>
        <w:tc>
          <w:tcPr>
            <w:tcW w:w="236" w:type="pct"/>
            <w:vAlign w:val="center"/>
          </w:tcPr>
          <w:p w14:paraId="3FA650DC">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000B498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06" w:type="pct"/>
            <w:vAlign w:val="center"/>
          </w:tcPr>
          <w:p w14:paraId="7CBD0BCC">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L</w:t>
            </w:r>
          </w:p>
        </w:tc>
        <w:tc>
          <w:tcPr>
            <w:tcW w:w="252" w:type="pct"/>
            <w:vAlign w:val="center"/>
          </w:tcPr>
          <w:p w14:paraId="6C8F267A">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15CB7E61">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5D7F15DB">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57A25DFD">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7288E87A">
            <w:pPr>
              <w:pStyle w:val="105"/>
              <w:widowControl w:val="0"/>
              <w:ind w:left="-48" w:leftChars="-20" w:right="-48" w:rightChars="-20"/>
              <w:jc w:val="center"/>
              <w:rPr>
                <w:color w:val="000000" w:themeColor="text1"/>
                <w:sz w:val="18"/>
                <w:szCs w:val="18"/>
                <w14:textFill>
                  <w14:solidFill>
                    <w14:schemeClr w14:val="tx1"/>
                  </w14:solidFill>
                </w14:textFill>
              </w:rPr>
            </w:pPr>
          </w:p>
        </w:tc>
      </w:tr>
      <w:tr w14:paraId="2D8CC28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4166F35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AB</w:t>
            </w:r>
          </w:p>
        </w:tc>
        <w:tc>
          <w:tcPr>
            <w:tcW w:w="293" w:type="pct"/>
            <w:vMerge w:val="continue"/>
            <w:vAlign w:val="center"/>
          </w:tcPr>
          <w:p w14:paraId="52CDEE31">
            <w:pPr>
              <w:pStyle w:val="105"/>
              <w:widowControl w:val="0"/>
              <w:ind w:left="-48" w:leftChars="-20" w:right="-48" w:rightChars="-20"/>
              <w:jc w:val="center"/>
              <w:rPr>
                <w:color w:val="000000" w:themeColor="text1"/>
                <w:sz w:val="18"/>
                <w:szCs w:val="18"/>
                <w14:textFill>
                  <w14:solidFill>
                    <w14:schemeClr w14:val="tx1"/>
                  </w14:solidFill>
                </w14:textFill>
              </w:rPr>
            </w:pPr>
          </w:p>
        </w:tc>
        <w:tc>
          <w:tcPr>
            <w:tcW w:w="965" w:type="pct"/>
            <w:gridSpan w:val="2"/>
            <w:vAlign w:val="center"/>
          </w:tcPr>
          <w:p w14:paraId="11BB510C">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小计</w:t>
            </w:r>
          </w:p>
        </w:tc>
        <w:tc>
          <w:tcPr>
            <w:tcW w:w="282" w:type="pct"/>
            <w:vAlign w:val="center"/>
          </w:tcPr>
          <w:p w14:paraId="70AC4DFC">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0.19</w:t>
            </w:r>
          </w:p>
        </w:tc>
        <w:tc>
          <w:tcPr>
            <w:tcW w:w="277" w:type="pct"/>
            <w:vAlign w:val="center"/>
          </w:tcPr>
          <w:p w14:paraId="32ABCBDD">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0.19</w:t>
            </w:r>
          </w:p>
        </w:tc>
        <w:tc>
          <w:tcPr>
            <w:tcW w:w="288" w:type="pct"/>
            <w:vAlign w:val="center"/>
          </w:tcPr>
          <w:p w14:paraId="27A981F4">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957BC9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0.20</w:t>
            </w:r>
          </w:p>
        </w:tc>
        <w:tc>
          <w:tcPr>
            <w:tcW w:w="341" w:type="pct"/>
            <w:vAlign w:val="center"/>
          </w:tcPr>
          <w:p w14:paraId="447C40CA">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0.20</w:t>
            </w:r>
          </w:p>
        </w:tc>
        <w:tc>
          <w:tcPr>
            <w:tcW w:w="236" w:type="pct"/>
            <w:vAlign w:val="center"/>
          </w:tcPr>
          <w:p w14:paraId="1A6D345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2DC8BBD4">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0.01</w:t>
            </w:r>
          </w:p>
        </w:tc>
        <w:tc>
          <w:tcPr>
            <w:tcW w:w="206" w:type="pct"/>
            <w:vAlign w:val="center"/>
          </w:tcPr>
          <w:p w14:paraId="2F01791A">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11167B6A">
            <w:pPr>
              <w:pStyle w:val="105"/>
              <w:widowControl w:val="0"/>
              <w:ind w:left="-48" w:leftChars="-20" w:right="-48" w:rightChars="-20"/>
              <w:jc w:val="center"/>
              <w:rPr>
                <w:color w:val="000000" w:themeColor="text1"/>
                <w:sz w:val="18"/>
                <w:szCs w:val="18"/>
                <w14:textFill>
                  <w14:solidFill>
                    <w14:schemeClr w14:val="tx1"/>
                  </w14:solidFill>
                </w14:textFill>
              </w:rPr>
            </w:pPr>
          </w:p>
        </w:tc>
        <w:tc>
          <w:tcPr>
            <w:tcW w:w="355" w:type="pct"/>
            <w:vAlign w:val="center"/>
          </w:tcPr>
          <w:p w14:paraId="4B957B1F">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65302711">
            <w:pPr>
              <w:pStyle w:val="105"/>
              <w:widowControl w:val="0"/>
              <w:ind w:left="-48" w:leftChars="-20" w:right="-48" w:rightChars="-20"/>
              <w:jc w:val="center"/>
              <w:rPr>
                <w:color w:val="000000" w:themeColor="text1"/>
                <w:sz w:val="18"/>
                <w:szCs w:val="18"/>
                <w14:textFill>
                  <w14:solidFill>
                    <w14:schemeClr w14:val="tx1"/>
                  </w14:solidFill>
                </w14:textFill>
              </w:rPr>
            </w:pPr>
          </w:p>
        </w:tc>
        <w:tc>
          <w:tcPr>
            <w:tcW w:w="277" w:type="pct"/>
            <w:vAlign w:val="center"/>
          </w:tcPr>
          <w:p w14:paraId="06E21218">
            <w:pPr>
              <w:pStyle w:val="105"/>
              <w:widowControl w:val="0"/>
              <w:ind w:left="-48" w:leftChars="-20" w:right="-48" w:rightChars="-20"/>
              <w:jc w:val="center"/>
              <w:rPr>
                <w:color w:val="000000" w:themeColor="text1"/>
                <w:sz w:val="18"/>
                <w:szCs w:val="18"/>
                <w14:textFill>
                  <w14:solidFill>
                    <w14:schemeClr w14:val="tx1"/>
                  </w14:solidFill>
                </w14:textFill>
              </w:rPr>
            </w:pPr>
          </w:p>
        </w:tc>
        <w:tc>
          <w:tcPr>
            <w:tcW w:w="228" w:type="pct"/>
            <w:vAlign w:val="center"/>
          </w:tcPr>
          <w:p w14:paraId="50E41BFC">
            <w:pPr>
              <w:pStyle w:val="105"/>
              <w:widowControl w:val="0"/>
              <w:ind w:left="-48" w:leftChars="-20" w:right="-48" w:rightChars="-20"/>
              <w:jc w:val="center"/>
              <w:rPr>
                <w:color w:val="000000" w:themeColor="text1"/>
                <w:sz w:val="18"/>
                <w:szCs w:val="18"/>
                <w14:textFill>
                  <w14:solidFill>
                    <w14:schemeClr w14:val="tx1"/>
                  </w14:solidFill>
                </w14:textFill>
              </w:rPr>
            </w:pPr>
          </w:p>
        </w:tc>
      </w:tr>
      <w:tr w14:paraId="4E72A6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211" w:type="pct"/>
            <w:vAlign w:val="center"/>
          </w:tcPr>
          <w:p w14:paraId="3967E63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AD</w:t>
            </w:r>
          </w:p>
        </w:tc>
        <w:tc>
          <w:tcPr>
            <w:tcW w:w="1258" w:type="pct"/>
            <w:gridSpan w:val="3"/>
            <w:vAlign w:val="center"/>
          </w:tcPr>
          <w:p w14:paraId="3EC990D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合计</w:t>
            </w:r>
          </w:p>
        </w:tc>
        <w:tc>
          <w:tcPr>
            <w:tcW w:w="282" w:type="pct"/>
            <w:vAlign w:val="center"/>
          </w:tcPr>
          <w:p w14:paraId="3297310E">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40.22</w:t>
            </w:r>
          </w:p>
        </w:tc>
        <w:tc>
          <w:tcPr>
            <w:tcW w:w="277" w:type="pct"/>
            <w:vAlign w:val="center"/>
          </w:tcPr>
          <w:p w14:paraId="165917A0">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27.91</w:t>
            </w:r>
          </w:p>
        </w:tc>
        <w:tc>
          <w:tcPr>
            <w:tcW w:w="288" w:type="pct"/>
            <w:vAlign w:val="center"/>
          </w:tcPr>
          <w:p w14:paraId="5EB25136">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12.31</w:t>
            </w:r>
          </w:p>
        </w:tc>
        <w:tc>
          <w:tcPr>
            <w:tcW w:w="277" w:type="pct"/>
            <w:vAlign w:val="center"/>
          </w:tcPr>
          <w:p w14:paraId="76E24DD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23.39</w:t>
            </w:r>
          </w:p>
        </w:tc>
        <w:tc>
          <w:tcPr>
            <w:tcW w:w="341" w:type="pct"/>
            <w:vAlign w:val="center"/>
          </w:tcPr>
          <w:p w14:paraId="3866B821">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23.39</w:t>
            </w:r>
          </w:p>
        </w:tc>
        <w:tc>
          <w:tcPr>
            <w:tcW w:w="236" w:type="pct"/>
            <w:vAlign w:val="center"/>
          </w:tcPr>
          <w:p w14:paraId="04931983">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0.00</w:t>
            </w:r>
          </w:p>
        </w:tc>
        <w:tc>
          <w:tcPr>
            <w:tcW w:w="277" w:type="pct"/>
            <w:vAlign w:val="center"/>
          </w:tcPr>
          <w:p w14:paraId="68429CA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16.22</w:t>
            </w:r>
          </w:p>
        </w:tc>
        <w:tc>
          <w:tcPr>
            <w:tcW w:w="206" w:type="pct"/>
            <w:vAlign w:val="center"/>
          </w:tcPr>
          <w:p w14:paraId="4BB8E32E">
            <w:pPr>
              <w:pStyle w:val="105"/>
              <w:widowControl w:val="0"/>
              <w:ind w:left="-48" w:leftChars="-20" w:right="-48" w:rightChars="-20"/>
              <w:jc w:val="center"/>
              <w:rPr>
                <w:color w:val="000000" w:themeColor="text1"/>
                <w:sz w:val="18"/>
                <w:szCs w:val="18"/>
                <w14:textFill>
                  <w14:solidFill>
                    <w14:schemeClr w14:val="tx1"/>
                  </w14:solidFill>
                </w14:textFill>
              </w:rPr>
            </w:pPr>
          </w:p>
        </w:tc>
        <w:tc>
          <w:tcPr>
            <w:tcW w:w="252" w:type="pct"/>
            <w:vAlign w:val="center"/>
          </w:tcPr>
          <w:p w14:paraId="24B9F5A9">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16.22</w:t>
            </w:r>
          </w:p>
        </w:tc>
        <w:tc>
          <w:tcPr>
            <w:tcW w:w="355" w:type="pct"/>
            <w:vAlign w:val="center"/>
          </w:tcPr>
          <w:p w14:paraId="1E851D05">
            <w:pPr>
              <w:pStyle w:val="105"/>
              <w:widowControl w:val="0"/>
              <w:ind w:left="-48" w:leftChars="-20" w:right="-48" w:rightChars="-20"/>
              <w:jc w:val="center"/>
              <w:rPr>
                <w:color w:val="000000" w:themeColor="text1"/>
                <w:sz w:val="18"/>
                <w:szCs w:val="18"/>
                <w14:textFill>
                  <w14:solidFill>
                    <w14:schemeClr w14:val="tx1"/>
                  </w14:solidFill>
                </w14:textFill>
              </w:rPr>
            </w:pPr>
          </w:p>
        </w:tc>
        <w:tc>
          <w:tcPr>
            <w:tcW w:w="235" w:type="pct"/>
            <w:vAlign w:val="center"/>
          </w:tcPr>
          <w:p w14:paraId="3E4ED7A8">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4.62</w:t>
            </w:r>
          </w:p>
        </w:tc>
        <w:tc>
          <w:tcPr>
            <w:tcW w:w="277" w:type="pct"/>
            <w:vAlign w:val="center"/>
          </w:tcPr>
          <w:p w14:paraId="20B51B12">
            <w:pPr>
              <w:pStyle w:val="105"/>
              <w:widowControl w:val="0"/>
              <w:ind w:left="-48" w:leftChars="-20" w:right="-48" w:rightChars="-2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12.21</w:t>
            </w:r>
          </w:p>
        </w:tc>
        <w:tc>
          <w:tcPr>
            <w:tcW w:w="228" w:type="pct"/>
            <w:vAlign w:val="center"/>
          </w:tcPr>
          <w:p w14:paraId="025BE9E3">
            <w:pPr>
              <w:pStyle w:val="105"/>
              <w:widowControl w:val="0"/>
              <w:ind w:left="-48" w:leftChars="-20" w:right="-48" w:rightChars="-20"/>
              <w:jc w:val="center"/>
              <w:rPr>
                <w:color w:val="000000" w:themeColor="text1"/>
                <w:sz w:val="18"/>
                <w:szCs w:val="18"/>
                <w14:textFill>
                  <w14:solidFill>
                    <w14:schemeClr w14:val="tx1"/>
                  </w14:solidFill>
                </w14:textFill>
              </w:rPr>
            </w:pPr>
          </w:p>
        </w:tc>
      </w:tr>
    </w:tbl>
    <w:p w14:paraId="4C3007C4">
      <w:pPr>
        <w:ind w:firstLine="480"/>
        <w:rPr>
          <w:color w:val="000000" w:themeColor="text1"/>
          <w14:textFill>
            <w14:solidFill>
              <w14:schemeClr w14:val="tx1"/>
            </w14:solidFill>
          </w14:textFill>
        </w:rPr>
      </w:pPr>
    </w:p>
    <w:p w14:paraId="64459A82">
      <w:pPr>
        <w:ind w:firstLine="480"/>
        <w:rPr>
          <w:color w:val="000000" w:themeColor="text1"/>
          <w14:textFill>
            <w14:solidFill>
              <w14:schemeClr w14:val="tx1"/>
            </w14:solidFill>
          </w14:textFill>
        </w:rPr>
      </w:pPr>
    </w:p>
    <w:p w14:paraId="59DF7951">
      <w:pPr>
        <w:ind w:firstLine="480"/>
        <w:rPr>
          <w:color w:val="000000" w:themeColor="text1"/>
          <w14:textFill>
            <w14:solidFill>
              <w14:schemeClr w14:val="tx1"/>
            </w14:solidFill>
          </w14:textFill>
        </w:rPr>
      </w:pPr>
    </w:p>
    <w:p w14:paraId="6AB26DF0">
      <w:pPr>
        <w:ind w:firstLine="480"/>
        <w:rPr>
          <w:color w:val="000000" w:themeColor="text1"/>
          <w14:textFill>
            <w14:solidFill>
              <w14:schemeClr w14:val="tx1"/>
            </w14:solidFill>
          </w14:textFill>
        </w:rPr>
        <w:sectPr>
          <w:pgSz w:w="16840" w:h="11910" w:orient="landscape"/>
          <w:pgMar w:top="1134" w:right="1134" w:bottom="1134" w:left="1134" w:header="851" w:footer="851" w:gutter="0"/>
          <w:cols w:space="720" w:num="1"/>
          <w:docGrid w:linePitch="326" w:charSpace="0"/>
        </w:sectPr>
      </w:pPr>
    </w:p>
    <w:p w14:paraId="0F079F82">
      <w:pPr>
        <w:pStyle w:val="105"/>
        <w:rPr>
          <w:rFonts w:cs="Times New Roman"/>
          <w:color w:val="000000" w:themeColor="text1"/>
          <w:sz w:val="10"/>
          <w14:textFill>
            <w14:solidFill>
              <w14:schemeClr w14:val="tx1"/>
            </w14:solidFill>
          </w14:textFill>
        </w:rPr>
      </w:pPr>
      <w:r>
        <w:rPr>
          <w:color w:val="000000" w:themeColor="text1"/>
          <w14:textFill>
            <w14:solidFill>
              <w14:schemeClr w14:val="tx1"/>
            </w14:solidFill>
          </w14:textFill>
        </w:rPr>
        <w:object>
          <v:shape id="_x0000_i1036" o:spt="75" type="#_x0000_t75" style="height:284.2pt;width:471.2pt;" o:ole="t" filled="f" o:preferrelative="t" stroked="f" coordsize="21600,21600">
            <v:path/>
            <v:fill on="f" focussize="0,0"/>
            <v:stroke on="f" joinstyle="miter"/>
            <v:imagedata r:id="rId86" o:title=""/>
            <o:lock v:ext="edit" aspectratio="t"/>
            <w10:wrap type="none"/>
            <w10:anchorlock/>
          </v:shape>
          <o:OLEObject Type="Embed" ProgID="Visio.Drawing.15" ShapeID="_x0000_i1036" DrawAspect="Content" ObjectID="_1468075736" r:id="rId85">
            <o:LockedField>false</o:LockedField>
          </o:OLEObject>
        </w:object>
      </w:r>
    </w:p>
    <w:p w14:paraId="24EBEA73">
      <w:pPr>
        <w:pStyle w:val="122"/>
        <w:rPr>
          <w:color w:val="000000" w:themeColor="text1"/>
          <w14:textFill>
            <w14:solidFill>
              <w14:schemeClr w14:val="tx1"/>
            </w14:solidFill>
          </w14:textFill>
        </w:rPr>
      </w:pPr>
      <w:bookmarkStart w:id="309" w:name="_Ref193623729"/>
      <w:r>
        <w:rPr>
          <w:color w:val="000000" w:themeColor="text1"/>
          <w14:textFill>
            <w14:solidFill>
              <w14:schemeClr w14:val="tx1"/>
            </w14:solidFill>
          </w14:textFill>
        </w:rPr>
        <w:t>项目土石方流向图</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单位：万m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（自然方）</w:t>
      </w:r>
      <w:bookmarkEnd w:id="309"/>
    </w:p>
    <w:p w14:paraId="7CC54314">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表土方平衡</w:t>
      </w:r>
    </w:p>
    <w:p w14:paraId="2A804A72">
      <w:pPr>
        <w:ind w:firstLine="480"/>
        <w:rPr>
          <w:color w:val="000000" w:themeColor="text1"/>
          <w:spacing w:val="1"/>
          <w:szCs w:val="24"/>
          <w14:textFill>
            <w14:solidFill>
              <w14:schemeClr w14:val="tx1"/>
            </w14:solidFill>
          </w14:textFill>
        </w:rPr>
      </w:pPr>
      <w:r>
        <w:rPr>
          <w:rFonts w:hint="eastAsia"/>
          <w:color w:val="000000" w:themeColor="text1"/>
          <w14:textFill>
            <w14:solidFill>
              <w14:schemeClr w14:val="tx1"/>
            </w14:solidFill>
          </w14:textFill>
        </w:rPr>
        <w:t>表土属于珍贵资源，本项目占用了耕地、林地、园地、草地，因林地土层较薄，土壤贫瘠，根据项目水土保持方案：项目拟对耕地、园地、草地进行表土剥离。经统计，剥离表土面积8.76hm²，剥离厚度10</w:t>
      </w:r>
      <w:bookmarkStart w:id="310" w:name="hmcheck_5bf2edd6b13347edb9ae20a3e429e013"/>
      <w:r>
        <w:rPr>
          <w:rFonts w:hint="eastAsia"/>
          <w:color w:val="000000" w:themeColor="text1"/>
          <w:shd w:val="clear" w:fill="FFAFAA"/>
          <w14:textFill>
            <w14:solidFill>
              <w14:schemeClr w14:val="tx1"/>
            </w14:solidFill>
          </w14:textFill>
        </w:rPr>
        <w:t>~</w:t>
      </w:r>
      <w:bookmarkEnd w:id="310"/>
      <w:r>
        <w:rPr>
          <w:rFonts w:hint="eastAsia"/>
          <w:color w:val="000000" w:themeColor="text1"/>
          <w14:textFill>
            <w14:solidFill>
              <w14:schemeClr w14:val="tx1"/>
            </w14:solidFill>
          </w14:textFill>
        </w:rPr>
        <w:t>20cm，经计算，剥离表土总量1.80 万m³，剥离的表土临时堆放于表土临时堆场，用于后期覆土，覆土面积为7.98hm²，覆土量1.80 万m³，覆土厚度为20</w:t>
      </w:r>
      <w:bookmarkStart w:id="311" w:name="hmcheck_d3574aad6e9240d18fce6888d291ed58"/>
      <w:r>
        <w:rPr>
          <w:rFonts w:hint="eastAsia"/>
          <w:color w:val="000000" w:themeColor="text1"/>
          <w:shd w:val="clear" w:fill="FFAFAA"/>
          <w14:textFill>
            <w14:solidFill>
              <w14:schemeClr w14:val="tx1"/>
            </w14:solidFill>
          </w14:textFill>
        </w:rPr>
        <w:t>~</w:t>
      </w:r>
      <w:bookmarkEnd w:id="311"/>
      <w:r>
        <w:rPr>
          <w:rFonts w:hint="eastAsia"/>
          <w:color w:val="000000" w:themeColor="text1"/>
          <w14:textFill>
            <w14:solidFill>
              <w14:schemeClr w14:val="tx1"/>
            </w14:solidFill>
          </w14:textFill>
        </w:rPr>
        <w:t>40cm。</w:t>
      </w:r>
      <w:r>
        <w:rPr>
          <w:color w:val="000000" w:themeColor="text1"/>
          <w:spacing w:val="-1"/>
          <w14:textFill>
            <w14:solidFill>
              <w14:schemeClr w14:val="tx1"/>
            </w14:solidFill>
          </w14:textFill>
        </w:rPr>
        <w:t>项目表土内部平衡</w:t>
      </w:r>
      <w:r>
        <w:rPr>
          <w:rFonts w:hint="eastAsia"/>
          <w:color w:val="000000" w:themeColor="text1"/>
          <w:spacing w:val="-1"/>
          <w14:textFill>
            <w14:solidFill>
              <w14:schemeClr w14:val="tx1"/>
            </w14:solidFill>
          </w14:textFill>
        </w:rPr>
        <w:t>，</w:t>
      </w:r>
      <w:r>
        <w:rPr>
          <w:color w:val="000000" w:themeColor="text1"/>
          <w:spacing w:val="1"/>
          <w:szCs w:val="24"/>
          <w14:textFill>
            <w14:solidFill>
              <w14:schemeClr w14:val="tx1"/>
            </w14:solidFill>
          </w14:textFill>
        </w:rPr>
        <w:t>项目表土方平衡详见表3.4-2。</w:t>
      </w:r>
    </w:p>
    <w:p w14:paraId="264883B1">
      <w:pPr>
        <w:pStyle w:val="87"/>
        <w:spacing w:before="120"/>
        <w:rPr>
          <w:color w:val="000000" w:themeColor="text1"/>
          <w14:textFill>
            <w14:solidFill>
              <w14:schemeClr w14:val="tx1"/>
            </w14:solidFill>
          </w14:textFill>
        </w:rPr>
      </w:pPr>
      <w:r>
        <w:rPr>
          <w:color w:val="000000" w:themeColor="text1"/>
          <w14:textFill>
            <w14:solidFill>
              <w14:schemeClr w14:val="tx1"/>
            </w14:solidFill>
          </w14:textFill>
        </w:rPr>
        <w:t>项目表土方平衡</w:t>
      </w:r>
      <w:r>
        <w:rPr>
          <w:color w:val="000000" w:themeColor="text1"/>
          <w:spacing w:val="-10"/>
          <w14:textFill>
            <w14:solidFill>
              <w14:schemeClr w14:val="tx1"/>
            </w14:solidFill>
          </w14:textFill>
        </w:rPr>
        <w:t>表</w:t>
      </w:r>
      <w:r>
        <w:rPr>
          <w:color w:val="000000" w:themeColor="text1"/>
          <w14:textFill>
            <w14:solidFill>
              <w14:schemeClr w14:val="tx1"/>
            </w14:solidFill>
          </w14:textFill>
        </w:rPr>
        <w:tab/>
      </w:r>
      <w:r>
        <w:rPr>
          <w:color w:val="000000" w:themeColor="text1"/>
          <w14:textFill>
            <w14:solidFill>
              <w14:schemeClr w14:val="tx1"/>
            </w14:solidFill>
          </w14:textFill>
        </w:rPr>
        <w:t xml:space="preserve">   单位：万m</w:t>
      </w:r>
      <w:r>
        <w:rPr>
          <w:color w:val="000000" w:themeColor="text1"/>
          <w:vertAlign w:val="superscript"/>
          <w14:textFill>
            <w14:solidFill>
              <w14:schemeClr w14:val="tx1"/>
            </w14:solidFill>
          </w14:textFill>
        </w:rPr>
        <w:t>3</w:t>
      </w:r>
    </w:p>
    <w:tbl>
      <w:tblPr>
        <w:tblStyle w:val="399"/>
        <w:tblW w:w="9294"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28" w:type="dxa"/>
          <w:left w:w="108" w:type="dxa"/>
          <w:bottom w:w="28" w:type="dxa"/>
          <w:right w:w="108" w:type="dxa"/>
        </w:tblCellMar>
      </w:tblPr>
      <w:tblGrid>
        <w:gridCol w:w="403"/>
        <w:gridCol w:w="1700"/>
        <w:gridCol w:w="847"/>
        <w:gridCol w:w="708"/>
        <w:gridCol w:w="705"/>
        <w:gridCol w:w="849"/>
        <w:gridCol w:w="708"/>
        <w:gridCol w:w="905"/>
        <w:gridCol w:w="621"/>
        <w:gridCol w:w="619"/>
        <w:gridCol w:w="619"/>
        <w:gridCol w:w="610"/>
      </w:tblGrid>
      <w:tr w14:paraId="6CB4BE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84" w:hRule="atLeast"/>
        </w:trPr>
        <w:tc>
          <w:tcPr>
            <w:tcW w:w="403" w:type="dxa"/>
            <w:vMerge w:val="restart"/>
            <w:tcBorders>
              <w:top w:val="single" w:color="auto" w:sz="12" w:space="0"/>
              <w:left w:val="nil"/>
              <w:bottom w:val="nil"/>
              <w:right w:val="single" w:color="auto" w:sz="6" w:space="0"/>
              <w:insideH w:val="nil"/>
              <w:insideV w:val="single" w:sz="6" w:space="0"/>
              <w:tl2br w:val="nil"/>
              <w:tr2bl w:val="nil"/>
            </w:tcBorders>
            <w:vAlign w:val="center"/>
          </w:tcPr>
          <w:p w14:paraId="0C8C80E2">
            <w:pPr>
              <w:pStyle w:val="105"/>
              <w:widowControl w:val="0"/>
              <w:jc w:val="center"/>
              <w:rPr>
                <w:rFonts w:eastAsia="New York"/>
                <w:color w:val="000000" w:themeColor="text1"/>
                <w:sz w:val="18"/>
                <w:szCs w:val="18"/>
                <w14:textFill>
                  <w14:solidFill>
                    <w14:schemeClr w14:val="tx1"/>
                  </w14:solidFill>
                </w14:textFill>
              </w:rPr>
            </w:pPr>
            <w:bookmarkStart w:id="312" w:name="_Hlk187768295"/>
            <w:r>
              <w:rPr>
                <w:rFonts w:hint="eastAsia" w:ascii="宋体" w:hAnsi="宋体" w:eastAsia="宋体"/>
                <w:color w:val="000000" w:themeColor="text1"/>
                <w:sz w:val="18"/>
                <w:szCs w:val="18"/>
                <w14:textFill>
                  <w14:solidFill>
                    <w14:schemeClr w14:val="tx1"/>
                  </w14:solidFill>
                </w14:textFill>
              </w:rPr>
              <w:t>序号</w:t>
            </w:r>
          </w:p>
        </w:tc>
        <w:tc>
          <w:tcPr>
            <w:tcW w:w="1700" w:type="dxa"/>
            <w:vMerge w:val="restart"/>
            <w:tcBorders>
              <w:top w:val="single" w:color="auto" w:sz="12" w:space="0"/>
              <w:bottom w:val="nil"/>
              <w:right w:val="single" w:color="auto" w:sz="6" w:space="0"/>
              <w:insideH w:val="nil"/>
              <w:insideV w:val="single" w:sz="6" w:space="0"/>
              <w:tl2br w:val="nil"/>
              <w:tr2bl w:val="nil"/>
            </w:tcBorders>
            <w:vAlign w:val="center"/>
          </w:tcPr>
          <w:p w14:paraId="1530A2EB">
            <w:pPr>
              <w:pStyle w:val="105"/>
              <w:widowControl w:val="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3"/>
                <w:sz w:val="18"/>
                <w:szCs w:val="18"/>
                <w14:textFill>
                  <w14:solidFill>
                    <w14:schemeClr w14:val="tx1"/>
                  </w14:solidFill>
                </w14:textFill>
              </w:rPr>
              <w:t>项目</w:t>
            </w:r>
          </w:p>
        </w:tc>
        <w:tc>
          <w:tcPr>
            <w:tcW w:w="847" w:type="dxa"/>
            <w:vMerge w:val="restart"/>
            <w:tcBorders>
              <w:top w:val="single" w:color="auto" w:sz="12" w:space="0"/>
              <w:bottom w:val="nil"/>
              <w:right w:val="single" w:color="auto" w:sz="6" w:space="0"/>
              <w:insideH w:val="nil"/>
              <w:insideV w:val="single" w:sz="6" w:space="0"/>
              <w:tl2br w:val="nil"/>
              <w:tr2bl w:val="nil"/>
            </w:tcBorders>
            <w:vAlign w:val="center"/>
          </w:tcPr>
          <w:p w14:paraId="3363AF7D">
            <w:pPr>
              <w:pStyle w:val="105"/>
              <w:widowControl w:val="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1"/>
                <w:sz w:val="18"/>
                <w:szCs w:val="18"/>
                <w14:textFill>
                  <w14:solidFill>
                    <w14:schemeClr w14:val="tx1"/>
                  </w14:solidFill>
                </w14:textFill>
              </w:rPr>
              <w:t>表土剥</w:t>
            </w:r>
            <w:r>
              <w:rPr>
                <w:rFonts w:hint="eastAsia" w:ascii="宋体" w:hAnsi="宋体" w:eastAsia="宋体"/>
                <w:color w:val="000000" w:themeColor="text1"/>
                <w:sz w:val="18"/>
                <w:szCs w:val="18"/>
                <w14:textFill>
                  <w14:solidFill>
                    <w14:schemeClr w14:val="tx1"/>
                  </w14:solidFill>
                </w14:textFill>
              </w:rPr>
              <w:t>离</w:t>
            </w:r>
          </w:p>
        </w:tc>
        <w:tc>
          <w:tcPr>
            <w:tcW w:w="708" w:type="dxa"/>
            <w:vMerge w:val="restart"/>
            <w:tcBorders>
              <w:top w:val="single" w:color="auto" w:sz="12" w:space="0"/>
              <w:bottom w:val="nil"/>
              <w:right w:val="single" w:color="auto" w:sz="6" w:space="0"/>
              <w:insideH w:val="nil"/>
              <w:insideV w:val="single" w:sz="6" w:space="0"/>
              <w:tl2br w:val="nil"/>
              <w:tr2bl w:val="nil"/>
            </w:tcBorders>
            <w:vAlign w:val="center"/>
          </w:tcPr>
          <w:p w14:paraId="1B58BAD4">
            <w:pPr>
              <w:pStyle w:val="105"/>
              <w:widowControl w:val="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2"/>
                <w:sz w:val="18"/>
                <w:szCs w:val="18"/>
                <w14:textFill>
                  <w14:solidFill>
                    <w14:schemeClr w14:val="tx1"/>
                  </w14:solidFill>
                </w14:textFill>
              </w:rPr>
              <w:t>覆土</w:t>
            </w:r>
          </w:p>
        </w:tc>
        <w:tc>
          <w:tcPr>
            <w:tcW w:w="1554" w:type="dxa"/>
            <w:gridSpan w:val="2"/>
            <w:tcBorders>
              <w:top w:val="single" w:color="auto" w:sz="12" w:space="0"/>
              <w:bottom w:val="nil"/>
              <w:right w:val="single" w:color="auto" w:sz="6" w:space="0"/>
              <w:insideH w:val="nil"/>
              <w:insideV w:val="single" w:sz="6" w:space="0"/>
              <w:tl2br w:val="nil"/>
              <w:tr2bl w:val="nil"/>
            </w:tcBorders>
            <w:vAlign w:val="center"/>
          </w:tcPr>
          <w:p w14:paraId="297E3552">
            <w:pPr>
              <w:pStyle w:val="105"/>
              <w:widowControl w:val="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2"/>
                <w:sz w:val="18"/>
                <w:szCs w:val="18"/>
                <w14:textFill>
                  <w14:solidFill>
                    <w14:schemeClr w14:val="tx1"/>
                  </w14:solidFill>
                </w14:textFill>
              </w:rPr>
              <w:t>调入</w:t>
            </w:r>
          </w:p>
        </w:tc>
        <w:tc>
          <w:tcPr>
            <w:tcW w:w="1613" w:type="dxa"/>
            <w:gridSpan w:val="2"/>
            <w:tcBorders>
              <w:top w:val="single" w:color="auto" w:sz="12" w:space="0"/>
              <w:bottom w:val="nil"/>
              <w:right w:val="single" w:color="auto" w:sz="6" w:space="0"/>
              <w:insideH w:val="nil"/>
              <w:insideV w:val="single" w:sz="6" w:space="0"/>
              <w:tl2br w:val="nil"/>
              <w:tr2bl w:val="nil"/>
            </w:tcBorders>
            <w:vAlign w:val="center"/>
          </w:tcPr>
          <w:p w14:paraId="3BC947B0">
            <w:pPr>
              <w:pStyle w:val="105"/>
              <w:widowControl w:val="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2"/>
                <w:sz w:val="18"/>
                <w:szCs w:val="18"/>
                <w14:textFill>
                  <w14:solidFill>
                    <w14:schemeClr w14:val="tx1"/>
                  </w14:solidFill>
                </w14:textFill>
              </w:rPr>
              <w:t>调出</w:t>
            </w:r>
          </w:p>
        </w:tc>
        <w:tc>
          <w:tcPr>
            <w:tcW w:w="1240" w:type="dxa"/>
            <w:gridSpan w:val="2"/>
            <w:tcBorders>
              <w:top w:val="single" w:color="auto" w:sz="12" w:space="0"/>
              <w:bottom w:val="nil"/>
              <w:right w:val="single" w:color="auto" w:sz="6" w:space="0"/>
              <w:insideH w:val="nil"/>
              <w:insideV w:val="single" w:sz="6" w:space="0"/>
              <w:tl2br w:val="nil"/>
              <w:tr2bl w:val="nil"/>
            </w:tcBorders>
            <w:vAlign w:val="center"/>
          </w:tcPr>
          <w:p w14:paraId="7C84ADC3">
            <w:pPr>
              <w:pStyle w:val="105"/>
              <w:widowControl w:val="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1"/>
                <w:sz w:val="18"/>
                <w:szCs w:val="18"/>
                <w14:textFill>
                  <w14:solidFill>
                    <w14:schemeClr w14:val="tx1"/>
                  </w14:solidFill>
                </w14:textFill>
              </w:rPr>
              <w:t>借方</w:t>
            </w:r>
          </w:p>
        </w:tc>
        <w:tc>
          <w:tcPr>
            <w:tcW w:w="1229" w:type="dxa"/>
            <w:gridSpan w:val="2"/>
            <w:tcBorders>
              <w:top w:val="single" w:color="auto" w:sz="12" w:space="0"/>
              <w:bottom w:val="nil"/>
              <w:right w:val="nil"/>
              <w:insideH w:val="nil"/>
              <w:insideV w:val="single" w:sz="6" w:space="0"/>
              <w:tl2br w:val="nil"/>
              <w:tr2bl w:val="nil"/>
            </w:tcBorders>
            <w:vAlign w:val="center"/>
          </w:tcPr>
          <w:p w14:paraId="02A30395">
            <w:pPr>
              <w:pStyle w:val="105"/>
              <w:widowControl w:val="0"/>
              <w:jc w:val="center"/>
              <w:rPr>
                <w:rFonts w:eastAsia="New York"/>
                <w:color w:val="000000" w:themeColor="text1"/>
                <w:sz w:val="18"/>
                <w:szCs w:val="18"/>
                <w14:textFill>
                  <w14:solidFill>
                    <w14:schemeClr w14:val="tx1"/>
                  </w14:solidFill>
                </w14:textFill>
              </w:rPr>
            </w:pPr>
            <w:r>
              <w:rPr>
                <w:rFonts w:hint="eastAsia" w:ascii="宋体" w:hAnsi="宋体" w:eastAsia="宋体"/>
                <w:color w:val="000000" w:themeColor="text1"/>
                <w:spacing w:val="-10"/>
                <w:sz w:val="18"/>
                <w:szCs w:val="18"/>
                <w14:textFill>
                  <w14:solidFill>
                    <w14:schemeClr w14:val="tx1"/>
                  </w14:solidFill>
                </w14:textFill>
              </w:rPr>
              <w:t>余（弃）方</w:t>
            </w:r>
          </w:p>
        </w:tc>
      </w:tr>
      <w:tr w14:paraId="7A8AE4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Merge w:val="continue"/>
            <w:vAlign w:val="center"/>
          </w:tcPr>
          <w:p w14:paraId="35575A89">
            <w:pPr>
              <w:pStyle w:val="105"/>
              <w:widowControl w:val="0"/>
              <w:jc w:val="center"/>
              <w:rPr>
                <w:color w:val="000000" w:themeColor="text1"/>
                <w:sz w:val="18"/>
                <w:szCs w:val="18"/>
                <w14:textFill>
                  <w14:solidFill>
                    <w14:schemeClr w14:val="tx1"/>
                  </w14:solidFill>
                </w14:textFill>
              </w:rPr>
            </w:pPr>
          </w:p>
        </w:tc>
        <w:tc>
          <w:tcPr>
            <w:tcW w:w="1700" w:type="dxa"/>
            <w:vMerge w:val="continue"/>
            <w:vAlign w:val="center"/>
          </w:tcPr>
          <w:p w14:paraId="0C083082">
            <w:pPr>
              <w:pStyle w:val="105"/>
              <w:widowControl w:val="0"/>
              <w:jc w:val="center"/>
              <w:rPr>
                <w:color w:val="000000" w:themeColor="text1"/>
                <w:sz w:val="18"/>
                <w:szCs w:val="18"/>
                <w14:textFill>
                  <w14:solidFill>
                    <w14:schemeClr w14:val="tx1"/>
                  </w14:solidFill>
                </w14:textFill>
              </w:rPr>
            </w:pPr>
          </w:p>
        </w:tc>
        <w:tc>
          <w:tcPr>
            <w:tcW w:w="847" w:type="dxa"/>
            <w:vMerge w:val="continue"/>
            <w:vAlign w:val="center"/>
          </w:tcPr>
          <w:p w14:paraId="60DC0641">
            <w:pPr>
              <w:pStyle w:val="105"/>
              <w:widowControl w:val="0"/>
              <w:jc w:val="center"/>
              <w:rPr>
                <w:color w:val="000000" w:themeColor="text1"/>
                <w:sz w:val="18"/>
                <w:szCs w:val="18"/>
                <w14:textFill>
                  <w14:solidFill>
                    <w14:schemeClr w14:val="tx1"/>
                  </w14:solidFill>
                </w14:textFill>
              </w:rPr>
            </w:pPr>
          </w:p>
        </w:tc>
        <w:tc>
          <w:tcPr>
            <w:tcW w:w="708" w:type="dxa"/>
            <w:vMerge w:val="continue"/>
            <w:vAlign w:val="center"/>
          </w:tcPr>
          <w:p w14:paraId="61AE3AA9">
            <w:pPr>
              <w:pStyle w:val="105"/>
              <w:widowControl w:val="0"/>
              <w:jc w:val="center"/>
              <w:rPr>
                <w:color w:val="000000" w:themeColor="text1"/>
                <w:sz w:val="18"/>
                <w:szCs w:val="18"/>
                <w14:textFill>
                  <w14:solidFill>
                    <w14:schemeClr w14:val="tx1"/>
                  </w14:solidFill>
                </w14:textFill>
              </w:rPr>
            </w:pPr>
          </w:p>
        </w:tc>
        <w:tc>
          <w:tcPr>
            <w:tcW w:w="705" w:type="dxa"/>
            <w:vAlign w:val="center"/>
          </w:tcPr>
          <w:p w14:paraId="64FB656E">
            <w:pPr>
              <w:pStyle w:val="105"/>
              <w:widowControl w:val="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数量</w:t>
            </w:r>
          </w:p>
        </w:tc>
        <w:tc>
          <w:tcPr>
            <w:tcW w:w="849" w:type="dxa"/>
            <w:vAlign w:val="center"/>
          </w:tcPr>
          <w:p w14:paraId="51C37DA3">
            <w:pPr>
              <w:pStyle w:val="105"/>
              <w:widowControl w:val="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来源</w:t>
            </w:r>
          </w:p>
        </w:tc>
        <w:tc>
          <w:tcPr>
            <w:tcW w:w="708" w:type="dxa"/>
            <w:vAlign w:val="center"/>
          </w:tcPr>
          <w:p w14:paraId="263D6C01">
            <w:pPr>
              <w:pStyle w:val="105"/>
              <w:widowControl w:val="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数量</w:t>
            </w:r>
          </w:p>
        </w:tc>
        <w:tc>
          <w:tcPr>
            <w:tcW w:w="905" w:type="dxa"/>
            <w:vAlign w:val="center"/>
          </w:tcPr>
          <w:p w14:paraId="5C5A7929">
            <w:pPr>
              <w:pStyle w:val="105"/>
              <w:widowControl w:val="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去向</w:t>
            </w:r>
          </w:p>
        </w:tc>
        <w:tc>
          <w:tcPr>
            <w:tcW w:w="621" w:type="dxa"/>
            <w:vAlign w:val="center"/>
          </w:tcPr>
          <w:p w14:paraId="16FA8DD1">
            <w:pPr>
              <w:pStyle w:val="105"/>
              <w:widowControl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数量</w:t>
            </w:r>
          </w:p>
        </w:tc>
        <w:tc>
          <w:tcPr>
            <w:tcW w:w="619" w:type="dxa"/>
            <w:vAlign w:val="center"/>
          </w:tcPr>
          <w:p w14:paraId="3EF58BF4">
            <w:pPr>
              <w:pStyle w:val="105"/>
              <w:widowControl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来源</w:t>
            </w:r>
          </w:p>
        </w:tc>
        <w:tc>
          <w:tcPr>
            <w:tcW w:w="619" w:type="dxa"/>
            <w:vAlign w:val="center"/>
          </w:tcPr>
          <w:p w14:paraId="5206ABBD">
            <w:pPr>
              <w:pStyle w:val="105"/>
              <w:widowControl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数量</w:t>
            </w:r>
          </w:p>
        </w:tc>
        <w:tc>
          <w:tcPr>
            <w:tcW w:w="610" w:type="dxa"/>
            <w:vAlign w:val="center"/>
          </w:tcPr>
          <w:p w14:paraId="76D6427A">
            <w:pPr>
              <w:pStyle w:val="105"/>
              <w:widowControl w:val="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去向</w:t>
            </w:r>
          </w:p>
        </w:tc>
      </w:tr>
      <w:tr w14:paraId="617EAC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279E64AE">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A</w:t>
            </w:r>
          </w:p>
        </w:tc>
        <w:tc>
          <w:tcPr>
            <w:tcW w:w="1700" w:type="dxa"/>
            <w:vAlign w:val="center"/>
          </w:tcPr>
          <w:p w14:paraId="1854DA4F">
            <w:pPr>
              <w:pStyle w:val="105"/>
              <w:widowControl w:val="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路基工程区</w:t>
            </w:r>
          </w:p>
        </w:tc>
        <w:tc>
          <w:tcPr>
            <w:tcW w:w="847" w:type="dxa"/>
            <w:vAlign w:val="center"/>
          </w:tcPr>
          <w:p w14:paraId="117293FD">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0.90</w:t>
            </w:r>
          </w:p>
        </w:tc>
        <w:tc>
          <w:tcPr>
            <w:tcW w:w="708" w:type="dxa"/>
            <w:vAlign w:val="center"/>
          </w:tcPr>
          <w:p w14:paraId="5661636E">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0.07</w:t>
            </w:r>
          </w:p>
        </w:tc>
        <w:tc>
          <w:tcPr>
            <w:tcW w:w="705" w:type="dxa"/>
            <w:vAlign w:val="center"/>
          </w:tcPr>
          <w:p w14:paraId="246E543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0.07</w:t>
            </w:r>
          </w:p>
        </w:tc>
        <w:tc>
          <w:tcPr>
            <w:tcW w:w="849" w:type="dxa"/>
            <w:vAlign w:val="center"/>
          </w:tcPr>
          <w:p w14:paraId="1F371E1B">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708" w:type="dxa"/>
            <w:vAlign w:val="center"/>
          </w:tcPr>
          <w:p w14:paraId="703A4F89">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0.90</w:t>
            </w:r>
          </w:p>
        </w:tc>
        <w:tc>
          <w:tcPr>
            <w:tcW w:w="905" w:type="dxa"/>
            <w:vAlign w:val="center"/>
          </w:tcPr>
          <w:p w14:paraId="2401060B">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621" w:type="dxa"/>
            <w:vAlign w:val="center"/>
          </w:tcPr>
          <w:p w14:paraId="464F72D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9" w:type="dxa"/>
            <w:vAlign w:val="center"/>
          </w:tcPr>
          <w:p w14:paraId="059947D1">
            <w:pPr>
              <w:pStyle w:val="105"/>
              <w:widowControl w:val="0"/>
              <w:jc w:val="center"/>
              <w:rPr>
                <w:color w:val="000000" w:themeColor="text1"/>
                <w:sz w:val="18"/>
                <w:szCs w:val="18"/>
                <w14:textFill>
                  <w14:solidFill>
                    <w14:schemeClr w14:val="tx1"/>
                  </w14:solidFill>
                </w14:textFill>
              </w:rPr>
            </w:pPr>
          </w:p>
        </w:tc>
        <w:tc>
          <w:tcPr>
            <w:tcW w:w="619" w:type="dxa"/>
            <w:vAlign w:val="center"/>
          </w:tcPr>
          <w:p w14:paraId="55995CD3">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0" w:type="dxa"/>
            <w:vAlign w:val="center"/>
          </w:tcPr>
          <w:p w14:paraId="39F529B4">
            <w:pPr>
              <w:pStyle w:val="105"/>
              <w:widowControl w:val="0"/>
              <w:jc w:val="center"/>
              <w:rPr>
                <w:color w:val="000000" w:themeColor="text1"/>
                <w:sz w:val="18"/>
                <w:szCs w:val="18"/>
                <w14:textFill>
                  <w14:solidFill>
                    <w14:schemeClr w14:val="tx1"/>
                  </w14:solidFill>
                </w14:textFill>
              </w:rPr>
            </w:pPr>
          </w:p>
        </w:tc>
      </w:tr>
      <w:tr w14:paraId="15C1CC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64A38510">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B</w:t>
            </w:r>
          </w:p>
        </w:tc>
        <w:tc>
          <w:tcPr>
            <w:tcW w:w="1700" w:type="dxa"/>
            <w:vAlign w:val="center"/>
          </w:tcPr>
          <w:p w14:paraId="439CEB87">
            <w:pPr>
              <w:pStyle w:val="105"/>
              <w:widowControl w:val="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边坡防护工程区</w:t>
            </w:r>
          </w:p>
        </w:tc>
        <w:tc>
          <w:tcPr>
            <w:tcW w:w="847" w:type="dxa"/>
            <w:vAlign w:val="center"/>
          </w:tcPr>
          <w:p w14:paraId="5776EAA1">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0.40</w:t>
            </w:r>
          </w:p>
        </w:tc>
        <w:tc>
          <w:tcPr>
            <w:tcW w:w="708" w:type="dxa"/>
            <w:vAlign w:val="center"/>
          </w:tcPr>
          <w:p w14:paraId="4B3FE85F">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1.22</w:t>
            </w:r>
          </w:p>
        </w:tc>
        <w:tc>
          <w:tcPr>
            <w:tcW w:w="705" w:type="dxa"/>
            <w:vAlign w:val="center"/>
          </w:tcPr>
          <w:p w14:paraId="5AA2477C">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1.22</w:t>
            </w:r>
          </w:p>
        </w:tc>
        <w:tc>
          <w:tcPr>
            <w:tcW w:w="849" w:type="dxa"/>
            <w:vAlign w:val="center"/>
          </w:tcPr>
          <w:p w14:paraId="66FA1340">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708" w:type="dxa"/>
            <w:vAlign w:val="center"/>
          </w:tcPr>
          <w:p w14:paraId="5B9774FB">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0.40</w:t>
            </w:r>
          </w:p>
        </w:tc>
        <w:tc>
          <w:tcPr>
            <w:tcW w:w="905" w:type="dxa"/>
            <w:vAlign w:val="center"/>
          </w:tcPr>
          <w:p w14:paraId="53A75B96">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621" w:type="dxa"/>
            <w:vAlign w:val="center"/>
          </w:tcPr>
          <w:p w14:paraId="25DDE25E">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9" w:type="dxa"/>
            <w:vAlign w:val="center"/>
          </w:tcPr>
          <w:p w14:paraId="73EC11F9">
            <w:pPr>
              <w:pStyle w:val="105"/>
              <w:widowControl w:val="0"/>
              <w:jc w:val="center"/>
              <w:rPr>
                <w:color w:val="000000" w:themeColor="text1"/>
                <w:sz w:val="18"/>
                <w:szCs w:val="18"/>
                <w14:textFill>
                  <w14:solidFill>
                    <w14:schemeClr w14:val="tx1"/>
                  </w14:solidFill>
                </w14:textFill>
              </w:rPr>
            </w:pPr>
          </w:p>
        </w:tc>
        <w:tc>
          <w:tcPr>
            <w:tcW w:w="619" w:type="dxa"/>
            <w:vAlign w:val="center"/>
          </w:tcPr>
          <w:p w14:paraId="1B1AA082">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0" w:type="dxa"/>
            <w:vAlign w:val="center"/>
          </w:tcPr>
          <w:p w14:paraId="78F55E92">
            <w:pPr>
              <w:pStyle w:val="105"/>
              <w:widowControl w:val="0"/>
              <w:jc w:val="center"/>
              <w:rPr>
                <w:color w:val="000000" w:themeColor="text1"/>
                <w:sz w:val="18"/>
                <w:szCs w:val="18"/>
                <w14:textFill>
                  <w14:solidFill>
                    <w14:schemeClr w14:val="tx1"/>
                  </w14:solidFill>
                </w14:textFill>
              </w:rPr>
            </w:pPr>
          </w:p>
        </w:tc>
      </w:tr>
      <w:tr w14:paraId="1AB2DC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3A3C8EEA">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C</w:t>
            </w:r>
          </w:p>
        </w:tc>
        <w:tc>
          <w:tcPr>
            <w:tcW w:w="1700" w:type="dxa"/>
            <w:vAlign w:val="center"/>
          </w:tcPr>
          <w:p w14:paraId="22B07987">
            <w:pPr>
              <w:pStyle w:val="105"/>
              <w:widowControl w:val="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桥梁工程区</w:t>
            </w:r>
          </w:p>
        </w:tc>
        <w:tc>
          <w:tcPr>
            <w:tcW w:w="847" w:type="dxa"/>
            <w:vAlign w:val="center"/>
          </w:tcPr>
          <w:p w14:paraId="452A83D1">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0.16</w:t>
            </w:r>
          </w:p>
        </w:tc>
        <w:tc>
          <w:tcPr>
            <w:tcW w:w="708" w:type="dxa"/>
            <w:vAlign w:val="center"/>
          </w:tcPr>
          <w:p w14:paraId="56EC9F4F">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705" w:type="dxa"/>
            <w:vAlign w:val="center"/>
          </w:tcPr>
          <w:p w14:paraId="3E1C3542">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849" w:type="dxa"/>
            <w:vAlign w:val="center"/>
          </w:tcPr>
          <w:p w14:paraId="7D2455ED">
            <w:pPr>
              <w:pStyle w:val="105"/>
              <w:widowControl w:val="0"/>
              <w:jc w:val="center"/>
              <w:rPr>
                <w:color w:val="000000" w:themeColor="text1"/>
                <w:sz w:val="18"/>
                <w:szCs w:val="18"/>
                <w14:textFill>
                  <w14:solidFill>
                    <w14:schemeClr w14:val="tx1"/>
                  </w14:solidFill>
                </w14:textFill>
              </w:rPr>
            </w:pPr>
          </w:p>
        </w:tc>
        <w:tc>
          <w:tcPr>
            <w:tcW w:w="708" w:type="dxa"/>
            <w:vAlign w:val="center"/>
          </w:tcPr>
          <w:p w14:paraId="0E115CFE">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0.16</w:t>
            </w:r>
          </w:p>
        </w:tc>
        <w:tc>
          <w:tcPr>
            <w:tcW w:w="905" w:type="dxa"/>
            <w:vAlign w:val="center"/>
          </w:tcPr>
          <w:p w14:paraId="167995CF">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621" w:type="dxa"/>
            <w:vAlign w:val="center"/>
          </w:tcPr>
          <w:p w14:paraId="67835BD9">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9" w:type="dxa"/>
            <w:vAlign w:val="center"/>
          </w:tcPr>
          <w:p w14:paraId="1B8E79C2">
            <w:pPr>
              <w:pStyle w:val="105"/>
              <w:widowControl w:val="0"/>
              <w:jc w:val="center"/>
              <w:rPr>
                <w:color w:val="000000" w:themeColor="text1"/>
                <w:sz w:val="18"/>
                <w:szCs w:val="18"/>
                <w14:textFill>
                  <w14:solidFill>
                    <w14:schemeClr w14:val="tx1"/>
                  </w14:solidFill>
                </w14:textFill>
              </w:rPr>
            </w:pPr>
          </w:p>
        </w:tc>
        <w:tc>
          <w:tcPr>
            <w:tcW w:w="619" w:type="dxa"/>
            <w:vAlign w:val="center"/>
          </w:tcPr>
          <w:p w14:paraId="50064FD3">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0" w:type="dxa"/>
            <w:vAlign w:val="center"/>
          </w:tcPr>
          <w:p w14:paraId="3A1D2729">
            <w:pPr>
              <w:pStyle w:val="105"/>
              <w:widowControl w:val="0"/>
              <w:jc w:val="center"/>
              <w:rPr>
                <w:color w:val="000000" w:themeColor="text1"/>
                <w:sz w:val="18"/>
                <w:szCs w:val="18"/>
                <w14:textFill>
                  <w14:solidFill>
                    <w14:schemeClr w14:val="tx1"/>
                  </w14:solidFill>
                </w14:textFill>
              </w:rPr>
            </w:pPr>
          </w:p>
        </w:tc>
      </w:tr>
      <w:tr w14:paraId="72E4A5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31C9886D">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D</w:t>
            </w:r>
          </w:p>
        </w:tc>
        <w:tc>
          <w:tcPr>
            <w:tcW w:w="1700" w:type="dxa"/>
            <w:vAlign w:val="center"/>
          </w:tcPr>
          <w:p w14:paraId="682900AB">
            <w:pPr>
              <w:pStyle w:val="105"/>
              <w:widowControl w:val="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施工场地区</w:t>
            </w:r>
          </w:p>
        </w:tc>
        <w:tc>
          <w:tcPr>
            <w:tcW w:w="847" w:type="dxa"/>
            <w:vAlign w:val="center"/>
          </w:tcPr>
          <w:p w14:paraId="4249C56C">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0.12</w:t>
            </w:r>
          </w:p>
        </w:tc>
        <w:tc>
          <w:tcPr>
            <w:tcW w:w="708" w:type="dxa"/>
            <w:vAlign w:val="center"/>
          </w:tcPr>
          <w:p w14:paraId="755E1683">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0.19</w:t>
            </w:r>
          </w:p>
        </w:tc>
        <w:tc>
          <w:tcPr>
            <w:tcW w:w="705" w:type="dxa"/>
            <w:vAlign w:val="center"/>
          </w:tcPr>
          <w:p w14:paraId="2F536C22">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0.19</w:t>
            </w:r>
          </w:p>
        </w:tc>
        <w:tc>
          <w:tcPr>
            <w:tcW w:w="849" w:type="dxa"/>
            <w:vAlign w:val="center"/>
          </w:tcPr>
          <w:p w14:paraId="27691111">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708" w:type="dxa"/>
            <w:vAlign w:val="center"/>
          </w:tcPr>
          <w:p w14:paraId="0E669944">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0.12</w:t>
            </w:r>
          </w:p>
        </w:tc>
        <w:tc>
          <w:tcPr>
            <w:tcW w:w="905" w:type="dxa"/>
            <w:vAlign w:val="center"/>
          </w:tcPr>
          <w:p w14:paraId="3B79AE8D">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621" w:type="dxa"/>
            <w:vAlign w:val="center"/>
          </w:tcPr>
          <w:p w14:paraId="755AD1FC">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9" w:type="dxa"/>
            <w:vAlign w:val="center"/>
          </w:tcPr>
          <w:p w14:paraId="25E94FE5">
            <w:pPr>
              <w:pStyle w:val="105"/>
              <w:widowControl w:val="0"/>
              <w:jc w:val="center"/>
              <w:rPr>
                <w:color w:val="000000" w:themeColor="text1"/>
                <w:sz w:val="18"/>
                <w:szCs w:val="18"/>
                <w14:textFill>
                  <w14:solidFill>
                    <w14:schemeClr w14:val="tx1"/>
                  </w14:solidFill>
                </w14:textFill>
              </w:rPr>
            </w:pPr>
          </w:p>
        </w:tc>
        <w:tc>
          <w:tcPr>
            <w:tcW w:w="619" w:type="dxa"/>
            <w:vAlign w:val="center"/>
          </w:tcPr>
          <w:p w14:paraId="6E94F98D">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0" w:type="dxa"/>
            <w:vAlign w:val="center"/>
          </w:tcPr>
          <w:p w14:paraId="0D2AB5DB">
            <w:pPr>
              <w:pStyle w:val="105"/>
              <w:widowControl w:val="0"/>
              <w:jc w:val="center"/>
              <w:rPr>
                <w:color w:val="000000" w:themeColor="text1"/>
                <w:sz w:val="18"/>
                <w:szCs w:val="18"/>
                <w14:textFill>
                  <w14:solidFill>
                    <w14:schemeClr w14:val="tx1"/>
                  </w14:solidFill>
                </w14:textFill>
              </w:rPr>
            </w:pPr>
          </w:p>
        </w:tc>
      </w:tr>
      <w:tr w14:paraId="63F890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0FBC5402">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E</w:t>
            </w:r>
          </w:p>
        </w:tc>
        <w:tc>
          <w:tcPr>
            <w:tcW w:w="1700" w:type="dxa"/>
            <w:vAlign w:val="center"/>
          </w:tcPr>
          <w:p w14:paraId="219F203B">
            <w:pPr>
              <w:pStyle w:val="105"/>
              <w:widowControl w:val="0"/>
              <w:jc w:val="center"/>
              <w:rPr>
                <w:color w:val="000000" w:themeColor="text1"/>
                <w:sz w:val="18"/>
                <w:szCs w:val="18"/>
                <w14:textFill>
                  <w14:solidFill>
                    <w14:schemeClr w14:val="tx1"/>
                  </w14:solidFill>
                </w14:textFill>
              </w:rPr>
            </w:pPr>
            <w:r>
              <w:rPr>
                <w:color w:val="000000" w:themeColor="text1"/>
                <w:spacing w:val="-2"/>
                <w:sz w:val="18"/>
                <w:szCs w:val="18"/>
                <w14:textFill>
                  <w14:solidFill>
                    <w14:schemeClr w14:val="tx1"/>
                  </w14:solidFill>
                </w14:textFill>
              </w:rPr>
              <w:t>施工便道区</w:t>
            </w:r>
          </w:p>
        </w:tc>
        <w:tc>
          <w:tcPr>
            <w:tcW w:w="847" w:type="dxa"/>
            <w:vAlign w:val="center"/>
          </w:tcPr>
          <w:p w14:paraId="1C58D098">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0.04</w:t>
            </w:r>
          </w:p>
        </w:tc>
        <w:tc>
          <w:tcPr>
            <w:tcW w:w="708" w:type="dxa"/>
            <w:vAlign w:val="center"/>
          </w:tcPr>
          <w:p w14:paraId="3C05C487">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0.04</w:t>
            </w:r>
          </w:p>
        </w:tc>
        <w:tc>
          <w:tcPr>
            <w:tcW w:w="705" w:type="dxa"/>
            <w:vAlign w:val="center"/>
          </w:tcPr>
          <w:p w14:paraId="3F3A9744">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0.04</w:t>
            </w:r>
          </w:p>
        </w:tc>
        <w:tc>
          <w:tcPr>
            <w:tcW w:w="849" w:type="dxa"/>
            <w:vAlign w:val="center"/>
          </w:tcPr>
          <w:p w14:paraId="715CBCC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708" w:type="dxa"/>
            <w:vAlign w:val="center"/>
          </w:tcPr>
          <w:p w14:paraId="69FC799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0.04</w:t>
            </w:r>
          </w:p>
        </w:tc>
        <w:tc>
          <w:tcPr>
            <w:tcW w:w="905" w:type="dxa"/>
            <w:vAlign w:val="center"/>
          </w:tcPr>
          <w:p w14:paraId="041F343D">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621" w:type="dxa"/>
            <w:vAlign w:val="center"/>
          </w:tcPr>
          <w:p w14:paraId="6989A978">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9" w:type="dxa"/>
            <w:vAlign w:val="center"/>
          </w:tcPr>
          <w:p w14:paraId="6A859567">
            <w:pPr>
              <w:pStyle w:val="105"/>
              <w:widowControl w:val="0"/>
              <w:jc w:val="center"/>
              <w:rPr>
                <w:color w:val="000000" w:themeColor="text1"/>
                <w:sz w:val="18"/>
                <w:szCs w:val="18"/>
                <w14:textFill>
                  <w14:solidFill>
                    <w14:schemeClr w14:val="tx1"/>
                  </w14:solidFill>
                </w14:textFill>
              </w:rPr>
            </w:pPr>
          </w:p>
        </w:tc>
        <w:tc>
          <w:tcPr>
            <w:tcW w:w="619" w:type="dxa"/>
            <w:vAlign w:val="center"/>
          </w:tcPr>
          <w:p w14:paraId="66731E2D">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0" w:type="dxa"/>
            <w:vAlign w:val="center"/>
          </w:tcPr>
          <w:p w14:paraId="4BFA5260">
            <w:pPr>
              <w:pStyle w:val="105"/>
              <w:widowControl w:val="0"/>
              <w:jc w:val="center"/>
              <w:rPr>
                <w:color w:val="000000" w:themeColor="text1"/>
                <w:sz w:val="18"/>
                <w:szCs w:val="18"/>
                <w14:textFill>
                  <w14:solidFill>
                    <w14:schemeClr w14:val="tx1"/>
                  </w14:solidFill>
                </w14:textFill>
              </w:rPr>
            </w:pPr>
          </w:p>
        </w:tc>
      </w:tr>
      <w:tr w14:paraId="524C10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565276D2">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F</w:t>
            </w:r>
          </w:p>
        </w:tc>
        <w:tc>
          <w:tcPr>
            <w:tcW w:w="1700" w:type="dxa"/>
            <w:vAlign w:val="center"/>
          </w:tcPr>
          <w:p w14:paraId="6BFAACA4">
            <w:pPr>
              <w:pStyle w:val="105"/>
              <w:widowControl w:val="0"/>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临时堆场区</w:t>
            </w:r>
          </w:p>
        </w:tc>
        <w:tc>
          <w:tcPr>
            <w:tcW w:w="847" w:type="dxa"/>
            <w:vAlign w:val="center"/>
          </w:tcPr>
          <w:p w14:paraId="23814C4B">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0.00</w:t>
            </w:r>
          </w:p>
        </w:tc>
        <w:tc>
          <w:tcPr>
            <w:tcW w:w="708" w:type="dxa"/>
            <w:vAlign w:val="center"/>
          </w:tcPr>
          <w:p w14:paraId="472E6687">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0.09</w:t>
            </w:r>
          </w:p>
        </w:tc>
        <w:tc>
          <w:tcPr>
            <w:tcW w:w="705" w:type="dxa"/>
            <w:vAlign w:val="center"/>
          </w:tcPr>
          <w:p w14:paraId="1D7CA2A1">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0.09</w:t>
            </w:r>
          </w:p>
        </w:tc>
        <w:tc>
          <w:tcPr>
            <w:tcW w:w="849" w:type="dxa"/>
            <w:vAlign w:val="center"/>
          </w:tcPr>
          <w:p w14:paraId="3018E588">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708" w:type="dxa"/>
            <w:vAlign w:val="center"/>
          </w:tcPr>
          <w:p w14:paraId="1DCF398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905" w:type="dxa"/>
            <w:vAlign w:val="center"/>
          </w:tcPr>
          <w:p w14:paraId="7F3CB2E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621" w:type="dxa"/>
            <w:vAlign w:val="center"/>
          </w:tcPr>
          <w:p w14:paraId="21D2FF82">
            <w:pPr>
              <w:pStyle w:val="105"/>
              <w:widowControl w:val="0"/>
              <w:jc w:val="center"/>
              <w:rPr>
                <w:color w:val="000000" w:themeColor="text1"/>
                <w:sz w:val="18"/>
                <w:szCs w:val="18"/>
                <w14:textFill>
                  <w14:solidFill>
                    <w14:schemeClr w14:val="tx1"/>
                  </w14:solidFill>
                </w14:textFill>
              </w:rPr>
            </w:pPr>
          </w:p>
        </w:tc>
        <w:tc>
          <w:tcPr>
            <w:tcW w:w="619" w:type="dxa"/>
            <w:vAlign w:val="center"/>
          </w:tcPr>
          <w:p w14:paraId="48493DA7">
            <w:pPr>
              <w:pStyle w:val="105"/>
              <w:widowControl w:val="0"/>
              <w:jc w:val="center"/>
              <w:rPr>
                <w:color w:val="000000" w:themeColor="text1"/>
                <w:sz w:val="18"/>
                <w:szCs w:val="18"/>
                <w14:textFill>
                  <w14:solidFill>
                    <w14:schemeClr w14:val="tx1"/>
                  </w14:solidFill>
                </w14:textFill>
              </w:rPr>
            </w:pPr>
          </w:p>
        </w:tc>
        <w:tc>
          <w:tcPr>
            <w:tcW w:w="619" w:type="dxa"/>
            <w:vAlign w:val="center"/>
          </w:tcPr>
          <w:p w14:paraId="1C61B586">
            <w:pPr>
              <w:pStyle w:val="105"/>
              <w:widowControl w:val="0"/>
              <w:jc w:val="center"/>
              <w:rPr>
                <w:color w:val="000000" w:themeColor="text1"/>
                <w:sz w:val="18"/>
                <w:szCs w:val="18"/>
                <w14:textFill>
                  <w14:solidFill>
                    <w14:schemeClr w14:val="tx1"/>
                  </w14:solidFill>
                </w14:textFill>
              </w:rPr>
            </w:pPr>
          </w:p>
        </w:tc>
        <w:tc>
          <w:tcPr>
            <w:tcW w:w="610" w:type="dxa"/>
            <w:vAlign w:val="center"/>
          </w:tcPr>
          <w:p w14:paraId="37FCBB33">
            <w:pPr>
              <w:pStyle w:val="105"/>
              <w:widowControl w:val="0"/>
              <w:jc w:val="center"/>
              <w:rPr>
                <w:color w:val="000000" w:themeColor="text1"/>
                <w:sz w:val="18"/>
                <w:szCs w:val="18"/>
                <w14:textFill>
                  <w14:solidFill>
                    <w14:schemeClr w14:val="tx1"/>
                  </w14:solidFill>
                </w14:textFill>
              </w:rPr>
            </w:pPr>
          </w:p>
        </w:tc>
      </w:tr>
      <w:tr w14:paraId="55AC45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15CD001A">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1700" w:type="dxa"/>
            <w:vAlign w:val="center"/>
          </w:tcPr>
          <w:p w14:paraId="2CD15BEA">
            <w:pPr>
              <w:pStyle w:val="105"/>
              <w:widowControl w:val="0"/>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表土临时堆场区</w:t>
            </w:r>
          </w:p>
        </w:tc>
        <w:tc>
          <w:tcPr>
            <w:tcW w:w="847" w:type="dxa"/>
            <w:vAlign w:val="center"/>
          </w:tcPr>
          <w:p w14:paraId="6E497DF4">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0.18</w:t>
            </w:r>
          </w:p>
        </w:tc>
        <w:tc>
          <w:tcPr>
            <w:tcW w:w="708" w:type="dxa"/>
            <w:vAlign w:val="center"/>
          </w:tcPr>
          <w:p w14:paraId="75FA2F4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0.19</w:t>
            </w:r>
          </w:p>
        </w:tc>
        <w:tc>
          <w:tcPr>
            <w:tcW w:w="705" w:type="dxa"/>
            <w:vAlign w:val="center"/>
          </w:tcPr>
          <w:p w14:paraId="733D98C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0.19</w:t>
            </w:r>
          </w:p>
        </w:tc>
        <w:tc>
          <w:tcPr>
            <w:tcW w:w="849" w:type="dxa"/>
            <w:vAlign w:val="center"/>
          </w:tcPr>
          <w:p w14:paraId="7AF1B71A">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708" w:type="dxa"/>
            <w:vAlign w:val="center"/>
          </w:tcPr>
          <w:p w14:paraId="186936AC">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0.18</w:t>
            </w:r>
          </w:p>
        </w:tc>
        <w:tc>
          <w:tcPr>
            <w:tcW w:w="905" w:type="dxa"/>
            <w:vAlign w:val="center"/>
          </w:tcPr>
          <w:p w14:paraId="39787F17">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G</w:t>
            </w:r>
          </w:p>
        </w:tc>
        <w:tc>
          <w:tcPr>
            <w:tcW w:w="621" w:type="dxa"/>
            <w:vAlign w:val="center"/>
          </w:tcPr>
          <w:p w14:paraId="4D49C565">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9" w:type="dxa"/>
            <w:vAlign w:val="center"/>
          </w:tcPr>
          <w:p w14:paraId="1027A8A7">
            <w:pPr>
              <w:pStyle w:val="105"/>
              <w:widowControl w:val="0"/>
              <w:jc w:val="center"/>
              <w:rPr>
                <w:color w:val="000000" w:themeColor="text1"/>
                <w:sz w:val="18"/>
                <w:szCs w:val="18"/>
                <w14:textFill>
                  <w14:solidFill>
                    <w14:schemeClr w14:val="tx1"/>
                  </w14:solidFill>
                </w14:textFill>
              </w:rPr>
            </w:pPr>
          </w:p>
        </w:tc>
        <w:tc>
          <w:tcPr>
            <w:tcW w:w="619" w:type="dxa"/>
            <w:vAlign w:val="center"/>
          </w:tcPr>
          <w:p w14:paraId="450D7681">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z w:val="18"/>
                <w:szCs w:val="18"/>
                <w14:textFill>
                  <w14:solidFill>
                    <w14:schemeClr w14:val="tx1"/>
                  </w14:solidFill>
                </w14:textFill>
              </w:rPr>
              <w:t>/</w:t>
            </w:r>
          </w:p>
        </w:tc>
        <w:tc>
          <w:tcPr>
            <w:tcW w:w="610" w:type="dxa"/>
            <w:vAlign w:val="center"/>
          </w:tcPr>
          <w:p w14:paraId="35A30ED0">
            <w:pPr>
              <w:pStyle w:val="105"/>
              <w:widowControl w:val="0"/>
              <w:jc w:val="center"/>
              <w:rPr>
                <w:color w:val="000000" w:themeColor="text1"/>
                <w:sz w:val="18"/>
                <w:szCs w:val="18"/>
                <w14:textFill>
                  <w14:solidFill>
                    <w14:schemeClr w14:val="tx1"/>
                  </w14:solidFill>
                </w14:textFill>
              </w:rPr>
            </w:pPr>
          </w:p>
        </w:tc>
      </w:tr>
      <w:tr w14:paraId="0283C6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403" w:type="dxa"/>
            <w:vAlign w:val="center"/>
          </w:tcPr>
          <w:p w14:paraId="190C9824">
            <w:pPr>
              <w:pStyle w:val="105"/>
              <w:widowControl w:val="0"/>
              <w:jc w:val="center"/>
              <w:rPr>
                <w:color w:val="000000" w:themeColor="text1"/>
                <w:sz w:val="18"/>
                <w:szCs w:val="18"/>
                <w14:textFill>
                  <w14:solidFill>
                    <w14:schemeClr w14:val="tx1"/>
                  </w14:solidFill>
                </w14:textFill>
              </w:rPr>
            </w:pPr>
          </w:p>
        </w:tc>
        <w:tc>
          <w:tcPr>
            <w:tcW w:w="1700" w:type="dxa"/>
            <w:vAlign w:val="center"/>
          </w:tcPr>
          <w:p w14:paraId="1CECF858">
            <w:pPr>
              <w:pStyle w:val="105"/>
              <w:widowControl w:val="0"/>
              <w:jc w:val="center"/>
              <w:rPr>
                <w:color w:val="000000" w:themeColor="text1"/>
                <w:sz w:val="18"/>
                <w:szCs w:val="18"/>
                <w14:textFill>
                  <w14:solidFill>
                    <w14:schemeClr w14:val="tx1"/>
                  </w14:solidFill>
                </w14:textFill>
              </w:rPr>
            </w:pPr>
            <w:r>
              <w:rPr>
                <w:color w:val="000000" w:themeColor="text1"/>
                <w:spacing w:val="-3"/>
                <w:sz w:val="18"/>
                <w:szCs w:val="18"/>
                <w14:textFill>
                  <w14:solidFill>
                    <w14:schemeClr w14:val="tx1"/>
                  </w14:solidFill>
                </w14:textFill>
              </w:rPr>
              <w:t>合计</w:t>
            </w:r>
          </w:p>
        </w:tc>
        <w:tc>
          <w:tcPr>
            <w:tcW w:w="847" w:type="dxa"/>
            <w:vAlign w:val="center"/>
          </w:tcPr>
          <w:p w14:paraId="723BBAFA">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6"/>
                <w:sz w:val="18"/>
                <w:szCs w:val="18"/>
                <w14:textFill>
                  <w14:solidFill>
                    <w14:schemeClr w14:val="tx1"/>
                  </w14:solidFill>
                </w14:textFill>
              </w:rPr>
              <w:t>1.80</w:t>
            </w:r>
          </w:p>
        </w:tc>
        <w:tc>
          <w:tcPr>
            <w:tcW w:w="708" w:type="dxa"/>
            <w:vAlign w:val="center"/>
          </w:tcPr>
          <w:p w14:paraId="6CA46706">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6"/>
                <w:sz w:val="18"/>
                <w:szCs w:val="18"/>
                <w14:textFill>
                  <w14:solidFill>
                    <w14:schemeClr w14:val="tx1"/>
                  </w14:solidFill>
                </w14:textFill>
              </w:rPr>
              <w:t>1.80</w:t>
            </w:r>
          </w:p>
        </w:tc>
        <w:tc>
          <w:tcPr>
            <w:tcW w:w="705" w:type="dxa"/>
            <w:vAlign w:val="center"/>
          </w:tcPr>
          <w:p w14:paraId="0026FC99">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6"/>
                <w:sz w:val="18"/>
                <w:szCs w:val="18"/>
                <w14:textFill>
                  <w14:solidFill>
                    <w14:schemeClr w14:val="tx1"/>
                  </w14:solidFill>
                </w14:textFill>
              </w:rPr>
              <w:t>1.80</w:t>
            </w:r>
          </w:p>
        </w:tc>
        <w:tc>
          <w:tcPr>
            <w:tcW w:w="849" w:type="dxa"/>
            <w:vAlign w:val="center"/>
          </w:tcPr>
          <w:p w14:paraId="0A83ED33">
            <w:pPr>
              <w:pStyle w:val="105"/>
              <w:widowControl w:val="0"/>
              <w:jc w:val="center"/>
              <w:rPr>
                <w:color w:val="000000" w:themeColor="text1"/>
                <w:sz w:val="18"/>
                <w:szCs w:val="18"/>
                <w14:textFill>
                  <w14:solidFill>
                    <w14:schemeClr w14:val="tx1"/>
                  </w14:solidFill>
                </w14:textFill>
              </w:rPr>
            </w:pPr>
          </w:p>
        </w:tc>
        <w:tc>
          <w:tcPr>
            <w:tcW w:w="708" w:type="dxa"/>
            <w:vAlign w:val="center"/>
          </w:tcPr>
          <w:p w14:paraId="640C456A">
            <w:pPr>
              <w:pStyle w:val="105"/>
              <w:widowControl w:val="0"/>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6"/>
                <w:sz w:val="18"/>
                <w:szCs w:val="18"/>
                <w14:textFill>
                  <w14:solidFill>
                    <w14:schemeClr w14:val="tx1"/>
                  </w14:solidFill>
                </w14:textFill>
              </w:rPr>
              <w:t>1.80</w:t>
            </w:r>
          </w:p>
        </w:tc>
        <w:tc>
          <w:tcPr>
            <w:tcW w:w="905" w:type="dxa"/>
            <w:vAlign w:val="center"/>
          </w:tcPr>
          <w:p w14:paraId="6EA4BE7F">
            <w:pPr>
              <w:pStyle w:val="105"/>
              <w:widowControl w:val="0"/>
              <w:jc w:val="center"/>
              <w:rPr>
                <w:color w:val="000000" w:themeColor="text1"/>
                <w:sz w:val="18"/>
                <w:szCs w:val="18"/>
                <w14:textFill>
                  <w14:solidFill>
                    <w14:schemeClr w14:val="tx1"/>
                  </w14:solidFill>
                </w14:textFill>
              </w:rPr>
            </w:pPr>
          </w:p>
        </w:tc>
        <w:tc>
          <w:tcPr>
            <w:tcW w:w="621" w:type="dxa"/>
            <w:vAlign w:val="center"/>
          </w:tcPr>
          <w:p w14:paraId="29B903AC">
            <w:pPr>
              <w:pStyle w:val="105"/>
              <w:widowControl w:val="0"/>
              <w:jc w:val="center"/>
              <w:rPr>
                <w:color w:val="000000" w:themeColor="text1"/>
                <w:sz w:val="18"/>
                <w:szCs w:val="18"/>
                <w14:textFill>
                  <w14:solidFill>
                    <w14:schemeClr w14:val="tx1"/>
                  </w14:solidFill>
                </w14:textFill>
              </w:rPr>
            </w:pPr>
          </w:p>
        </w:tc>
        <w:tc>
          <w:tcPr>
            <w:tcW w:w="619" w:type="dxa"/>
            <w:vAlign w:val="center"/>
          </w:tcPr>
          <w:p w14:paraId="6A133594">
            <w:pPr>
              <w:pStyle w:val="105"/>
              <w:widowControl w:val="0"/>
              <w:jc w:val="center"/>
              <w:rPr>
                <w:color w:val="000000" w:themeColor="text1"/>
                <w:sz w:val="18"/>
                <w:szCs w:val="18"/>
                <w14:textFill>
                  <w14:solidFill>
                    <w14:schemeClr w14:val="tx1"/>
                  </w14:solidFill>
                </w14:textFill>
              </w:rPr>
            </w:pPr>
          </w:p>
        </w:tc>
        <w:tc>
          <w:tcPr>
            <w:tcW w:w="619" w:type="dxa"/>
            <w:vAlign w:val="center"/>
          </w:tcPr>
          <w:p w14:paraId="59BA60E7">
            <w:pPr>
              <w:pStyle w:val="105"/>
              <w:widowControl w:val="0"/>
              <w:jc w:val="center"/>
              <w:rPr>
                <w:color w:val="000000" w:themeColor="text1"/>
                <w:sz w:val="18"/>
                <w:szCs w:val="18"/>
                <w14:textFill>
                  <w14:solidFill>
                    <w14:schemeClr w14:val="tx1"/>
                  </w14:solidFill>
                </w14:textFill>
              </w:rPr>
            </w:pPr>
          </w:p>
        </w:tc>
        <w:tc>
          <w:tcPr>
            <w:tcW w:w="610" w:type="dxa"/>
            <w:vAlign w:val="center"/>
          </w:tcPr>
          <w:p w14:paraId="4ADF5410">
            <w:pPr>
              <w:pStyle w:val="105"/>
              <w:widowControl w:val="0"/>
              <w:jc w:val="center"/>
              <w:rPr>
                <w:color w:val="000000" w:themeColor="text1"/>
                <w:sz w:val="18"/>
                <w:szCs w:val="18"/>
                <w14:textFill>
                  <w14:solidFill>
                    <w14:schemeClr w14:val="tx1"/>
                  </w14:solidFill>
                </w14:textFill>
              </w:rPr>
            </w:pPr>
          </w:p>
        </w:tc>
      </w:tr>
      <w:bookmarkEnd w:id="312"/>
    </w:tbl>
    <w:p w14:paraId="53E9B004">
      <w:pPr>
        <w:pStyle w:val="105"/>
        <w:rPr>
          <w:color w:val="000000" w:themeColor="text1"/>
          <w14:textFill>
            <w14:solidFill>
              <w14:schemeClr w14:val="tx1"/>
            </w14:solidFill>
          </w14:textFill>
        </w:rPr>
      </w:pPr>
    </w:p>
    <w:p w14:paraId="1876F0C6">
      <w:pPr>
        <w:pStyle w:val="124"/>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759450" cy="4302125"/>
            <wp:effectExtent l="0" t="0" r="0" b="317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87" cstate="email"/>
                    <a:stretch>
                      <a:fillRect/>
                    </a:stretch>
                  </pic:blipFill>
                  <pic:spPr>
                    <a:xfrm>
                      <a:off x="0" y="0"/>
                      <a:ext cx="5759450" cy="4302125"/>
                    </a:xfrm>
                    <a:prstGeom prst="rect">
                      <a:avLst/>
                    </a:prstGeom>
                  </pic:spPr>
                </pic:pic>
              </a:graphicData>
            </a:graphic>
          </wp:inline>
        </w:drawing>
      </w:r>
    </w:p>
    <w:p w14:paraId="12AD0104">
      <w:pPr>
        <w:pStyle w:val="122"/>
        <w:rPr>
          <w:color w:val="000000" w:themeColor="text1"/>
          <w14:textFill>
            <w14:solidFill>
              <w14:schemeClr w14:val="tx1"/>
            </w14:solidFill>
          </w14:textFill>
        </w:rPr>
      </w:pPr>
      <w:r>
        <w:rPr>
          <w:rFonts w:hint="eastAsia"/>
          <w:color w:val="000000" w:themeColor="text1"/>
          <w14:textFill>
            <w14:solidFill>
              <w14:schemeClr w14:val="tx1"/>
            </w14:solidFill>
          </w14:textFill>
        </w:rPr>
        <w:t>表土平衡及流向框图</w:t>
      </w:r>
    </w:p>
    <w:p w14:paraId="34345AA2">
      <w:pPr>
        <w:pStyle w:val="116"/>
        <w:rPr>
          <w:color w:val="000000" w:themeColor="text1"/>
          <w14:textFill>
            <w14:solidFill>
              <w14:schemeClr w14:val="tx1"/>
            </w14:solidFill>
          </w14:textFill>
        </w:rPr>
      </w:pPr>
      <w:bookmarkStart w:id="313" w:name="_Toc440466981"/>
      <w:bookmarkStart w:id="314" w:name="_Toc193912371"/>
      <w:bookmarkStart w:id="315" w:name="_Toc159405464"/>
      <w:bookmarkStart w:id="316" w:name="_Toc446086647"/>
      <w:bookmarkStart w:id="317" w:name="_Toc439084086"/>
      <w:bookmarkStart w:id="318" w:name="_Toc153957821"/>
      <w:bookmarkStart w:id="319" w:name="_Toc458669854"/>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组织概述</w:t>
      </w:r>
      <w:bookmarkEnd w:id="313"/>
      <w:bookmarkEnd w:id="314"/>
      <w:bookmarkEnd w:id="315"/>
      <w:bookmarkEnd w:id="316"/>
      <w:bookmarkEnd w:id="317"/>
      <w:bookmarkEnd w:id="318"/>
      <w:bookmarkEnd w:id="319"/>
    </w:p>
    <w:p w14:paraId="2360B2FB">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筑路材料及运输条件</w:t>
      </w:r>
    </w:p>
    <w:p w14:paraId="47EADD14">
      <w:pPr>
        <w:ind w:firstLine="480"/>
        <w:rPr>
          <w:color w:val="000000" w:themeColor="text1"/>
          <w:lang w:val="zh-CN"/>
          <w14:textFill>
            <w14:solidFill>
              <w14:schemeClr w14:val="tx1"/>
            </w14:solidFill>
          </w14:textFill>
        </w:rPr>
      </w:pP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1</w:t>
      </w:r>
      <w:r>
        <w:rPr>
          <w:rFonts w:hint="eastAsia" w:ascii="宋体" w:hAnsi="宋体"/>
          <w:color w:val="000000" w:themeColor="text1"/>
          <w14:textFill>
            <w14:solidFill>
              <w14:schemeClr w14:val="tx1"/>
            </w14:solidFill>
          </w14:textFill>
        </w:rPr>
        <w:t>）施工材料</w:t>
      </w:r>
      <w:bookmarkStart w:id="320" w:name="hmcheck_6a4ffaa91dee45cfaf3871945de587a8"/>
      <w:r>
        <w:rPr>
          <w:rFonts w:hint="eastAsia" w:ascii="宋体" w:hAnsi="宋体"/>
          <w:color w:val="000000" w:themeColor="text1"/>
          <w:shd w:val="clear" w:fill="FFAFAA"/>
          <w14:textFill>
            <w14:solidFill>
              <w14:schemeClr w14:val="tx1"/>
            </w14:solidFill>
          </w14:textFill>
        </w:rPr>
        <w:t>:</w:t>
      </w:r>
      <w:bookmarkEnd w:id="320"/>
      <w:r>
        <w:rPr>
          <w:rFonts w:hint="eastAsia"/>
          <w:color w:val="000000" w:themeColor="text1"/>
          <w14:textFill>
            <w14:solidFill>
              <w14:schemeClr w14:val="tx1"/>
            </w14:solidFill>
          </w14:textFill>
        </w:rPr>
        <w:t>项目所用砂石料、钢材、木材、水泥、沥青等均可在福清市等周边县市购买，通过汽车方式运输至项目场地内</w:t>
      </w:r>
      <w:r>
        <w:rPr>
          <w:color w:val="000000" w:themeColor="text1"/>
          <w:lang w:val="zh-CN"/>
          <w14:textFill>
            <w14:solidFill>
              <w14:schemeClr w14:val="tx1"/>
            </w14:solidFill>
          </w14:textFill>
        </w:rPr>
        <w:t>。</w:t>
      </w:r>
    </w:p>
    <w:p w14:paraId="2FA67D74">
      <w:pPr>
        <w:ind w:firstLine="480"/>
        <w:rPr>
          <w:color w:val="000000" w:themeColor="text1"/>
          <w:lang w:val="zh-CN"/>
          <w14:textFill>
            <w14:solidFill>
              <w14:schemeClr w14:val="tx1"/>
            </w14:solidFill>
          </w14:textFill>
        </w:rPr>
      </w:pPr>
      <w:r>
        <w:rPr>
          <w:color w:val="000000" w:themeColor="text1"/>
          <w:lang w:val="zh-CN"/>
          <w14:textFill>
            <w14:solidFill>
              <w14:schemeClr w14:val="tx1"/>
            </w14:solidFill>
          </w14:textFill>
        </w:rPr>
        <w:t>（2）施工水电：项目区地表水水系发育，水质较好，均能满足工程需要用水。施工中应注意水资源的保护，严防对沿线居民用水的污染。沿线电网通达程度较高，乡村的高低压电力路线及变电设施均可用于施工。施工期通讯靠无线</w:t>
      </w:r>
      <w:bookmarkStart w:id="321" w:name="hmcheck_d52987fae72d475ba7e74e7356a5c565"/>
      <w:r>
        <w:rPr>
          <w:color w:val="000000" w:themeColor="text1"/>
          <w:shd w:val="clear" w:fill="FFAFAA"/>
          <w:lang w:val="zh-CN"/>
          <w14:textFill>
            <w14:solidFill>
              <w14:schemeClr w14:val="tx1"/>
            </w14:solidFill>
          </w14:textFill>
        </w:rPr>
        <w:t>通讯工具</w:t>
      </w:r>
      <w:bookmarkEnd w:id="321"/>
      <w:r>
        <w:rPr>
          <w:color w:val="000000" w:themeColor="text1"/>
          <w:lang w:val="zh-CN"/>
          <w14:textFill>
            <w14:solidFill>
              <w14:schemeClr w14:val="tx1"/>
            </w14:solidFill>
          </w14:textFill>
        </w:rPr>
        <w:t>完成，不需</w:t>
      </w:r>
      <w:r>
        <w:rPr>
          <w:rFonts w:hint="eastAsia"/>
          <w:color w:val="000000" w:themeColor="text1"/>
          <w:lang w:val="zh-CN"/>
          <w14:textFill>
            <w14:solidFill>
              <w14:schemeClr w14:val="tx1"/>
            </w14:solidFill>
          </w14:textFill>
        </w:rPr>
        <w:t>架设通信</w:t>
      </w:r>
      <w:r>
        <w:rPr>
          <w:color w:val="000000" w:themeColor="text1"/>
          <w:lang w:val="zh-CN"/>
          <w14:textFill>
            <w14:solidFill>
              <w14:schemeClr w14:val="tx1"/>
            </w14:solidFill>
          </w14:textFill>
        </w:rPr>
        <w:t>电缆。</w:t>
      </w:r>
    </w:p>
    <w:p w14:paraId="03DA0734">
      <w:pPr>
        <w:ind w:firstLine="480"/>
        <w:rPr>
          <w:color w:val="000000" w:themeColor="text1"/>
          <w:szCs w:val="24"/>
          <w:lang w:val="zh-CN"/>
          <w14:textFill>
            <w14:solidFill>
              <w14:schemeClr w14:val="tx1"/>
            </w14:solidFill>
          </w14:textFill>
        </w:rPr>
      </w:pPr>
      <w:r>
        <w:rPr>
          <w:color w:val="000000" w:themeColor="text1"/>
          <w:szCs w:val="24"/>
          <w:lang w:val="zh-CN"/>
          <w14:textFill>
            <w14:solidFill>
              <w14:schemeClr w14:val="tx1"/>
            </w14:solidFill>
          </w14:textFill>
        </w:rPr>
        <w:t>（3）</w:t>
      </w:r>
      <w:r>
        <w:rPr>
          <w:rFonts w:hint="eastAsia"/>
          <w:color w:val="000000" w:themeColor="text1"/>
          <w:szCs w:val="24"/>
          <w:lang w:val="zh-CN"/>
          <w14:textFill>
            <w14:solidFill>
              <w14:schemeClr w14:val="tx1"/>
            </w14:solidFill>
          </w14:textFill>
        </w:rPr>
        <w:t>其他</w:t>
      </w:r>
      <w:r>
        <w:rPr>
          <w:color w:val="000000" w:themeColor="text1"/>
          <w:szCs w:val="24"/>
          <w:lang w:val="zh-CN"/>
          <w14:textFill>
            <w14:solidFill>
              <w14:schemeClr w14:val="tx1"/>
            </w14:solidFill>
          </w14:textFill>
        </w:rPr>
        <w:t>建筑材料：如钢材、木材、油料、沥青及水泥等则根据工程需要外运。</w:t>
      </w:r>
    </w:p>
    <w:p w14:paraId="3153200D">
      <w:pPr>
        <w:ind w:firstLine="480"/>
        <w:rPr>
          <w:color w:val="000000" w:themeColor="text1"/>
          <w:szCs w:val="24"/>
          <w:lang w:val="zh-CN"/>
          <w14:textFill>
            <w14:solidFill>
              <w14:schemeClr w14:val="tx1"/>
            </w14:solidFill>
          </w14:textFill>
        </w:rPr>
      </w:pPr>
      <w:r>
        <w:rPr>
          <w:color w:val="000000" w:themeColor="text1"/>
          <w:szCs w:val="24"/>
          <w:lang w:val="zh-CN"/>
          <w14:textFill>
            <w14:solidFill>
              <w14:schemeClr w14:val="tx1"/>
            </w14:solidFill>
          </w14:textFill>
        </w:rPr>
        <w:t>（4）运输条件：</w:t>
      </w:r>
      <w:r>
        <w:rPr>
          <w:rFonts w:hint="eastAsia"/>
          <w:color w:val="000000" w:themeColor="text1"/>
          <w14:textFill>
            <w14:solidFill>
              <w14:schemeClr w14:val="tx1"/>
            </w14:solidFill>
          </w14:textFill>
        </w:rPr>
        <w:t>本项目区域内现有沈海高速公路、渔平高速公路、长福高速公路、国道G324线和乡村汽车道以及施工便道等构成较为便捷的采运条件，运输条件总体较好，交通较为便利。沿线筑路材料均可采用汽车运输。</w:t>
      </w:r>
    </w:p>
    <w:p w14:paraId="2ADF17D1">
      <w:pPr>
        <w:pStyle w:val="120"/>
        <w:rPr>
          <w:color w:val="000000" w:themeColor="text1"/>
          <w14:textFill>
            <w14:solidFill>
              <w14:schemeClr w14:val="tx1"/>
            </w14:solidFill>
          </w14:textFill>
        </w:rPr>
      </w:pPr>
      <w:bookmarkStart w:id="322" w:name="_Toc439084088"/>
      <w:r>
        <w:rPr>
          <w:rFonts w:hint="eastAsia"/>
          <w:color w:val="000000" w:themeColor="text1"/>
          <w14:textFill>
            <w14:solidFill>
              <w14:schemeClr w14:val="tx1"/>
            </w14:solidFill>
          </w14:textFill>
        </w:rPr>
        <w:t>各类临时占地布置</w:t>
      </w:r>
      <w:bookmarkEnd w:id="322"/>
    </w:p>
    <w:p w14:paraId="69496F06">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（1）项目部及施工生活区</w:t>
      </w:r>
    </w:p>
    <w:p w14:paraId="7FBAC34D">
      <w:pPr>
        <w:ind w:firstLine="480"/>
        <w:rPr>
          <w:color w:val="000000" w:themeColor="text1"/>
          <w14:textFill>
            <w14:solidFill>
              <w14:schemeClr w14:val="tx1"/>
            </w14:solidFill>
          </w14:textFill>
        </w:rPr>
      </w:pPr>
      <w:bookmarkStart w:id="323" w:name="_Hlk179540535"/>
      <w:r>
        <w:rPr>
          <w:rFonts w:hint="eastAsia"/>
          <w:color w:val="000000" w:themeColor="text1"/>
          <w14:textFill>
            <w14:solidFill>
              <w14:schemeClr w14:val="tx1"/>
            </w14:solidFill>
          </w14:textFill>
        </w:rPr>
        <w:t>项目部</w:t>
      </w:r>
      <w:r>
        <w:rPr>
          <w:color w:val="000000" w:themeColor="text1"/>
          <w14:textFill>
            <w14:solidFill>
              <w14:schemeClr w14:val="tx1"/>
            </w14:solidFill>
          </w14:textFill>
        </w:rPr>
        <w:t>及施工人员租用</w:t>
      </w:r>
      <w:bookmarkEnd w:id="323"/>
      <w:r>
        <w:rPr>
          <w:rFonts w:hint="eastAsia"/>
          <w:color w:val="000000" w:themeColor="text1"/>
          <w14:textFill>
            <w14:solidFill>
              <w14:schemeClr w14:val="tx1"/>
            </w14:solidFill>
          </w14:textFill>
        </w:rPr>
        <w:t>福清市上迳镇牌边村G324国道旁民房作为项目驻地，施工人员分散租赁在周边民房，均不涉及新增占地</w:t>
      </w:r>
      <w:r>
        <w:rPr>
          <w:color w:val="000000" w:themeColor="text1"/>
          <w14:textFill>
            <w14:solidFill>
              <w14:schemeClr w14:val="tx1"/>
            </w14:solidFill>
          </w14:textFill>
        </w:rPr>
        <w:t>。</w:t>
      </w:r>
    </w:p>
    <w:p w14:paraId="0E3172BB">
      <w:pPr>
        <w:pStyle w:val="118"/>
        <w:numPr>
          <w:ilvl w:val="0"/>
          <w:numId w:val="0"/>
        </w:numPr>
        <w:rPr>
          <w:color w:val="000000" w:themeColor="text1"/>
          <w14:textFill>
            <w14:solidFill>
              <w14:schemeClr w14:val="tx1"/>
            </w14:solidFill>
          </w14:textFill>
        </w:rPr>
      </w:pPr>
      <w:bookmarkStart w:id="324" w:name="_Toc434825261"/>
      <w:bookmarkStart w:id="325" w:name="_Toc445277641"/>
      <w:bookmarkStart w:id="326" w:name="_Toc430340696"/>
      <w:bookmarkStart w:id="327" w:name="_Toc448174383"/>
      <w:bookmarkStart w:id="328" w:name="_Toc431223910"/>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）施工场地</w:t>
      </w:r>
      <w:bookmarkEnd w:id="324"/>
      <w:bookmarkEnd w:id="325"/>
      <w:bookmarkEnd w:id="326"/>
      <w:bookmarkEnd w:id="327"/>
      <w:bookmarkEnd w:id="328"/>
    </w:p>
    <w:p w14:paraId="14CFE4ED">
      <w:pPr>
        <w:ind w:firstLine="480"/>
        <w:rPr>
          <w:color w:val="000000" w:themeColor="text1"/>
          <w14:textFill>
            <w14:solidFill>
              <w14:schemeClr w14:val="tx1"/>
            </w14:solidFill>
          </w14:textFill>
        </w:rPr>
      </w:pPr>
      <w:bookmarkStart w:id="329" w:name="_Toc434825263"/>
      <w:bookmarkStart w:id="330" w:name="_Toc431223912"/>
      <w:bookmarkStart w:id="331" w:name="_Toc430340698"/>
      <w:bookmarkStart w:id="332" w:name="_Toc445277642"/>
      <w:r>
        <w:rPr>
          <w:rFonts w:hint="eastAsia"/>
          <w:color w:val="000000" w:themeColor="text1"/>
          <w14:textFill>
            <w14:solidFill>
              <w14:schemeClr w14:val="tx1"/>
            </w14:solidFill>
          </w14:textFill>
        </w:rPr>
        <w:t>本项目水稳采用自建</w:t>
      </w:r>
      <w:bookmarkStart w:id="333" w:name="hmcheck_1427fa9ae00b4e9bbb7423d26f874f06"/>
      <w:r>
        <w:rPr>
          <w:rFonts w:hint="eastAsia"/>
          <w:color w:val="000000" w:themeColor="text1"/>
          <w:shd w:val="clear" w:fill="FFAFAA"/>
          <w14:textFill>
            <w14:solidFill>
              <w14:schemeClr w14:val="tx1"/>
            </w14:solidFill>
          </w14:textFill>
        </w:rPr>
        <w:t>拌合站</w:t>
      </w:r>
      <w:bookmarkEnd w:id="333"/>
      <w:r>
        <w:rPr>
          <w:rFonts w:hint="eastAsia"/>
          <w:color w:val="000000" w:themeColor="text1"/>
          <w14:textFill>
            <w14:solidFill>
              <w14:schemeClr w14:val="tx1"/>
            </w14:solidFill>
          </w14:textFill>
        </w:rPr>
        <w:t>生产，水泥混凝土及沥青混凝土采用外购商品沥青混凝土及商品水泥混凝土。</w:t>
      </w:r>
    </w:p>
    <w:p w14:paraId="7568DDE9">
      <w:pPr>
        <w:ind w:firstLine="480"/>
        <w:rPr>
          <w:color w:val="000000" w:themeColor="text1"/>
          <w14:textFill>
            <w14:solidFill>
              <w14:schemeClr w14:val="tx1"/>
            </w14:solidFill>
          </w14:textFill>
        </w:rPr>
      </w:pPr>
      <w:r>
        <w:rPr>
          <w:color w:val="000000" w:themeColor="text1"/>
          <w14:textFill>
            <w14:solidFill>
              <w14:schemeClr w14:val="tx1"/>
            </w14:solidFill>
          </w14:textFill>
        </w:rPr>
        <w:t>根据项目区施工进度安排及总体布局，为便于施工组织管理、保证工程顺利进行，本项目</w:t>
      </w:r>
      <w:r>
        <w:rPr>
          <w:rFonts w:hint="eastAsia"/>
          <w:color w:val="000000" w:themeColor="text1"/>
          <w14:textFill>
            <w14:solidFill>
              <w14:schemeClr w14:val="tx1"/>
            </w14:solidFill>
          </w14:textFill>
        </w:rPr>
        <w:t>拟在公路</w:t>
      </w:r>
      <w:r>
        <w:rPr>
          <w:color w:val="000000" w:themeColor="text1"/>
          <w14:textFill>
            <w14:solidFill>
              <w14:schemeClr w14:val="tx1"/>
            </w14:solidFill>
          </w14:textFill>
        </w:rPr>
        <w:t>沿线设置2处</w:t>
      </w:r>
      <w:r>
        <w:rPr>
          <w:rFonts w:hint="eastAsia"/>
          <w:color w:val="000000" w:themeColor="text1"/>
          <w14:textFill>
            <w14:solidFill>
              <w14:schemeClr w14:val="tx1"/>
            </w14:solidFill>
          </w14:textFill>
        </w:rPr>
        <w:t>施工场地。1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施工场地位于主线K1+894右侧，占地约</w:t>
      </w:r>
      <w:r>
        <w:rPr>
          <w:color w:val="000000" w:themeColor="text1"/>
          <w14:textFill>
            <w14:solidFill>
              <w14:schemeClr w14:val="tx1"/>
            </w14:solidFill>
          </w14:textFill>
        </w:rPr>
        <w:t>0.7</w:t>
      </w:r>
      <w:r>
        <w:rPr>
          <w:rFonts w:hint="eastAsia"/>
          <w:color w:val="000000" w:themeColor="text1"/>
          <w14:textFill>
            <w14:solidFill>
              <w14:schemeClr w14:val="tx1"/>
            </w14:solidFill>
          </w14:textFill>
        </w:rPr>
        <w:t>m²。</w:t>
      </w:r>
      <w:r>
        <w:rPr>
          <w:color w:val="000000" w:themeColor="text1"/>
          <w14:textFill>
            <w14:solidFill>
              <w14:schemeClr w14:val="tx1"/>
            </w14:solidFill>
          </w14:textFill>
        </w:rPr>
        <w:t>施工场地主要用于</w:t>
      </w:r>
      <w:r>
        <w:rPr>
          <w:rFonts w:hint="eastAsia"/>
          <w:color w:val="000000" w:themeColor="text1"/>
          <w14:textFill>
            <w14:solidFill>
              <w14:schemeClr w14:val="tx1"/>
            </w14:solidFill>
          </w14:textFill>
        </w:rPr>
        <w:t>负责大埔大桥T梁预制</w:t>
      </w:r>
      <w:r>
        <w:rPr>
          <w:color w:val="000000" w:themeColor="text1"/>
          <w:spacing w:val="8"/>
          <w14:textFill>
            <w14:solidFill>
              <w14:schemeClr w14:val="tx1"/>
            </w14:solidFill>
          </w14:textFill>
        </w:rPr>
        <w:t>等</w:t>
      </w:r>
      <w:r>
        <w:rPr>
          <w:rFonts w:hint="eastAsia"/>
          <w:color w:val="000000" w:themeColor="text1"/>
          <w:spacing w:val="8"/>
          <w14:textFill>
            <w14:solidFill>
              <w14:schemeClr w14:val="tx1"/>
            </w14:solidFill>
          </w14:textFill>
        </w:rPr>
        <w:t>，</w:t>
      </w:r>
      <w:r>
        <w:rPr>
          <w:rFonts w:hint="eastAsia"/>
          <w:color w:val="000000" w:themeColor="text1"/>
          <w14:textFill>
            <w14:solidFill>
              <w14:schemeClr w14:val="tx1"/>
            </w14:solidFill>
          </w14:textFill>
        </w:rPr>
        <w:t>由制梁区、存梁区、钢筋加工区、轨道、龙门吊、办公区、场区道路、喷淋养护设施等组成</w:t>
      </w:r>
      <w:r>
        <w:rPr>
          <w:rFonts w:hint="eastAsia"/>
          <w:color w:val="000000" w:themeColor="text1"/>
          <w:spacing w:val="8"/>
          <w14:textFill>
            <w14:solidFill>
              <w14:schemeClr w14:val="tx1"/>
            </w14:solidFill>
          </w14:textFill>
        </w:rPr>
        <w:t>，</w:t>
      </w:r>
      <w:r>
        <w:rPr>
          <w:rFonts w:hint="eastAsia"/>
          <w:color w:val="000000" w:themeColor="text1"/>
          <w14:textFill>
            <w14:solidFill>
              <w14:schemeClr w14:val="tx1"/>
            </w14:solidFill>
          </w14:textFill>
        </w:rPr>
        <w:t>土地利用类型</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其他草地和其他林地</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现状为荒草地和稀疏桉树林植被</w:t>
      </w:r>
      <w:r>
        <w:rPr>
          <w:color w:val="000000" w:themeColor="text1"/>
          <w:spacing w:val="8"/>
          <w14:textFill>
            <w14:solidFill>
              <w14:schemeClr w14:val="tx1"/>
            </w14:solidFill>
          </w14:textFill>
        </w:rPr>
        <w:t>。</w:t>
      </w:r>
      <w:r>
        <w:rPr>
          <w:rFonts w:hint="eastAsia"/>
          <w:color w:val="000000" w:themeColor="text1"/>
          <w:spacing w:val="8"/>
          <w14:textFill>
            <w14:solidFill>
              <w14:schemeClr w14:val="tx1"/>
            </w14:solidFill>
          </w14:textFill>
        </w:rPr>
        <w:t>2</w:t>
      </w:r>
      <w:r>
        <w:rPr>
          <w:color w:val="000000" w:themeColor="text1"/>
          <w:spacing w:val="8"/>
          <w14:textFill>
            <w14:solidFill>
              <w14:schemeClr w14:val="tx1"/>
            </w14:solidFill>
          </w14:textFill>
        </w:rPr>
        <w:t>#</w:t>
      </w:r>
      <w:r>
        <w:rPr>
          <w:rFonts w:hint="eastAsia"/>
          <w:color w:val="000000" w:themeColor="text1"/>
          <w:spacing w:val="8"/>
          <w14:textFill>
            <w14:solidFill>
              <w14:schemeClr w14:val="tx1"/>
            </w14:solidFill>
          </w14:textFill>
        </w:rPr>
        <w:t>施工场地位于</w:t>
      </w:r>
      <w:r>
        <w:rPr>
          <w:color w:val="000000" w:themeColor="text1"/>
          <w14:textFill>
            <w14:solidFill>
              <w14:schemeClr w14:val="tx1"/>
            </w14:solidFill>
          </w14:textFill>
        </w:rPr>
        <w:t>布设K4+480</w:t>
      </w:r>
      <w:r>
        <w:rPr>
          <w:rFonts w:hint="eastAsia"/>
          <w:color w:val="000000" w:themeColor="text1"/>
          <w14:textFill>
            <w14:solidFill>
              <w14:schemeClr w14:val="tx1"/>
            </w14:solidFill>
          </w14:textFill>
        </w:rPr>
        <w:t>左侧，占地</w:t>
      </w:r>
      <w:r>
        <w:rPr>
          <w:color w:val="000000" w:themeColor="text1"/>
          <w14:textFill>
            <w14:solidFill>
              <w14:schemeClr w14:val="tx1"/>
            </w14:solidFill>
          </w14:textFill>
        </w:rPr>
        <w:t>0.35</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场内主要布设</w:t>
      </w:r>
      <w:r>
        <w:rPr>
          <w:rFonts w:hint="eastAsia"/>
          <w:color w:val="000000" w:themeColor="text1"/>
          <w:spacing w:val="-2"/>
          <w14:textFill>
            <w14:solidFill>
              <w14:schemeClr w14:val="tx1"/>
            </w14:solidFill>
          </w14:textFill>
        </w:rPr>
        <w:t>钢筋加工棚、</w:t>
      </w:r>
      <w:r>
        <w:rPr>
          <w:color w:val="000000" w:themeColor="text1"/>
          <w14:textFill>
            <w14:solidFill>
              <w14:schemeClr w14:val="tx1"/>
            </w14:solidFill>
          </w14:textFill>
        </w:rPr>
        <w:t>施工材料存放点</w:t>
      </w:r>
      <w:r>
        <w:rPr>
          <w:rFonts w:hint="eastAsia"/>
          <w:color w:val="000000" w:themeColor="text1"/>
          <w14:textFill>
            <w14:solidFill>
              <w14:schemeClr w14:val="tx1"/>
            </w14:solidFill>
          </w14:textFill>
        </w:rPr>
        <w:t>、水稳</w:t>
      </w:r>
      <w:bookmarkStart w:id="334" w:name="hmcheck_ce26b508f1014d4ca165919bf288048f"/>
      <w:r>
        <w:rPr>
          <w:rFonts w:hint="eastAsia"/>
          <w:color w:val="000000" w:themeColor="text1"/>
          <w:shd w:val="clear" w:fill="FFAFAA"/>
          <w14:textFill>
            <w14:solidFill>
              <w14:schemeClr w14:val="tx1"/>
            </w14:solidFill>
          </w14:textFill>
        </w:rPr>
        <w:t>拌合站</w:t>
      </w:r>
      <w:bookmarkEnd w:id="334"/>
      <w:r>
        <w:rPr>
          <w:rFonts w:hint="eastAsia"/>
          <w:color w:val="000000" w:themeColor="text1"/>
          <w14:textFill>
            <w14:solidFill>
              <w14:schemeClr w14:val="tx1"/>
            </w14:solidFill>
          </w14:textFill>
        </w:rPr>
        <w:t>等等。土地利用类型</w:t>
      </w:r>
      <w:r>
        <w:rPr>
          <w:color w:val="000000" w:themeColor="text1"/>
          <w14:textFill>
            <w14:solidFill>
              <w14:schemeClr w14:val="tx1"/>
            </w14:solidFill>
          </w14:textFill>
        </w:rPr>
        <w:t>为</w:t>
      </w:r>
      <w:r>
        <w:rPr>
          <w:rFonts w:hint="eastAsia"/>
          <w:color w:val="000000" w:themeColor="text1"/>
          <w14:textFill>
            <w14:solidFill>
              <w14:schemeClr w14:val="tx1"/>
            </w14:solidFill>
          </w14:textFill>
        </w:rPr>
        <w:t>一般林地和其他林地，该地块为区域填平区，填平后作为项目施工场地。</w:t>
      </w:r>
    </w:p>
    <w:p w14:paraId="2E289012">
      <w:pPr>
        <w:pStyle w:val="87"/>
        <w:spacing w:before="120"/>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施工场地布置情况一览表</w:t>
      </w:r>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1"/>
        <w:gridCol w:w="891"/>
        <w:gridCol w:w="1065"/>
        <w:gridCol w:w="837"/>
        <w:gridCol w:w="849"/>
        <w:gridCol w:w="2593"/>
        <w:gridCol w:w="2010"/>
      </w:tblGrid>
      <w:tr w14:paraId="5B6BCE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84" w:hRule="atLeast"/>
          <w:jc w:val="center"/>
        </w:trPr>
        <w:tc>
          <w:tcPr>
            <w:tcW w:w="572" w:type="pct"/>
            <w:vAlign w:val="center"/>
          </w:tcPr>
          <w:p w14:paraId="11E8BF9F">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名称</w:t>
            </w:r>
          </w:p>
        </w:tc>
        <w:tc>
          <w:tcPr>
            <w:tcW w:w="491" w:type="pct"/>
            <w:vAlign w:val="center"/>
          </w:tcPr>
          <w:p w14:paraId="1E599390">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位</w:t>
            </w:r>
            <w:r>
              <w:rPr>
                <w:snapToGrid w:val="0"/>
                <w:color w:val="000000" w:themeColor="text1"/>
                <w:sz w:val="20"/>
                <w:szCs w:val="24"/>
                <w14:textFill>
                  <w14:solidFill>
                    <w14:schemeClr w14:val="tx1"/>
                  </w14:solidFill>
                </w14:textFill>
              </w:rPr>
              <w:t xml:space="preserve"> </w:t>
            </w:r>
            <w:r>
              <w:rPr>
                <w:rFonts w:hint="eastAsia"/>
                <w:snapToGrid w:val="0"/>
                <w:color w:val="000000" w:themeColor="text1"/>
                <w:sz w:val="20"/>
                <w:szCs w:val="24"/>
                <w14:textFill>
                  <w14:solidFill>
                    <w14:schemeClr w14:val="tx1"/>
                  </w14:solidFill>
                </w14:textFill>
              </w:rPr>
              <w:t>置</w:t>
            </w:r>
          </w:p>
        </w:tc>
        <w:tc>
          <w:tcPr>
            <w:tcW w:w="585" w:type="pct"/>
            <w:vAlign w:val="center"/>
          </w:tcPr>
          <w:p w14:paraId="21308BD6">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占地类型</w:t>
            </w:r>
          </w:p>
        </w:tc>
        <w:tc>
          <w:tcPr>
            <w:tcW w:w="384" w:type="pct"/>
            <w:vAlign w:val="center"/>
          </w:tcPr>
          <w:p w14:paraId="01B5297D">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面积（</w:t>
            </w:r>
            <w:r>
              <w:rPr>
                <w:snapToGrid w:val="0"/>
                <w:color w:val="000000" w:themeColor="text1"/>
                <w:sz w:val="20"/>
                <w:szCs w:val="24"/>
                <w14:textFill>
                  <w14:solidFill>
                    <w14:schemeClr w14:val="tx1"/>
                  </w14:solidFill>
                </w14:textFill>
              </w:rPr>
              <w:t>hm²</w:t>
            </w:r>
            <w:r>
              <w:rPr>
                <w:rFonts w:hint="eastAsia"/>
                <w:snapToGrid w:val="0"/>
                <w:color w:val="000000" w:themeColor="text1"/>
                <w:sz w:val="20"/>
                <w:szCs w:val="24"/>
                <w14:textFill>
                  <w14:solidFill>
                    <w14:schemeClr w14:val="tx1"/>
                  </w14:solidFill>
                </w14:textFill>
              </w:rPr>
              <w:t>）</w:t>
            </w:r>
          </w:p>
        </w:tc>
        <w:tc>
          <w:tcPr>
            <w:tcW w:w="468" w:type="pct"/>
            <w:vAlign w:val="center"/>
          </w:tcPr>
          <w:p w14:paraId="12AF58FA">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占地性质</w:t>
            </w:r>
          </w:p>
        </w:tc>
        <w:tc>
          <w:tcPr>
            <w:tcW w:w="1407" w:type="pct"/>
            <w:vAlign w:val="center"/>
          </w:tcPr>
          <w:p w14:paraId="3ED3F01C">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用地现状及周边情况</w:t>
            </w:r>
          </w:p>
        </w:tc>
        <w:tc>
          <w:tcPr>
            <w:tcW w:w="1093" w:type="pct"/>
            <w:vAlign w:val="center"/>
          </w:tcPr>
          <w:p w14:paraId="137627B1">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布置内容</w:t>
            </w:r>
          </w:p>
        </w:tc>
      </w:tr>
      <w:tr w14:paraId="59420A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47" w:hRule="atLeast"/>
          <w:jc w:val="center"/>
        </w:trPr>
        <w:tc>
          <w:tcPr>
            <w:tcW w:w="572" w:type="pct"/>
            <w:vAlign w:val="center"/>
          </w:tcPr>
          <w:p w14:paraId="0DC7F17C">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施工场地</w:t>
            </w:r>
          </w:p>
        </w:tc>
        <w:tc>
          <w:tcPr>
            <w:tcW w:w="491" w:type="pct"/>
            <w:vAlign w:val="center"/>
          </w:tcPr>
          <w:p w14:paraId="1E3D9421">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14:textFill>
                  <w14:solidFill>
                    <w14:schemeClr w14:val="tx1"/>
                  </w14:solidFill>
                </w14:textFill>
              </w:rPr>
              <w:t>K1+894右侧</w:t>
            </w:r>
          </w:p>
        </w:tc>
        <w:tc>
          <w:tcPr>
            <w:tcW w:w="585" w:type="pct"/>
            <w:vAlign w:val="center"/>
          </w:tcPr>
          <w:p w14:paraId="5D5CF372">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14:textFill>
                  <w14:solidFill>
                    <w14:schemeClr w14:val="tx1"/>
                  </w14:solidFill>
                </w14:textFill>
              </w:rPr>
              <w:t>其他草地和其他林地</w:t>
            </w:r>
          </w:p>
        </w:tc>
        <w:tc>
          <w:tcPr>
            <w:tcW w:w="384" w:type="pct"/>
            <w:vAlign w:val="center"/>
          </w:tcPr>
          <w:p w14:paraId="581BB2E4">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0</w:t>
            </w:r>
            <w:r>
              <w:rPr>
                <w:snapToGrid w:val="0"/>
                <w:color w:val="000000" w:themeColor="text1"/>
                <w:sz w:val="20"/>
                <w:szCs w:val="24"/>
                <w14:textFill>
                  <w14:solidFill>
                    <w14:schemeClr w14:val="tx1"/>
                  </w14:solidFill>
                </w14:textFill>
              </w:rPr>
              <w:t>.70</w:t>
            </w:r>
          </w:p>
        </w:tc>
        <w:tc>
          <w:tcPr>
            <w:tcW w:w="468" w:type="pct"/>
            <w:vAlign w:val="center"/>
          </w:tcPr>
          <w:p w14:paraId="30AA36FC">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红线外临时占地</w:t>
            </w:r>
          </w:p>
        </w:tc>
        <w:tc>
          <w:tcPr>
            <w:tcW w:w="1407" w:type="pct"/>
            <w:vAlign w:val="center"/>
          </w:tcPr>
          <w:p w14:paraId="4D53D6F3">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现状为杂草地和一般林地（稀疏桉树），周边1</w:t>
            </w:r>
            <w:r>
              <w:rPr>
                <w:snapToGrid w:val="0"/>
                <w:color w:val="000000" w:themeColor="text1"/>
                <w:sz w:val="20"/>
                <w:szCs w:val="24"/>
                <w14:textFill>
                  <w14:solidFill>
                    <w14:schemeClr w14:val="tx1"/>
                  </w14:solidFill>
                </w14:textFill>
              </w:rPr>
              <w:t>00</w:t>
            </w:r>
            <w:r>
              <w:rPr>
                <w:rFonts w:hint="eastAsia"/>
                <w:snapToGrid w:val="0"/>
                <w:color w:val="000000" w:themeColor="text1"/>
                <w:sz w:val="20"/>
                <w:szCs w:val="24"/>
                <w14:textFill>
                  <w14:solidFill>
                    <w14:schemeClr w14:val="tx1"/>
                  </w14:solidFill>
                </w14:textFill>
              </w:rPr>
              <w:t>m无居民点，最近敏感点为东北侧1</w:t>
            </w:r>
            <w:r>
              <w:rPr>
                <w:snapToGrid w:val="0"/>
                <w:color w:val="000000" w:themeColor="text1"/>
                <w:sz w:val="20"/>
                <w:szCs w:val="24"/>
                <w14:textFill>
                  <w14:solidFill>
                    <w14:schemeClr w14:val="tx1"/>
                  </w14:solidFill>
                </w14:textFill>
              </w:rPr>
              <w:t>30</w:t>
            </w:r>
            <w:r>
              <w:rPr>
                <w:rFonts w:hint="eastAsia"/>
                <w:snapToGrid w:val="0"/>
                <w:color w:val="000000" w:themeColor="text1"/>
                <w:sz w:val="20"/>
                <w:szCs w:val="24"/>
                <w14:textFill>
                  <w14:solidFill>
                    <w14:schemeClr w14:val="tx1"/>
                  </w14:solidFill>
                </w14:textFill>
              </w:rPr>
              <w:t>m的</w:t>
            </w:r>
            <w:r>
              <w:rPr>
                <w:rFonts w:hint="eastAsia"/>
                <w:snapToGrid w:val="0"/>
                <w:color w:val="000000" w:themeColor="text1"/>
                <w14:textFill>
                  <w14:solidFill>
                    <w14:schemeClr w14:val="tx1"/>
                  </w14:solidFill>
                </w14:textFill>
              </w:rPr>
              <w:t>基督教洋下堂和</w:t>
            </w:r>
            <w:r>
              <w:rPr>
                <w:rFonts w:hint="eastAsia"/>
                <w:snapToGrid w:val="0"/>
                <w:color w:val="000000" w:themeColor="text1"/>
                <w:sz w:val="20"/>
                <w:szCs w:val="24"/>
                <w14:textFill>
                  <w14:solidFill>
                    <w14:schemeClr w14:val="tx1"/>
                  </w14:solidFill>
                </w14:textFill>
              </w:rPr>
              <w:t>西南侧</w:t>
            </w:r>
            <w:r>
              <w:rPr>
                <w:snapToGrid w:val="0"/>
                <w:color w:val="000000" w:themeColor="text1"/>
                <w:sz w:val="20"/>
                <w:szCs w:val="24"/>
                <w14:textFill>
                  <w14:solidFill>
                    <w14:schemeClr w14:val="tx1"/>
                  </w14:solidFill>
                </w14:textFill>
              </w:rPr>
              <w:t>141</w:t>
            </w:r>
            <w:r>
              <w:rPr>
                <w:rFonts w:hint="eastAsia"/>
                <w:snapToGrid w:val="0"/>
                <w:color w:val="000000" w:themeColor="text1"/>
                <w:sz w:val="20"/>
                <w:szCs w:val="24"/>
                <w14:textFill>
                  <w14:solidFill>
                    <w14:schemeClr w14:val="tx1"/>
                  </w14:solidFill>
                </w14:textFill>
              </w:rPr>
              <w:t>m火烧埔。</w:t>
            </w:r>
          </w:p>
        </w:tc>
        <w:tc>
          <w:tcPr>
            <w:tcW w:w="1093" w:type="pct"/>
            <w:vAlign w:val="center"/>
          </w:tcPr>
          <w:p w14:paraId="6934E08A">
            <w:pPr>
              <w:pStyle w:val="105"/>
              <w:jc w:val="center"/>
              <w:rPr>
                <w:snapToGrid w:val="0"/>
                <w:color w:val="000000" w:themeColor="text1"/>
                <w14:textFill>
                  <w14:solidFill>
                    <w14:schemeClr w14:val="tx1"/>
                  </w14:solidFill>
                </w14:textFill>
              </w:rPr>
            </w:pPr>
            <w:bookmarkStart w:id="335" w:name="_Hlk179539979"/>
            <w:r>
              <w:rPr>
                <w:rFonts w:hint="eastAsia"/>
                <w:snapToGrid w:val="0"/>
                <w:color w:val="000000" w:themeColor="text1"/>
                <w:sz w:val="20"/>
                <w:szCs w:val="24"/>
                <w14:textFill>
                  <w14:solidFill>
                    <w14:schemeClr w14:val="tx1"/>
                  </w14:solidFill>
                </w14:textFill>
              </w:rPr>
              <w:t>钢筋加工场、预制场、存梁区、材料堆场、小型构件预制场、临时办公值班房</w:t>
            </w:r>
            <w:bookmarkEnd w:id="335"/>
            <w:r>
              <w:rPr>
                <w:rFonts w:hint="eastAsia"/>
                <w:snapToGrid w:val="0"/>
                <w:color w:val="000000" w:themeColor="text1"/>
                <w:sz w:val="20"/>
                <w:szCs w:val="24"/>
                <w14:textFill>
                  <w14:solidFill>
                    <w14:schemeClr w14:val="tx1"/>
                  </w14:solidFill>
                </w14:textFill>
              </w:rPr>
              <w:t>等</w:t>
            </w:r>
          </w:p>
        </w:tc>
      </w:tr>
      <w:tr w14:paraId="37BDB4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 w:hRule="atLeast"/>
          <w:jc w:val="center"/>
        </w:trPr>
        <w:tc>
          <w:tcPr>
            <w:tcW w:w="572" w:type="pct"/>
            <w:vAlign w:val="center"/>
          </w:tcPr>
          <w:p w14:paraId="13B2F71A">
            <w:pPr>
              <w:pStyle w:val="105"/>
              <w:ind w:left="-48" w:leftChars="-20" w:right="-48" w:rightChars="-20"/>
              <w:jc w:val="center"/>
              <w:rPr>
                <w:snapToGrid w:val="0"/>
                <w:color w:val="000000" w:themeColor="text1"/>
                <w:sz w:val="20"/>
                <w:szCs w:val="24"/>
                <w14:textFill>
                  <w14:solidFill>
                    <w14:schemeClr w14:val="tx1"/>
                  </w14:solidFill>
                </w14:textFill>
              </w:rPr>
            </w:pPr>
            <w:bookmarkStart w:id="336" w:name="_Hlk179539999"/>
            <w:r>
              <w:rPr>
                <w:snapToGrid w:val="0"/>
                <w:color w:val="000000" w:themeColor="text1"/>
                <w:sz w:val="20"/>
                <w:szCs w:val="24"/>
                <w14:textFill>
                  <w14:solidFill>
                    <w14:schemeClr w14:val="tx1"/>
                  </w14:solidFill>
                </w14:textFill>
              </w:rPr>
              <w:t>2#</w:t>
            </w:r>
            <w:r>
              <w:rPr>
                <w:rFonts w:hint="eastAsia"/>
                <w:snapToGrid w:val="0"/>
                <w:color w:val="000000" w:themeColor="text1"/>
                <w:sz w:val="20"/>
                <w:szCs w:val="24"/>
                <w14:textFill>
                  <w14:solidFill>
                    <w14:schemeClr w14:val="tx1"/>
                  </w14:solidFill>
                </w14:textFill>
              </w:rPr>
              <w:t>施工场地</w:t>
            </w:r>
            <w:bookmarkEnd w:id="336"/>
          </w:p>
        </w:tc>
        <w:tc>
          <w:tcPr>
            <w:tcW w:w="491" w:type="pct"/>
            <w:vAlign w:val="center"/>
          </w:tcPr>
          <w:p w14:paraId="161CDBCE">
            <w:pPr>
              <w:pStyle w:val="105"/>
              <w:ind w:left="-48" w:leftChars="-20" w:right="-48" w:rightChars="-20"/>
              <w:jc w:val="center"/>
              <w:rPr>
                <w:snapToGrid w:val="0"/>
                <w:color w:val="000000" w:themeColor="text1"/>
                <w:sz w:val="20"/>
                <w:szCs w:val="24"/>
                <w14:textFill>
                  <w14:solidFill>
                    <w14:schemeClr w14:val="tx1"/>
                  </w14:solidFill>
                </w14:textFill>
              </w:rPr>
            </w:pPr>
            <w:r>
              <w:rPr>
                <w:snapToGrid w:val="0"/>
                <w:color w:val="000000" w:themeColor="text1"/>
                <w14:textFill>
                  <w14:solidFill>
                    <w14:schemeClr w14:val="tx1"/>
                  </w14:solidFill>
                </w14:textFill>
              </w:rPr>
              <w:t>K4+480</w:t>
            </w:r>
            <w:r>
              <w:rPr>
                <w:rFonts w:hint="eastAsia"/>
                <w:snapToGrid w:val="0"/>
                <w:color w:val="000000" w:themeColor="text1"/>
                <w14:textFill>
                  <w14:solidFill>
                    <w14:schemeClr w14:val="tx1"/>
                  </w14:solidFill>
                </w14:textFill>
              </w:rPr>
              <w:t>左侧</w:t>
            </w:r>
          </w:p>
        </w:tc>
        <w:tc>
          <w:tcPr>
            <w:tcW w:w="585" w:type="pct"/>
            <w:vAlign w:val="center"/>
          </w:tcPr>
          <w:p w14:paraId="51FC29C1">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14:textFill>
                  <w14:solidFill>
                    <w14:schemeClr w14:val="tx1"/>
                  </w14:solidFill>
                </w14:textFill>
              </w:rPr>
              <w:t>一般林地和其他林地</w:t>
            </w:r>
          </w:p>
        </w:tc>
        <w:tc>
          <w:tcPr>
            <w:tcW w:w="384" w:type="pct"/>
            <w:vAlign w:val="center"/>
          </w:tcPr>
          <w:p w14:paraId="502443BE">
            <w:pPr>
              <w:pStyle w:val="105"/>
              <w:ind w:left="-48" w:leftChars="-20" w:right="-48" w:rightChars="-20"/>
              <w:jc w:val="center"/>
              <w:rPr>
                <w:snapToGrid w:val="0"/>
                <w:color w:val="000000" w:themeColor="text1"/>
                <w:sz w:val="20"/>
                <w:szCs w:val="24"/>
                <w14:textFill>
                  <w14:solidFill>
                    <w14:schemeClr w14:val="tx1"/>
                  </w14:solidFill>
                </w14:textFill>
              </w:rPr>
            </w:pPr>
            <w:r>
              <w:rPr>
                <w:snapToGrid w:val="0"/>
                <w:color w:val="000000" w:themeColor="text1"/>
                <w14:textFill>
                  <w14:solidFill>
                    <w14:schemeClr w14:val="tx1"/>
                  </w14:solidFill>
                </w14:textFill>
              </w:rPr>
              <w:t>0.35</w:t>
            </w:r>
          </w:p>
        </w:tc>
        <w:tc>
          <w:tcPr>
            <w:tcW w:w="468" w:type="pct"/>
            <w:vAlign w:val="center"/>
          </w:tcPr>
          <w:p w14:paraId="66AD7F4F">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红线外临时占地</w:t>
            </w:r>
          </w:p>
        </w:tc>
        <w:tc>
          <w:tcPr>
            <w:tcW w:w="1407" w:type="pct"/>
            <w:vAlign w:val="center"/>
          </w:tcPr>
          <w:p w14:paraId="0FE3D2FE">
            <w:pPr>
              <w:pStyle w:val="105"/>
              <w:ind w:left="-48" w:leftChars="-20" w:right="-48" w:rightChars="-20"/>
              <w:jc w:val="center"/>
              <w:rPr>
                <w:snapToGrid w:val="0"/>
                <w:color w:val="000000" w:themeColor="text1"/>
                <w:sz w:val="20"/>
                <w:szCs w:val="24"/>
                <w14:textFill>
                  <w14:solidFill>
                    <w14:schemeClr w14:val="tx1"/>
                  </w14:solidFill>
                </w14:textFill>
              </w:rPr>
            </w:pPr>
            <w:r>
              <w:rPr>
                <w:rFonts w:hint="eastAsia"/>
                <w:snapToGrid w:val="0"/>
                <w:color w:val="000000" w:themeColor="text1"/>
                <w:sz w:val="20"/>
                <w:szCs w:val="24"/>
                <w14:textFill>
                  <w14:solidFill>
                    <w14:schemeClr w14:val="tx1"/>
                  </w14:solidFill>
                </w14:textFill>
              </w:rPr>
              <w:t>现状为湿地松和景观树种植基地（</w:t>
            </w:r>
            <w:r>
              <w:rPr>
                <w:snapToGrid w:val="0"/>
                <w:color w:val="000000" w:themeColor="text1"/>
                <w14:textFill>
                  <w14:solidFill>
                    <w14:schemeClr w14:val="tx1"/>
                  </w14:solidFill>
                </w14:textFill>
              </w:rPr>
              <w:t>玉山文创农业公司</w:t>
            </w:r>
            <w:r>
              <w:rPr>
                <w:rFonts w:hint="eastAsia"/>
                <w:snapToGrid w:val="0"/>
                <w:color w:val="000000" w:themeColor="text1"/>
                <w14:textFill>
                  <w14:solidFill>
                    <w14:schemeClr w14:val="tx1"/>
                  </w14:solidFill>
                </w14:textFill>
              </w:rPr>
              <w:t>）</w:t>
            </w:r>
            <w:r>
              <w:rPr>
                <w:rFonts w:hint="eastAsia"/>
                <w:snapToGrid w:val="0"/>
                <w:color w:val="000000" w:themeColor="text1"/>
                <w:sz w:val="20"/>
                <w:szCs w:val="24"/>
                <w14:textFill>
                  <w14:solidFill>
                    <w14:schemeClr w14:val="tx1"/>
                  </w14:solidFill>
                </w14:textFill>
              </w:rPr>
              <w:t>，</w:t>
            </w:r>
            <w:bookmarkStart w:id="337" w:name="hmcheck_1c17aee20187452b8fcfdb69d69d3b78"/>
            <w:r>
              <w:rPr>
                <w:rFonts w:hint="eastAsia"/>
                <w:snapToGrid w:val="0"/>
                <w:color w:val="000000" w:themeColor="text1"/>
                <w:sz w:val="20"/>
                <w:szCs w:val="24"/>
                <w:shd w:val="clear" w:fill="FFAFAA"/>
                <w14:textFill>
                  <w14:solidFill>
                    <w14:schemeClr w14:val="tx1"/>
                  </w14:solidFill>
                </w14:textFill>
              </w:rPr>
              <w:t>周边无</w:t>
            </w:r>
            <w:bookmarkEnd w:id="337"/>
            <w:r>
              <w:rPr>
                <w:snapToGrid w:val="0"/>
                <w:color w:val="000000" w:themeColor="text1"/>
                <w:sz w:val="20"/>
                <w:szCs w:val="24"/>
                <w14:textFill>
                  <w14:solidFill>
                    <w14:schemeClr w14:val="tx1"/>
                  </w14:solidFill>
                </w14:textFill>
              </w:rPr>
              <w:t>200</w:t>
            </w:r>
            <w:r>
              <w:rPr>
                <w:rFonts w:hint="eastAsia"/>
                <w:snapToGrid w:val="0"/>
                <w:color w:val="000000" w:themeColor="text1"/>
                <w:sz w:val="20"/>
                <w:szCs w:val="24"/>
                <w14:textFill>
                  <w14:solidFill>
                    <w14:schemeClr w14:val="tx1"/>
                  </w14:solidFill>
                </w14:textFill>
              </w:rPr>
              <w:t>m无居民点。</w:t>
            </w:r>
          </w:p>
        </w:tc>
        <w:tc>
          <w:tcPr>
            <w:tcW w:w="1093" w:type="pct"/>
            <w:vAlign w:val="center"/>
          </w:tcPr>
          <w:p w14:paraId="00772A5D">
            <w:pPr>
              <w:pStyle w:val="105"/>
              <w:ind w:left="-48" w:leftChars="-20" w:right="-48" w:rightChars="-20"/>
              <w:jc w:val="center"/>
              <w:rPr>
                <w:snapToGrid w:val="0"/>
                <w:color w:val="000000" w:themeColor="text1"/>
                <w:sz w:val="20"/>
                <w:szCs w:val="24"/>
                <w14:textFill>
                  <w14:solidFill>
                    <w14:schemeClr w14:val="tx1"/>
                  </w14:solidFill>
                </w14:textFill>
              </w:rPr>
            </w:pPr>
            <w:r>
              <w:rPr>
                <w:snapToGrid w:val="0"/>
                <w:color w:val="000000" w:themeColor="text1"/>
                <w14:textFill>
                  <w14:solidFill>
                    <w14:schemeClr w14:val="tx1"/>
                  </w14:solidFill>
                </w14:textFill>
              </w:rPr>
              <w:t>施工材料存放点</w:t>
            </w:r>
            <w:r>
              <w:rPr>
                <w:rFonts w:hint="eastAsia"/>
                <w:snapToGrid w:val="0"/>
                <w:color w:val="000000" w:themeColor="text1"/>
                <w14:textFill>
                  <w14:solidFill>
                    <w14:schemeClr w14:val="tx1"/>
                  </w14:solidFill>
                </w14:textFill>
              </w:rPr>
              <w:t>、水稳</w:t>
            </w:r>
            <w:bookmarkStart w:id="338" w:name="hmcheck_abd746d9b9d24c39b2eb460503e36991"/>
            <w:r>
              <w:rPr>
                <w:rFonts w:hint="eastAsia"/>
                <w:snapToGrid w:val="0"/>
                <w:color w:val="000000" w:themeColor="text1"/>
                <w:shd w:val="clear" w:fill="FFAFAA"/>
                <w14:textFill>
                  <w14:solidFill>
                    <w14:schemeClr w14:val="tx1"/>
                  </w14:solidFill>
                </w14:textFill>
              </w:rPr>
              <w:t>拌合站</w:t>
            </w:r>
            <w:bookmarkEnd w:id="338"/>
            <w:r>
              <w:rPr>
                <w:rFonts w:hint="eastAsia"/>
                <w:snapToGrid w:val="0"/>
                <w:color w:val="000000" w:themeColor="text1"/>
                <w14:textFill>
                  <w14:solidFill>
                    <w14:schemeClr w14:val="tx1"/>
                  </w14:solidFill>
                </w14:textFill>
              </w:rPr>
              <w:t>等</w:t>
            </w:r>
          </w:p>
        </w:tc>
      </w:tr>
    </w:tbl>
    <w:p w14:paraId="52455094">
      <w:pPr>
        <w:pStyle w:val="118"/>
        <w:numPr>
          <w:ilvl w:val="0"/>
          <w:numId w:val="0"/>
        </w:numPr>
        <w:spacing w:before="240"/>
        <w:rPr>
          <w:color w:val="000000" w:themeColor="text1"/>
          <w14:textFill>
            <w14:solidFill>
              <w14:schemeClr w14:val="tx1"/>
            </w14:solidFill>
          </w14:textFill>
        </w:rPr>
      </w:pPr>
      <w:bookmarkStart w:id="339" w:name="_Toc448174384"/>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bookmarkEnd w:id="329"/>
      <w:bookmarkEnd w:id="330"/>
      <w:bookmarkEnd w:id="331"/>
      <w:r>
        <w:rPr>
          <w:rFonts w:hint="eastAsia"/>
          <w:color w:val="000000" w:themeColor="text1"/>
          <w14:textFill>
            <w14:solidFill>
              <w14:schemeClr w14:val="tx1"/>
            </w14:solidFill>
          </w14:textFill>
        </w:rPr>
        <w:t>临时表土堆场</w:t>
      </w:r>
      <w:bookmarkEnd w:id="332"/>
      <w:bookmarkEnd w:id="339"/>
    </w:p>
    <w:p w14:paraId="274000BE">
      <w:pPr>
        <w:ind w:firstLine="480"/>
        <w:rPr>
          <w:color w:val="000000" w:themeColor="text1"/>
          <w:spacing w:val="-6"/>
          <w14:textFill>
            <w14:solidFill>
              <w14:schemeClr w14:val="tx1"/>
            </w14:solidFill>
          </w14:textFill>
        </w:rPr>
      </w:pPr>
      <w:r>
        <w:rPr>
          <w:rFonts w:hint="eastAsia"/>
          <w:color w:val="000000" w:themeColor="text1"/>
          <w14:textFill>
            <w14:solidFill>
              <w14:schemeClr w14:val="tx1"/>
            </w14:solidFill>
          </w14:textFill>
        </w:rPr>
        <w:t>根据项目水土保持方案，</w:t>
      </w:r>
      <w:r>
        <w:rPr>
          <w:color w:val="000000" w:themeColor="text1"/>
          <w:spacing w:val="12"/>
          <w14:textFill>
            <w14:solidFill>
              <w14:schemeClr w14:val="tx1"/>
            </w14:solidFill>
          </w14:textFill>
        </w:rPr>
        <w:t>为保护表</w:t>
      </w:r>
      <w:r>
        <w:rPr>
          <w:color w:val="000000" w:themeColor="text1"/>
          <w:spacing w:val="10"/>
          <w14:textFill>
            <w14:solidFill>
              <w14:schemeClr w14:val="tx1"/>
            </w14:solidFill>
          </w14:textFill>
        </w:rPr>
        <w:t>土</w:t>
      </w:r>
      <w:r>
        <w:rPr>
          <w:color w:val="000000" w:themeColor="text1"/>
          <w:spacing w:val="6"/>
          <w14:textFill>
            <w14:solidFill>
              <w14:schemeClr w14:val="tx1"/>
            </w14:solidFill>
          </w14:textFill>
        </w:rPr>
        <w:t>资源，将耕地、园地和林地表土剥离，</w:t>
      </w:r>
      <w:r>
        <w:rPr>
          <w:rFonts w:hint="eastAsia"/>
          <w:color w:val="000000" w:themeColor="text1"/>
          <w:spacing w:val="6"/>
          <w14:textFill>
            <w14:solidFill>
              <w14:schemeClr w14:val="tx1"/>
            </w14:solidFill>
          </w14:textFill>
        </w:rPr>
        <w:t>水保方案</w:t>
      </w:r>
      <w:r>
        <w:rPr>
          <w:color w:val="000000" w:themeColor="text1"/>
          <w14:textFill>
            <w14:solidFill>
              <w14:schemeClr w14:val="tx1"/>
            </w14:solidFill>
          </w14:textFill>
        </w:rPr>
        <w:t>根据建设的需要拟在</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红线范围外布设</w:t>
      </w:r>
      <w:r>
        <w:rPr>
          <w:rFonts w:eastAsia="Times New Roman" w:cs="Times New Roman"/>
          <w:color w:val="000000" w:themeColor="text1"/>
          <w14:textFill>
            <w14:solidFill>
              <w14:schemeClr w14:val="tx1"/>
            </w14:solidFill>
          </w14:textFill>
        </w:rPr>
        <w:t>3</w:t>
      </w:r>
      <w:r>
        <w:rPr>
          <w:color w:val="000000" w:themeColor="text1"/>
          <w14:textFill>
            <w14:solidFill>
              <w14:schemeClr w14:val="tx1"/>
            </w14:solidFill>
          </w14:textFill>
        </w:rPr>
        <w:t>处表土临时堆场，主要用于堆</w:t>
      </w:r>
      <w:r>
        <w:rPr>
          <w:color w:val="000000" w:themeColor="text1"/>
          <w:spacing w:val="9"/>
          <w14:textFill>
            <w14:solidFill>
              <w14:schemeClr w14:val="tx1"/>
            </w14:solidFill>
          </w14:textFill>
        </w:rPr>
        <w:t>放施工前剥离的表土，主体工程完工后，场地及时拆除，清理后，对其进行土地整</w:t>
      </w:r>
      <w:r>
        <w:rPr>
          <w:color w:val="000000" w:themeColor="text1"/>
          <w14:textFill>
            <w14:solidFill>
              <w14:schemeClr w14:val="tx1"/>
            </w14:solidFill>
          </w14:textFill>
        </w:rPr>
        <w:t>治、复园、植被恢复后交还当地使用。表土临时堆场总占地面积为</w:t>
      </w:r>
      <w:r>
        <w:rPr>
          <w:rFonts w:eastAsia="Times New Roman" w:cs="Times New Roman"/>
          <w:color w:val="000000" w:themeColor="text1"/>
          <w14:textFill>
            <w14:solidFill>
              <w14:schemeClr w14:val="tx1"/>
            </w14:solidFill>
          </w14:textFill>
        </w:rPr>
        <w:t>0.91hm²</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设计总容</w:t>
      </w:r>
      <w:r>
        <w:rPr>
          <w:color w:val="000000" w:themeColor="text1"/>
          <w:spacing w:val="-6"/>
          <w14:textFill>
            <w14:solidFill>
              <w14:schemeClr w14:val="tx1"/>
            </w14:solidFill>
          </w14:textFill>
        </w:rPr>
        <w:t>量为</w:t>
      </w:r>
      <w:r>
        <w:rPr>
          <w:rFonts w:eastAsia="Times New Roman" w:cs="Times New Roman"/>
          <w:color w:val="000000" w:themeColor="text1"/>
          <w:spacing w:val="-6"/>
          <w14:textFill>
            <w14:solidFill>
              <w14:schemeClr w14:val="tx1"/>
            </w14:solidFill>
          </w14:textFill>
        </w:rPr>
        <w:t>1.93</w:t>
      </w:r>
      <w:r>
        <w:rPr>
          <w:color w:val="000000" w:themeColor="text1"/>
          <w:spacing w:val="-6"/>
          <w14:textFill>
            <w14:solidFill>
              <w14:schemeClr w14:val="tx1"/>
            </w14:solidFill>
          </w14:textFill>
        </w:rPr>
        <w:t>万</w:t>
      </w:r>
      <w:r>
        <w:rPr>
          <w:rFonts w:eastAsia="Times New Roman" w:cs="Times New Roman"/>
          <w:color w:val="000000" w:themeColor="text1"/>
          <w:spacing w:val="-6"/>
          <w14:textFill>
            <w14:solidFill>
              <w14:schemeClr w14:val="tx1"/>
            </w14:solidFill>
          </w14:textFill>
        </w:rPr>
        <w:t>m³</w:t>
      </w:r>
      <w:r>
        <w:rPr>
          <w:rFonts w:hint="eastAsia"/>
          <w:color w:val="000000" w:themeColor="text1"/>
          <w:spacing w:val="-6"/>
          <w14:textFill>
            <w14:solidFill>
              <w14:schemeClr w14:val="tx1"/>
            </w14:solidFill>
          </w14:textFill>
        </w:rPr>
        <w:t>，</w:t>
      </w:r>
      <w:r>
        <w:rPr>
          <w:color w:val="000000" w:themeColor="text1"/>
          <w:spacing w:val="-6"/>
          <w14:textFill>
            <w14:solidFill>
              <w14:schemeClr w14:val="tx1"/>
            </w14:solidFill>
          </w14:textFill>
        </w:rPr>
        <w:t>计划堆放表土</w:t>
      </w:r>
      <w:r>
        <w:rPr>
          <w:rFonts w:eastAsia="Times New Roman" w:cs="Times New Roman"/>
          <w:color w:val="000000" w:themeColor="text1"/>
          <w:spacing w:val="-6"/>
          <w14:textFill>
            <w14:solidFill>
              <w14:schemeClr w14:val="tx1"/>
            </w14:solidFill>
          </w14:textFill>
        </w:rPr>
        <w:t>1.79</w:t>
      </w:r>
      <w:r>
        <w:rPr>
          <w:color w:val="000000" w:themeColor="text1"/>
          <w:spacing w:val="-6"/>
          <w14:textFill>
            <w14:solidFill>
              <w14:schemeClr w14:val="tx1"/>
            </w14:solidFill>
          </w14:textFill>
        </w:rPr>
        <w:t>万</w:t>
      </w:r>
      <w:r>
        <w:rPr>
          <w:rFonts w:eastAsia="Times New Roman" w:cs="Times New Roman"/>
          <w:color w:val="000000" w:themeColor="text1"/>
          <w:spacing w:val="-6"/>
          <w14:textFill>
            <w14:solidFill>
              <w14:schemeClr w14:val="tx1"/>
            </w14:solidFill>
          </w14:textFill>
        </w:rPr>
        <w:t>m³</w:t>
      </w:r>
      <w:r>
        <w:rPr>
          <w:rFonts w:hint="eastAsia"/>
          <w:color w:val="000000" w:themeColor="text1"/>
          <w:spacing w:val="-6"/>
          <w14:textFill>
            <w14:solidFill>
              <w14:schemeClr w14:val="tx1"/>
            </w14:solidFill>
          </w14:textFill>
        </w:rPr>
        <w:t>，</w:t>
      </w:r>
      <w:r>
        <w:rPr>
          <w:color w:val="000000" w:themeColor="text1"/>
          <w:spacing w:val="-6"/>
          <w14:textFill>
            <w14:solidFill>
              <w14:schemeClr w14:val="tx1"/>
            </w14:solidFill>
          </w14:textFill>
        </w:rPr>
        <w:t>满足堆放要求。</w:t>
      </w:r>
    </w:p>
    <w:p w14:paraId="579AB990">
      <w:pPr>
        <w:ind w:firstLine="482"/>
        <w:rPr>
          <w:color w:val="000000" w:themeColor="text1"/>
          <w14:textFill>
            <w14:solidFill>
              <w14:schemeClr w14:val="tx1"/>
            </w14:solidFill>
          </w14:textFill>
        </w:rPr>
      </w:pPr>
      <w:r>
        <w:rPr>
          <w:color w:val="000000" w:themeColor="text1"/>
          <w:spacing w:val="1"/>
          <w14:textFill>
            <w14:solidFill>
              <w14:schemeClr w14:val="tx1"/>
            </w14:solidFill>
          </w14:textFill>
        </w:rPr>
        <w:t>其中</w:t>
      </w:r>
      <w:r>
        <w:rPr>
          <w:color w:val="000000" w:themeColor="text1"/>
          <w:spacing w:val="-49"/>
          <w14:textFill>
            <w14:solidFill>
              <w14:schemeClr w14:val="tx1"/>
            </w14:solidFill>
          </w14:textFill>
        </w:rPr>
        <w:t xml:space="preserve"> </w:t>
      </w:r>
      <w:r>
        <w:rPr>
          <w:rFonts w:eastAsia="Times New Roman" w:cs="Times New Roman"/>
          <w:color w:val="000000" w:themeColor="text1"/>
          <w:spacing w:val="1"/>
          <w14:textFill>
            <w14:solidFill>
              <w14:schemeClr w14:val="tx1"/>
            </w14:solidFill>
          </w14:textFill>
        </w:rPr>
        <w:t>1#</w:t>
      </w:r>
      <w:r>
        <w:rPr>
          <w:color w:val="000000" w:themeColor="text1"/>
          <w:spacing w:val="1"/>
          <w14:textFill>
            <w14:solidFill>
              <w14:schemeClr w14:val="tx1"/>
            </w14:solidFill>
          </w14:textFill>
        </w:rPr>
        <w:t>表土临时堆场占地面积</w:t>
      </w:r>
      <w:r>
        <w:rPr>
          <w:rFonts w:eastAsia="Times New Roman" w:cs="Times New Roman"/>
          <w:color w:val="000000" w:themeColor="text1"/>
          <w:spacing w:val="1"/>
          <w14:textFill>
            <w14:solidFill>
              <w14:schemeClr w14:val="tx1"/>
            </w14:solidFill>
          </w14:textFill>
        </w:rPr>
        <w:t>0.52</w:t>
      </w:r>
      <w:r>
        <w:rPr>
          <w:rFonts w:eastAsia="Times New Roman" w:cs="Times New Roman"/>
          <w:color w:val="000000" w:themeColor="text1"/>
          <w14:textFill>
            <w14:solidFill>
              <w14:schemeClr w14:val="tx1"/>
            </w14:solidFill>
          </w14:textFill>
        </w:rPr>
        <w:t>hm</w:t>
      </w:r>
      <w:r>
        <w:rPr>
          <w:rFonts w:eastAsia="Times New Roman" w:cs="Times New Roman"/>
          <w:color w:val="000000" w:themeColor="text1"/>
          <w:spacing w:val="1"/>
          <w14:textFill>
            <w14:solidFill>
              <w14:schemeClr w14:val="tx1"/>
            </w14:solidFill>
          </w14:textFill>
        </w:rPr>
        <w:t>²</w:t>
      </w:r>
      <w:r>
        <w:rPr>
          <w:color w:val="000000" w:themeColor="text1"/>
          <w:spacing w:val="1"/>
          <w14:textFill>
            <w14:solidFill>
              <w14:schemeClr w14:val="tx1"/>
            </w14:solidFill>
          </w14:textFill>
        </w:rPr>
        <w:t>, 位于</w:t>
      </w:r>
      <w:r>
        <w:rPr>
          <w:rFonts w:eastAsia="Times New Roman" w:cs="Times New Roman"/>
          <w:color w:val="000000" w:themeColor="text1"/>
          <w:spacing w:val="1"/>
          <w14:textFill>
            <w14:solidFill>
              <w14:schemeClr w14:val="tx1"/>
            </w14:solidFill>
          </w14:textFill>
        </w:rPr>
        <w:t xml:space="preserve">K0+660 </w:t>
      </w:r>
      <w:r>
        <w:rPr>
          <w:color w:val="000000" w:themeColor="text1"/>
          <w:spacing w:val="1"/>
          <w14:textFill>
            <w14:solidFill>
              <w14:schemeClr w14:val="tx1"/>
            </w14:solidFill>
          </w14:textFill>
        </w:rPr>
        <w:t>右侧</w:t>
      </w:r>
      <w:r>
        <w:rPr>
          <w:rFonts w:eastAsia="Times New Roman" w:cs="Times New Roman"/>
          <w:color w:val="000000" w:themeColor="text1"/>
          <w:spacing w:val="1"/>
          <w14:textFill>
            <w14:solidFill>
              <w14:schemeClr w14:val="tx1"/>
            </w14:solidFill>
          </w14:textFill>
        </w:rPr>
        <w:t>100m</w:t>
      </w:r>
      <w:r>
        <w:rPr>
          <w:color w:val="000000" w:themeColor="text1"/>
          <w:spacing w:val="1"/>
          <w14:textFill>
            <w14:solidFill>
              <w14:schemeClr w14:val="tx1"/>
            </w14:solidFill>
          </w14:textFill>
        </w:rPr>
        <w:t>，地形为</w:t>
      </w:r>
      <w:r>
        <w:rPr>
          <w:color w:val="000000" w:themeColor="text1"/>
          <w14:textFill>
            <w14:solidFill>
              <w14:schemeClr w14:val="tx1"/>
            </w14:solidFill>
          </w14:textFill>
        </w:rPr>
        <w:t>平地，占 地类型为园地，设计堆放高度为</w:t>
      </w:r>
      <w:r>
        <w:rPr>
          <w:color w:val="000000" w:themeColor="text1"/>
          <w:spacing w:val="-28"/>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2.5m</w:t>
      </w:r>
      <w:r>
        <w:rPr>
          <w:color w:val="000000" w:themeColor="text1"/>
          <w14:textFill>
            <w14:solidFill>
              <w14:schemeClr w14:val="tx1"/>
            </w14:solidFill>
          </w14:textFill>
        </w:rPr>
        <w:t xml:space="preserve">，堆放坡度为 </w:t>
      </w:r>
      <w:r>
        <w:rPr>
          <w:rFonts w:eastAsia="Times New Roman" w:cs="Times New Roman"/>
          <w:color w:val="000000" w:themeColor="text1"/>
          <w14:textFill>
            <w14:solidFill>
              <w14:schemeClr w14:val="tx1"/>
            </w14:solidFill>
          </w14:textFill>
        </w:rPr>
        <w:t>1:2.0</w:t>
      </w:r>
      <w:r>
        <w:rPr>
          <w:color w:val="000000" w:themeColor="text1"/>
          <w14:textFill>
            <w14:solidFill>
              <w14:schemeClr w14:val="tx1"/>
            </w14:solidFill>
          </w14:textFill>
        </w:rPr>
        <w:t>，设计总容量</w:t>
      </w:r>
      <w:r>
        <w:rPr>
          <w:color w:val="000000" w:themeColor="text1"/>
          <w:spacing w:val="-28"/>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 xml:space="preserve">1.11 </w:t>
      </w:r>
      <w:r>
        <w:rPr>
          <w:color w:val="000000" w:themeColor="text1"/>
          <w:spacing w:val="-4"/>
          <w14:textFill>
            <w14:solidFill>
              <w14:schemeClr w14:val="tx1"/>
            </w14:solidFill>
          </w14:textFill>
        </w:rPr>
        <w:t>万</w:t>
      </w:r>
      <w:r>
        <w:rPr>
          <w:rFonts w:eastAsia="Times New Roman" w:cs="Times New Roman"/>
          <w:color w:val="000000" w:themeColor="text1"/>
          <w:spacing w:val="-4"/>
          <w14:textFill>
            <w14:solidFill>
              <w14:schemeClr w14:val="tx1"/>
            </w14:solidFill>
          </w14:textFill>
        </w:rPr>
        <w:t>m³</w:t>
      </w:r>
      <w:r>
        <w:rPr>
          <w:color w:val="000000" w:themeColor="text1"/>
          <w:spacing w:val="-4"/>
          <w14:textFill>
            <w14:solidFill>
              <w14:schemeClr w14:val="tx1"/>
            </w14:solidFill>
          </w14:textFill>
        </w:rPr>
        <w:t>, 计划</w:t>
      </w:r>
      <w:r>
        <w:rPr>
          <w:color w:val="000000" w:themeColor="text1"/>
          <w14:textFill>
            <w14:solidFill>
              <w14:schemeClr w14:val="tx1"/>
            </w14:solidFill>
          </w14:textFill>
        </w:rPr>
        <w:t xml:space="preserve"> </w:t>
      </w:r>
      <w:r>
        <w:rPr>
          <w:color w:val="000000" w:themeColor="text1"/>
          <w:spacing w:val="5"/>
          <w14:textFill>
            <w14:solidFill>
              <w14:schemeClr w14:val="tx1"/>
            </w14:solidFill>
          </w14:textFill>
        </w:rPr>
        <w:t>堆放</w:t>
      </w:r>
      <w:r>
        <w:rPr>
          <w:color w:val="000000" w:themeColor="text1"/>
          <w:spacing w:val="-28"/>
          <w14:textFill>
            <w14:solidFill>
              <w14:schemeClr w14:val="tx1"/>
            </w14:solidFill>
          </w14:textFill>
        </w:rPr>
        <w:t xml:space="preserve"> </w:t>
      </w:r>
      <w:r>
        <w:rPr>
          <w:rFonts w:eastAsia="Times New Roman" w:cs="Times New Roman"/>
          <w:color w:val="000000" w:themeColor="text1"/>
          <w:spacing w:val="5"/>
          <w14:textFill>
            <w14:solidFill>
              <w14:schemeClr w14:val="tx1"/>
            </w14:solidFill>
          </w14:textFill>
        </w:rPr>
        <w:t>1.03</w:t>
      </w:r>
      <w:r>
        <w:rPr>
          <w:rFonts w:eastAsia="Times New Roman" w:cs="Times New Roman"/>
          <w:color w:val="000000" w:themeColor="text1"/>
          <w:spacing w:val="22"/>
          <w:w w:val="101"/>
          <w14:textFill>
            <w14:solidFill>
              <w14:schemeClr w14:val="tx1"/>
            </w14:solidFill>
          </w14:textFill>
        </w:rPr>
        <w:t xml:space="preserve"> </w:t>
      </w:r>
      <w:r>
        <w:rPr>
          <w:color w:val="000000" w:themeColor="text1"/>
          <w:spacing w:val="5"/>
          <w14:textFill>
            <w14:solidFill>
              <w14:schemeClr w14:val="tx1"/>
            </w14:solidFill>
          </w14:textFill>
        </w:rPr>
        <w:t>万</w:t>
      </w:r>
      <w:r>
        <w:rPr>
          <w:color w:val="000000" w:themeColor="text1"/>
          <w:spacing w:val="-58"/>
          <w14:textFill>
            <w14:solidFill>
              <w14:schemeClr w14:val="tx1"/>
            </w14:solidFill>
          </w14:textFill>
        </w:rPr>
        <w:t xml:space="preserve"> </w:t>
      </w:r>
      <w:r>
        <w:rPr>
          <w:rFonts w:eastAsia="Times New Roman" w:cs="Times New Roman"/>
          <w:color w:val="000000" w:themeColor="text1"/>
          <w:spacing w:val="5"/>
          <w14:textFill>
            <w14:solidFill>
              <w14:schemeClr w14:val="tx1"/>
            </w14:solidFill>
          </w14:textFill>
        </w:rPr>
        <w:t>m³</w:t>
      </w:r>
      <w:r>
        <w:rPr>
          <w:color w:val="000000" w:themeColor="text1"/>
          <w:spacing w:val="5"/>
          <w14:textFill>
            <w14:solidFill>
              <w14:schemeClr w14:val="tx1"/>
            </w14:solidFill>
          </w14:textFill>
        </w:rPr>
        <w:t>。</w:t>
      </w:r>
    </w:p>
    <w:p w14:paraId="25B9B381">
      <w:pPr>
        <w:ind w:firstLine="478"/>
        <w:rPr>
          <w:color w:val="000000" w:themeColor="text1"/>
          <w14:textFill>
            <w14:solidFill>
              <w14:schemeClr w14:val="tx1"/>
            </w14:solidFill>
          </w14:textFill>
        </w:rPr>
      </w:pPr>
      <w:r>
        <w:rPr>
          <w:rFonts w:eastAsia="Times New Roman" w:cs="Times New Roman"/>
          <w:color w:val="000000" w:themeColor="text1"/>
          <w:spacing w:val="-1"/>
          <w14:textFill>
            <w14:solidFill>
              <w14:schemeClr w14:val="tx1"/>
            </w14:solidFill>
          </w14:textFill>
        </w:rPr>
        <w:t>2#</w:t>
      </w:r>
      <w:r>
        <w:rPr>
          <w:color w:val="000000" w:themeColor="text1"/>
          <w:spacing w:val="-1"/>
          <w14:textFill>
            <w14:solidFill>
              <w14:schemeClr w14:val="tx1"/>
            </w14:solidFill>
          </w14:textFill>
        </w:rPr>
        <w:t xml:space="preserve">表土临时堆场占地面积 </w:t>
      </w:r>
      <w:r>
        <w:rPr>
          <w:rFonts w:eastAsia="Times New Roman" w:cs="Times New Roman"/>
          <w:color w:val="000000" w:themeColor="text1"/>
          <w:spacing w:val="-1"/>
          <w14:textFill>
            <w14:solidFill>
              <w14:schemeClr w14:val="tx1"/>
            </w14:solidFill>
          </w14:textFill>
        </w:rPr>
        <w:t>0.28hm²</w:t>
      </w:r>
      <w:r>
        <w:rPr>
          <w:color w:val="000000" w:themeColor="text1"/>
          <w:spacing w:val="-1"/>
          <w14:textFill>
            <w14:solidFill>
              <w14:schemeClr w14:val="tx1"/>
            </w14:solidFill>
          </w14:textFill>
        </w:rPr>
        <w:t xml:space="preserve">, 位于 </w:t>
      </w:r>
      <w:r>
        <w:rPr>
          <w:rFonts w:eastAsia="Times New Roman" w:cs="Times New Roman"/>
          <w:color w:val="000000" w:themeColor="text1"/>
          <w:spacing w:val="-1"/>
          <w14:textFill>
            <w14:solidFill>
              <w14:schemeClr w14:val="tx1"/>
            </w14:solidFill>
          </w14:textFill>
        </w:rPr>
        <w:t>K3+</w:t>
      </w:r>
      <w:r>
        <w:rPr>
          <w:rFonts w:eastAsia="Times New Roman" w:cs="Times New Roman"/>
          <w:color w:val="000000" w:themeColor="text1"/>
          <w:spacing w:val="-2"/>
          <w14:textFill>
            <w14:solidFill>
              <w14:schemeClr w14:val="tx1"/>
            </w14:solidFill>
          </w14:textFill>
        </w:rPr>
        <w:t>320</w:t>
      </w:r>
      <w:r>
        <w:rPr>
          <w:rFonts w:eastAsia="Times New Roman" w:cs="Times New Roman"/>
          <w:color w:val="000000" w:themeColor="text1"/>
          <w:spacing w:val="44"/>
          <w14:textFill>
            <w14:solidFill>
              <w14:schemeClr w14:val="tx1"/>
            </w14:solidFill>
          </w14:textFill>
        </w:rPr>
        <w:t xml:space="preserve"> </w:t>
      </w:r>
      <w:r>
        <w:rPr>
          <w:color w:val="000000" w:themeColor="text1"/>
          <w:spacing w:val="-2"/>
          <w14:textFill>
            <w14:solidFill>
              <w14:schemeClr w14:val="tx1"/>
            </w14:solidFill>
          </w14:textFill>
        </w:rPr>
        <w:t>右侧，地形为平地，占地类型为</w:t>
      </w:r>
      <w:r>
        <w:rPr>
          <w:rFonts w:hint="eastAsia"/>
          <w:color w:val="000000" w:themeColor="text1"/>
          <w14:textFill>
            <w14:solidFill>
              <w14:schemeClr w14:val="tx1"/>
            </w14:solidFill>
          </w14:textFill>
        </w:rPr>
        <w:t>荒</w:t>
      </w:r>
      <w:r>
        <w:rPr>
          <w:color w:val="000000" w:themeColor="text1"/>
          <w14:textFill>
            <w14:solidFill>
              <w14:schemeClr w14:val="tx1"/>
            </w14:solidFill>
          </w14:textFill>
        </w:rPr>
        <w:t>草地，</w:t>
      </w:r>
      <w:r>
        <w:rPr>
          <w:color w:val="000000" w:themeColor="text1"/>
          <w:spacing w:val="-4"/>
          <w14:textFill>
            <w14:solidFill>
              <w14:schemeClr w14:val="tx1"/>
            </w14:solidFill>
          </w14:textFill>
        </w:rPr>
        <w:t>设计堆放高度为</w:t>
      </w:r>
      <w:r>
        <w:rPr>
          <w:color w:val="000000" w:themeColor="text1"/>
          <w:spacing w:val="-18"/>
          <w14:textFill>
            <w14:solidFill>
              <w14:schemeClr w14:val="tx1"/>
            </w14:solidFill>
          </w14:textFill>
        </w:rPr>
        <w:t xml:space="preserve"> </w:t>
      </w:r>
      <w:r>
        <w:rPr>
          <w:rFonts w:eastAsia="Times New Roman" w:cs="Times New Roman"/>
          <w:color w:val="000000" w:themeColor="text1"/>
          <w:spacing w:val="-4"/>
          <w14:textFill>
            <w14:solidFill>
              <w14:schemeClr w14:val="tx1"/>
            </w14:solidFill>
          </w14:textFill>
        </w:rPr>
        <w:t>2.5m</w:t>
      </w:r>
      <w:r>
        <w:rPr>
          <w:color w:val="000000" w:themeColor="text1"/>
          <w:spacing w:val="-4"/>
          <w14:textFill>
            <w14:solidFill>
              <w14:schemeClr w14:val="tx1"/>
            </w14:solidFill>
          </w14:textFill>
        </w:rPr>
        <w:t xml:space="preserve">，堆放坡度为 </w:t>
      </w:r>
      <w:r>
        <w:rPr>
          <w:rFonts w:eastAsia="Times New Roman" w:cs="Times New Roman"/>
          <w:color w:val="000000" w:themeColor="text1"/>
          <w:spacing w:val="-4"/>
          <w14:textFill>
            <w14:solidFill>
              <w14:schemeClr w14:val="tx1"/>
            </w14:solidFill>
          </w14:textFill>
        </w:rPr>
        <w:t>1:2.0</w:t>
      </w:r>
      <w:r>
        <w:rPr>
          <w:color w:val="000000" w:themeColor="text1"/>
          <w:spacing w:val="-4"/>
          <w14:textFill>
            <w14:solidFill>
              <w14:schemeClr w14:val="tx1"/>
            </w14:solidFill>
          </w14:textFill>
        </w:rPr>
        <w:t>，设计总容量</w:t>
      </w:r>
      <w:r>
        <w:rPr>
          <w:color w:val="000000" w:themeColor="text1"/>
          <w:spacing w:val="-48"/>
          <w14:textFill>
            <w14:solidFill>
              <w14:schemeClr w14:val="tx1"/>
            </w14:solidFill>
          </w14:textFill>
        </w:rPr>
        <w:t xml:space="preserve"> </w:t>
      </w:r>
      <w:r>
        <w:rPr>
          <w:rFonts w:eastAsia="Times New Roman" w:cs="Times New Roman"/>
          <w:color w:val="000000" w:themeColor="text1"/>
          <w:spacing w:val="-4"/>
          <w14:textFill>
            <w14:solidFill>
              <w14:schemeClr w14:val="tx1"/>
            </w14:solidFill>
          </w14:textFill>
        </w:rPr>
        <w:t xml:space="preserve">0.60 </w:t>
      </w:r>
      <w:r>
        <w:rPr>
          <w:color w:val="000000" w:themeColor="text1"/>
          <w:spacing w:val="-4"/>
          <w14:textFill>
            <w14:solidFill>
              <w14:schemeClr w14:val="tx1"/>
            </w14:solidFill>
          </w14:textFill>
        </w:rPr>
        <w:t>万</w:t>
      </w:r>
      <w:r>
        <w:rPr>
          <w:color w:val="000000" w:themeColor="text1"/>
          <w:spacing w:val="-70"/>
          <w14:textFill>
            <w14:solidFill>
              <w14:schemeClr w14:val="tx1"/>
            </w14:solidFill>
          </w14:textFill>
        </w:rPr>
        <w:t xml:space="preserve"> </w:t>
      </w:r>
      <w:r>
        <w:rPr>
          <w:rFonts w:eastAsia="Times New Roman" w:cs="Times New Roman"/>
          <w:color w:val="000000" w:themeColor="text1"/>
          <w:spacing w:val="-4"/>
          <w14:textFill>
            <w14:solidFill>
              <w14:schemeClr w14:val="tx1"/>
            </w14:solidFill>
          </w14:textFill>
        </w:rPr>
        <w:t>m³</w:t>
      </w:r>
      <w:r>
        <w:rPr>
          <w:color w:val="000000" w:themeColor="text1"/>
          <w:spacing w:val="-4"/>
          <w14:textFill>
            <w14:solidFill>
              <w14:schemeClr w14:val="tx1"/>
            </w14:solidFill>
          </w14:textFill>
        </w:rPr>
        <w:t>, 计划堆放</w:t>
      </w:r>
      <w:r>
        <w:rPr>
          <w:color w:val="000000" w:themeColor="text1"/>
          <w:spacing w:val="-66"/>
          <w14:textFill>
            <w14:solidFill>
              <w14:schemeClr w14:val="tx1"/>
            </w14:solidFill>
          </w14:textFill>
        </w:rPr>
        <w:t xml:space="preserve"> </w:t>
      </w:r>
      <w:r>
        <w:rPr>
          <w:rFonts w:eastAsia="Times New Roman" w:cs="Times New Roman"/>
          <w:color w:val="000000" w:themeColor="text1"/>
          <w:spacing w:val="-4"/>
          <w14:textFill>
            <w14:solidFill>
              <w14:schemeClr w14:val="tx1"/>
            </w14:solidFill>
          </w14:textFill>
        </w:rPr>
        <w:t>0.55</w:t>
      </w:r>
      <w:r>
        <w:rPr>
          <w:rFonts w:eastAsia="Times New Roman" w:cs="Times New Roman"/>
          <w:color w:val="000000" w:themeColor="text1"/>
          <w14:textFill>
            <w14:solidFill>
              <w14:schemeClr w14:val="tx1"/>
            </w14:solidFill>
          </w14:textFill>
        </w:rPr>
        <w:t xml:space="preserve"> </w:t>
      </w:r>
      <w:r>
        <w:rPr>
          <w:color w:val="000000" w:themeColor="text1"/>
          <w:spacing w:val="22"/>
          <w14:textFill>
            <w14:solidFill>
              <w14:schemeClr w14:val="tx1"/>
            </w14:solidFill>
          </w14:textFill>
        </w:rPr>
        <w:t>万</w:t>
      </w:r>
      <w:r>
        <w:rPr>
          <w:color w:val="000000" w:themeColor="text1"/>
          <w:spacing w:val="-57"/>
          <w14:textFill>
            <w14:solidFill>
              <w14:schemeClr w14:val="tx1"/>
            </w14:solidFill>
          </w14:textFill>
        </w:rPr>
        <w:t xml:space="preserve"> </w:t>
      </w:r>
      <w:r>
        <w:rPr>
          <w:rFonts w:eastAsia="Times New Roman" w:cs="Times New Roman"/>
          <w:color w:val="000000" w:themeColor="text1"/>
          <w:spacing w:val="22"/>
          <w14:textFill>
            <w14:solidFill>
              <w14:schemeClr w14:val="tx1"/>
            </w14:solidFill>
          </w14:textFill>
        </w:rPr>
        <w:t>m³</w:t>
      </w:r>
      <w:r>
        <w:rPr>
          <w:color w:val="000000" w:themeColor="text1"/>
          <w:spacing w:val="22"/>
          <w14:textFill>
            <w14:solidFill>
              <w14:schemeClr w14:val="tx1"/>
            </w14:solidFill>
          </w14:textFill>
        </w:rPr>
        <w:t>。</w:t>
      </w:r>
    </w:p>
    <w:p w14:paraId="38376896">
      <w:pPr>
        <w:ind w:firstLine="480"/>
        <w:rPr>
          <w:color w:val="000000" w:themeColor="text1"/>
          <w:spacing w:val="22"/>
          <w14:textFill>
            <w14:solidFill>
              <w14:schemeClr w14:val="tx1"/>
            </w14:solidFill>
          </w14:textFill>
        </w:rPr>
      </w:pPr>
      <w:r>
        <w:rPr>
          <w:rFonts w:eastAsia="Times New Roman" w:cs="Times New Roman"/>
          <w:color w:val="000000" w:themeColor="text1"/>
          <w14:textFill>
            <w14:solidFill>
              <w14:schemeClr w14:val="tx1"/>
            </w14:solidFill>
          </w14:textFill>
        </w:rPr>
        <w:t>3#</w:t>
      </w:r>
      <w:r>
        <w:rPr>
          <w:color w:val="000000" w:themeColor="text1"/>
          <w14:textFill>
            <w14:solidFill>
              <w14:schemeClr w14:val="tx1"/>
            </w14:solidFill>
          </w14:textFill>
        </w:rPr>
        <w:t>表土临时堆场占地面积</w:t>
      </w:r>
      <w:r>
        <w:rPr>
          <w:rFonts w:eastAsia="Times New Roman" w:cs="Times New Roman"/>
          <w:color w:val="000000" w:themeColor="text1"/>
          <w14:textFill>
            <w14:solidFill>
              <w14:schemeClr w14:val="tx1"/>
            </w14:solidFill>
          </w14:textFill>
        </w:rPr>
        <w:t>0.11hm²</w:t>
      </w:r>
      <w:r>
        <w:rPr>
          <w:color w:val="000000" w:themeColor="text1"/>
          <w14:textFill>
            <w14:solidFill>
              <w14:schemeClr w14:val="tx1"/>
            </w14:solidFill>
          </w14:textFill>
        </w:rPr>
        <w:t>, 位于</w:t>
      </w:r>
      <w:r>
        <w:rPr>
          <w:color w:val="000000" w:themeColor="text1"/>
          <w:spacing w:val="-52"/>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 xml:space="preserve">LK0+090 </w:t>
      </w:r>
      <w:r>
        <w:rPr>
          <w:color w:val="000000" w:themeColor="text1"/>
          <w14:textFill>
            <w14:solidFill>
              <w14:schemeClr w14:val="tx1"/>
            </w14:solidFill>
          </w14:textFill>
        </w:rPr>
        <w:t xml:space="preserve">右侧，地形为平地，占地类型为 </w:t>
      </w:r>
      <w:r>
        <w:rPr>
          <w:rFonts w:hint="eastAsia"/>
          <w:color w:val="000000" w:themeColor="text1"/>
          <w14:textFill>
            <w14:solidFill>
              <w14:schemeClr w14:val="tx1"/>
            </w14:solidFill>
          </w14:textFill>
        </w:rPr>
        <w:t>耕地（旱地）</w:t>
      </w:r>
      <w:r>
        <w:rPr>
          <w:color w:val="000000" w:themeColor="text1"/>
          <w14:textFill>
            <w14:solidFill>
              <w14:schemeClr w14:val="tx1"/>
            </w14:solidFill>
          </w14:textFill>
        </w:rPr>
        <w:t>，设计堆放高度为</w:t>
      </w:r>
      <w:r>
        <w:rPr>
          <w:color w:val="000000" w:themeColor="text1"/>
          <w:spacing w:val="-66"/>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2.5m</w:t>
      </w:r>
      <w:r>
        <w:rPr>
          <w:color w:val="000000" w:themeColor="text1"/>
          <w14:textFill>
            <w14:solidFill>
              <w14:schemeClr w14:val="tx1"/>
            </w14:solidFill>
          </w14:textFill>
        </w:rPr>
        <w:t xml:space="preserve">，堆放坡度为 </w:t>
      </w:r>
      <w:r>
        <w:rPr>
          <w:rFonts w:eastAsia="Times New Roman" w:cs="Times New Roman"/>
          <w:color w:val="000000" w:themeColor="text1"/>
          <w14:textFill>
            <w14:solidFill>
              <w14:schemeClr w14:val="tx1"/>
            </w14:solidFill>
          </w14:textFill>
        </w:rPr>
        <w:t>1:2.0</w:t>
      </w:r>
      <w:r>
        <w:rPr>
          <w:color w:val="000000" w:themeColor="text1"/>
          <w14:textFill>
            <w14:solidFill>
              <w14:schemeClr w14:val="tx1"/>
            </w14:solidFill>
          </w14:textFill>
        </w:rPr>
        <w:t>，设计总容量</w:t>
      </w:r>
      <w:r>
        <w:rPr>
          <w:color w:val="000000" w:themeColor="text1"/>
          <w:spacing w:val="-48"/>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 xml:space="preserve">0.23 </w:t>
      </w:r>
      <w:r>
        <w:rPr>
          <w:color w:val="000000" w:themeColor="text1"/>
          <w14:textFill>
            <w14:solidFill>
              <w14:schemeClr w14:val="tx1"/>
            </w14:solidFill>
          </w14:textFill>
        </w:rPr>
        <w:t>万</w:t>
      </w:r>
      <w:r>
        <w:rPr>
          <w:color w:val="000000" w:themeColor="text1"/>
          <w:spacing w:val="-70"/>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m³</w:t>
      </w:r>
      <w:r>
        <w:rPr>
          <w:color w:val="000000" w:themeColor="text1"/>
          <w14:textFill>
            <w14:solidFill>
              <w14:schemeClr w14:val="tx1"/>
            </w14:solidFill>
          </w14:textFill>
        </w:rPr>
        <w:t>, 计划堆放</w:t>
      </w:r>
      <w:r>
        <w:rPr>
          <w:color w:val="000000" w:themeColor="text1"/>
          <w:spacing w:val="-66"/>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0.</w:t>
      </w:r>
      <w:r>
        <w:rPr>
          <w:rFonts w:eastAsia="Times New Roman" w:cs="Times New Roman"/>
          <w:color w:val="000000" w:themeColor="text1"/>
          <w:spacing w:val="-4"/>
          <w14:textFill>
            <w14:solidFill>
              <w14:schemeClr w14:val="tx1"/>
            </w14:solidFill>
          </w14:textFill>
        </w:rPr>
        <w:t>22</w:t>
      </w:r>
      <w:r>
        <w:rPr>
          <w:rFonts w:eastAsia="Times New Roman" w:cs="Times New Roman"/>
          <w:color w:val="000000" w:themeColor="text1"/>
          <w14:textFill>
            <w14:solidFill>
              <w14:schemeClr w14:val="tx1"/>
            </w14:solidFill>
          </w14:textFill>
        </w:rPr>
        <w:t xml:space="preserve"> </w:t>
      </w:r>
      <w:r>
        <w:rPr>
          <w:color w:val="000000" w:themeColor="text1"/>
          <w:spacing w:val="22"/>
          <w14:textFill>
            <w14:solidFill>
              <w14:schemeClr w14:val="tx1"/>
            </w14:solidFill>
          </w14:textFill>
        </w:rPr>
        <w:t>万</w:t>
      </w:r>
      <w:r>
        <w:rPr>
          <w:color w:val="000000" w:themeColor="text1"/>
          <w:spacing w:val="-57"/>
          <w14:textFill>
            <w14:solidFill>
              <w14:schemeClr w14:val="tx1"/>
            </w14:solidFill>
          </w14:textFill>
        </w:rPr>
        <w:t xml:space="preserve"> </w:t>
      </w:r>
      <w:r>
        <w:rPr>
          <w:rFonts w:eastAsia="Times New Roman" w:cs="Times New Roman"/>
          <w:color w:val="000000" w:themeColor="text1"/>
          <w:spacing w:val="22"/>
          <w14:textFill>
            <w14:solidFill>
              <w14:schemeClr w14:val="tx1"/>
            </w14:solidFill>
          </w14:textFill>
        </w:rPr>
        <w:t>m³</w:t>
      </w:r>
      <w:r>
        <w:rPr>
          <w:color w:val="000000" w:themeColor="text1"/>
          <w:spacing w:val="22"/>
          <w14:textFill>
            <w14:solidFill>
              <w14:schemeClr w14:val="tx1"/>
            </w14:solidFill>
          </w14:textFill>
        </w:rPr>
        <w:t>。</w:t>
      </w:r>
    </w:p>
    <w:p w14:paraId="51B049AE">
      <w:pPr>
        <w:ind w:firstLine="478"/>
        <w:rPr>
          <w:color w:val="000000" w:themeColor="text1"/>
          <w14:textFill>
            <w14:solidFill>
              <w14:schemeClr w14:val="tx1"/>
            </w14:solidFill>
          </w14:textFill>
        </w:rPr>
      </w:pPr>
      <w:r>
        <w:rPr>
          <w:color w:val="000000" w:themeColor="text1"/>
          <w:spacing w:val="-1"/>
          <w14:textFill>
            <w14:solidFill>
              <w14:schemeClr w14:val="tx1"/>
            </w14:solidFill>
          </w14:textFill>
        </w:rPr>
        <w:t>本项目表土临时堆场分布情况详见</w:t>
      </w:r>
      <w:r>
        <w:rPr>
          <w:color w:val="000000" w:themeColor="text1"/>
          <w:spacing w:val="-1"/>
          <w14:textFill>
            <w14:solidFill>
              <w14:schemeClr w14:val="tx1"/>
            </w14:solidFill>
          </w14:textFill>
        </w:rPr>
        <w:fldChar w:fldCharType="begin"/>
      </w:r>
      <w:r>
        <w:rPr>
          <w:color w:val="000000" w:themeColor="text1"/>
          <w:spacing w:val="-1"/>
          <w14:textFill>
            <w14:solidFill>
              <w14:schemeClr w14:val="tx1"/>
            </w14:solidFill>
          </w14:textFill>
        </w:rPr>
        <w:instrText xml:space="preserve"> REF _Ref187769341 \r \h </w:instrText>
      </w:r>
      <w:r>
        <w:rPr>
          <w:color w:val="000000" w:themeColor="text1"/>
          <w:spacing w:val="-1"/>
          <w14:textFill>
            <w14:solidFill>
              <w14:schemeClr w14:val="tx1"/>
            </w14:solidFill>
          </w14:textFill>
        </w:rPr>
        <w:fldChar w:fldCharType="separate"/>
      </w:r>
      <w:r>
        <w:rPr>
          <w:rFonts w:hint="eastAsia"/>
          <w:color w:val="000000" w:themeColor="text1"/>
          <w:spacing w:val="-1"/>
          <w14:textFill>
            <w14:solidFill>
              <w14:schemeClr w14:val="tx1"/>
            </w14:solidFill>
          </w14:textFill>
        </w:rPr>
        <w:t>表3.7-2</w:t>
      </w:r>
      <w:r>
        <w:rPr>
          <w:color w:val="000000" w:themeColor="text1"/>
          <w:spacing w:val="-1"/>
          <w14:textFill>
            <w14:solidFill>
              <w14:schemeClr w14:val="tx1"/>
            </w14:solidFill>
          </w14:textFill>
        </w:rPr>
        <w:fldChar w:fldCharType="end"/>
      </w:r>
      <w:r>
        <w:rPr>
          <w:color w:val="000000" w:themeColor="text1"/>
          <w:spacing w:val="-1"/>
          <w14:textFill>
            <w14:solidFill>
              <w14:schemeClr w14:val="tx1"/>
            </w14:solidFill>
          </w14:textFill>
        </w:rPr>
        <w:t>。</w:t>
      </w:r>
    </w:p>
    <w:p w14:paraId="5843190F">
      <w:pPr>
        <w:pStyle w:val="87"/>
        <w:spacing w:before="120"/>
        <w:rPr>
          <w:color w:val="000000" w:themeColor="text1"/>
          <w14:textFill>
            <w14:solidFill>
              <w14:schemeClr w14:val="tx1"/>
            </w14:solidFill>
          </w14:textFill>
        </w:rPr>
      </w:pPr>
      <w:bookmarkStart w:id="340" w:name="_Ref187769341"/>
      <w:r>
        <w:rPr>
          <w:color w:val="000000" w:themeColor="text1"/>
          <w14:textFill>
            <w14:solidFill>
              <w14:schemeClr w14:val="tx1"/>
            </w14:solidFill>
          </w14:textFill>
        </w:rPr>
        <w:t>表土临时堆场分布情况一览表</w:t>
      </w:r>
      <w:bookmarkEnd w:id="340"/>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1596"/>
        <w:gridCol w:w="871"/>
        <w:gridCol w:w="1016"/>
        <w:gridCol w:w="1453"/>
        <w:gridCol w:w="726"/>
        <w:gridCol w:w="1161"/>
        <w:gridCol w:w="1161"/>
        <w:gridCol w:w="1302"/>
      </w:tblGrid>
      <w:tr w14:paraId="6379C2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859" w:type="pct"/>
            <w:tcBorders>
              <w:top w:val="single" w:color="auto" w:sz="12" w:space="0"/>
              <w:left w:val="nil"/>
              <w:bottom w:val="nil"/>
              <w:right w:val="single" w:color="auto" w:sz="6" w:space="0"/>
              <w:insideH w:val="nil"/>
              <w:insideV w:val="single" w:sz="6" w:space="0"/>
              <w:tl2br w:val="nil"/>
              <w:tr2bl w:val="nil"/>
            </w:tcBorders>
            <w:vAlign w:val="center"/>
          </w:tcPr>
          <w:p w14:paraId="72A6E78C">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z w:val="18"/>
                <w:szCs w:val="22"/>
                <w14:textFill>
                  <w14:solidFill>
                    <w14:schemeClr w14:val="tx1"/>
                  </w14:solidFill>
                </w14:textFill>
              </w:rPr>
              <w:t>编号</w:t>
            </w:r>
          </w:p>
        </w:tc>
        <w:tc>
          <w:tcPr>
            <w:tcW w:w="469" w:type="pct"/>
            <w:tcBorders>
              <w:top w:val="single" w:color="auto" w:sz="12" w:space="0"/>
              <w:bottom w:val="nil"/>
              <w:right w:val="single" w:color="auto" w:sz="6" w:space="0"/>
              <w:insideH w:val="nil"/>
              <w:insideV w:val="single" w:sz="6" w:space="0"/>
              <w:tl2br w:val="nil"/>
              <w:tr2bl w:val="nil"/>
            </w:tcBorders>
            <w:vAlign w:val="center"/>
          </w:tcPr>
          <w:p w14:paraId="22D2D412">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pacing w:val="-13"/>
                <w:sz w:val="18"/>
                <w:szCs w:val="22"/>
                <w14:textFill>
                  <w14:solidFill>
                    <w14:schemeClr w14:val="tx1"/>
                  </w14:solidFill>
                </w14:textFill>
              </w:rPr>
              <w:t>占地面</w:t>
            </w:r>
            <w:r>
              <w:rPr>
                <w:rFonts w:hint="eastAsia" w:ascii="宋体" w:hAnsi="宋体" w:eastAsia="宋体"/>
                <w:color w:val="000000" w:themeColor="text1"/>
                <w:spacing w:val="-16"/>
                <w:sz w:val="18"/>
                <w:szCs w:val="22"/>
                <w14:textFill>
                  <w14:solidFill>
                    <w14:schemeClr w14:val="tx1"/>
                  </w14:solidFill>
                </w14:textFill>
              </w:rPr>
              <w:t>积（</w:t>
            </w:r>
            <w:r>
              <w:rPr>
                <w:rFonts w:eastAsia="Times New Roman" w:cs="Times New Roman"/>
                <w:color w:val="000000" w:themeColor="text1"/>
                <w:spacing w:val="-16"/>
                <w:sz w:val="18"/>
                <w:szCs w:val="22"/>
                <w14:textFill>
                  <w14:solidFill>
                    <w14:schemeClr w14:val="tx1"/>
                  </w14:solidFill>
                </w14:textFill>
              </w:rPr>
              <w:t>hm²</w:t>
            </w:r>
            <w:r>
              <w:rPr>
                <w:rFonts w:hint="eastAsia" w:ascii="宋体" w:hAnsi="宋体" w:eastAsia="宋体"/>
                <w:color w:val="000000" w:themeColor="text1"/>
                <w:spacing w:val="-16"/>
                <w:sz w:val="18"/>
                <w:szCs w:val="22"/>
                <w14:textFill>
                  <w14:solidFill>
                    <w14:schemeClr w14:val="tx1"/>
                  </w14:solidFill>
                </w14:textFill>
              </w:rPr>
              <w:t>）</w:t>
            </w:r>
          </w:p>
        </w:tc>
        <w:tc>
          <w:tcPr>
            <w:tcW w:w="547" w:type="pct"/>
            <w:tcBorders>
              <w:top w:val="single" w:color="auto" w:sz="12" w:space="0"/>
              <w:bottom w:val="nil"/>
              <w:right w:val="single" w:color="auto" w:sz="6" w:space="0"/>
              <w:insideH w:val="nil"/>
              <w:insideV w:val="single" w:sz="6" w:space="0"/>
              <w:tl2br w:val="nil"/>
              <w:tr2bl w:val="nil"/>
            </w:tcBorders>
            <w:vAlign w:val="center"/>
          </w:tcPr>
          <w:p w14:paraId="6F2D197F">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pacing w:val="-13"/>
                <w:sz w:val="18"/>
                <w:szCs w:val="22"/>
                <w14:textFill>
                  <w14:solidFill>
                    <w14:schemeClr w14:val="tx1"/>
                  </w14:solidFill>
                </w14:textFill>
              </w:rPr>
              <w:t>占地类</w:t>
            </w:r>
            <w:r>
              <w:rPr>
                <w:rFonts w:hint="eastAsia" w:ascii="宋体" w:hAnsi="宋体" w:eastAsia="宋体"/>
                <w:color w:val="000000" w:themeColor="text1"/>
                <w:sz w:val="18"/>
                <w:szCs w:val="22"/>
                <w14:textFill>
                  <w14:solidFill>
                    <w14:schemeClr w14:val="tx1"/>
                  </w14:solidFill>
                </w14:textFill>
              </w:rPr>
              <w:t>型</w:t>
            </w:r>
          </w:p>
        </w:tc>
        <w:tc>
          <w:tcPr>
            <w:tcW w:w="782" w:type="pct"/>
            <w:tcBorders>
              <w:top w:val="single" w:color="auto" w:sz="12" w:space="0"/>
              <w:bottom w:val="nil"/>
              <w:right w:val="single" w:color="auto" w:sz="6" w:space="0"/>
              <w:insideH w:val="nil"/>
              <w:insideV w:val="single" w:sz="6" w:space="0"/>
              <w:tl2br w:val="nil"/>
              <w:tr2bl w:val="nil"/>
            </w:tcBorders>
            <w:vAlign w:val="center"/>
          </w:tcPr>
          <w:p w14:paraId="6056B555">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pacing w:val="-1"/>
                <w:sz w:val="18"/>
                <w:szCs w:val="22"/>
                <w14:textFill>
                  <w14:solidFill>
                    <w14:schemeClr w14:val="tx1"/>
                  </w14:solidFill>
                </w14:textFill>
              </w:rPr>
              <w:t>地理位置</w:t>
            </w:r>
          </w:p>
        </w:tc>
        <w:tc>
          <w:tcPr>
            <w:tcW w:w="391" w:type="pct"/>
            <w:tcBorders>
              <w:top w:val="single" w:color="auto" w:sz="12" w:space="0"/>
              <w:bottom w:val="nil"/>
              <w:right w:val="single" w:color="auto" w:sz="6" w:space="0"/>
              <w:insideH w:val="nil"/>
              <w:insideV w:val="single" w:sz="6" w:space="0"/>
              <w:tl2br w:val="nil"/>
              <w:tr2bl w:val="nil"/>
            </w:tcBorders>
            <w:vAlign w:val="center"/>
          </w:tcPr>
          <w:p w14:paraId="7116C904">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z w:val="18"/>
                <w:szCs w:val="22"/>
                <w14:textFill>
                  <w14:solidFill>
                    <w14:schemeClr w14:val="tx1"/>
                  </w14:solidFill>
                </w14:textFill>
              </w:rPr>
              <w:t>地形</w:t>
            </w:r>
          </w:p>
        </w:tc>
        <w:tc>
          <w:tcPr>
            <w:tcW w:w="625" w:type="pct"/>
            <w:tcBorders>
              <w:top w:val="single" w:color="auto" w:sz="12" w:space="0"/>
              <w:bottom w:val="nil"/>
              <w:right w:val="single" w:color="auto" w:sz="6" w:space="0"/>
              <w:insideH w:val="nil"/>
              <w:insideV w:val="single" w:sz="6" w:space="0"/>
              <w:tl2br w:val="nil"/>
              <w:tr2bl w:val="nil"/>
            </w:tcBorders>
            <w:vAlign w:val="center"/>
          </w:tcPr>
          <w:p w14:paraId="39613B38">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z w:val="18"/>
                <w:szCs w:val="22"/>
                <w14:textFill>
                  <w14:solidFill>
                    <w14:schemeClr w14:val="tx1"/>
                  </w14:solidFill>
                </w14:textFill>
              </w:rPr>
              <w:t>设计堆放</w:t>
            </w:r>
            <w:r>
              <w:rPr>
                <w:rFonts w:hint="eastAsia" w:ascii="宋体" w:hAnsi="宋体" w:eastAsia="宋体"/>
                <w:color w:val="000000" w:themeColor="text1"/>
                <w:spacing w:val="-4"/>
                <w:sz w:val="18"/>
                <w:szCs w:val="22"/>
                <w14:textFill>
                  <w14:solidFill>
                    <w14:schemeClr w14:val="tx1"/>
                  </w14:solidFill>
                </w14:textFill>
              </w:rPr>
              <w:t>高度（</w:t>
            </w:r>
            <w:r>
              <w:rPr>
                <w:rFonts w:eastAsia="Times New Roman" w:cs="Times New Roman"/>
                <w:color w:val="000000" w:themeColor="text1"/>
                <w:spacing w:val="-4"/>
                <w:sz w:val="18"/>
                <w:szCs w:val="22"/>
                <w14:textFill>
                  <w14:solidFill>
                    <w14:schemeClr w14:val="tx1"/>
                  </w14:solidFill>
                </w14:textFill>
              </w:rPr>
              <w:t>m</w:t>
            </w:r>
            <w:r>
              <w:rPr>
                <w:rFonts w:hint="eastAsia" w:ascii="宋体" w:hAnsi="宋体" w:eastAsia="宋体"/>
                <w:color w:val="000000" w:themeColor="text1"/>
                <w:spacing w:val="-4"/>
                <w:sz w:val="18"/>
                <w:szCs w:val="22"/>
                <w14:textFill>
                  <w14:solidFill>
                    <w14:schemeClr w14:val="tx1"/>
                  </w14:solidFill>
                </w14:textFill>
              </w:rPr>
              <w:t>）</w:t>
            </w:r>
          </w:p>
        </w:tc>
        <w:tc>
          <w:tcPr>
            <w:tcW w:w="625" w:type="pct"/>
            <w:tcBorders>
              <w:top w:val="single" w:color="auto" w:sz="12" w:space="0"/>
              <w:bottom w:val="nil"/>
              <w:right w:val="single" w:color="auto" w:sz="6" w:space="0"/>
              <w:insideH w:val="nil"/>
              <w:insideV w:val="single" w:sz="6" w:space="0"/>
              <w:tl2br w:val="nil"/>
              <w:tr2bl w:val="nil"/>
            </w:tcBorders>
            <w:vAlign w:val="center"/>
          </w:tcPr>
          <w:p w14:paraId="3DA947CA">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z w:val="18"/>
                <w:szCs w:val="22"/>
                <w14:textFill>
                  <w14:solidFill>
                    <w14:schemeClr w14:val="tx1"/>
                  </w14:solidFill>
                </w14:textFill>
              </w:rPr>
              <w:t>设计容量</w:t>
            </w:r>
            <w:r>
              <w:rPr>
                <w:rFonts w:hint="eastAsia" w:ascii="宋体" w:hAnsi="宋体" w:eastAsia="宋体"/>
                <w:color w:val="000000" w:themeColor="text1"/>
                <w:spacing w:val="-5"/>
                <w:sz w:val="18"/>
                <w:szCs w:val="22"/>
                <w14:textFill>
                  <w14:solidFill>
                    <w14:schemeClr w14:val="tx1"/>
                  </w14:solidFill>
                </w14:textFill>
              </w:rPr>
              <w:t>（万</w:t>
            </w:r>
            <w:r>
              <w:rPr>
                <w:rFonts w:eastAsia="Times New Roman" w:cs="Times New Roman"/>
                <w:color w:val="000000" w:themeColor="text1"/>
                <w:spacing w:val="-5"/>
                <w:sz w:val="18"/>
                <w:szCs w:val="22"/>
                <w14:textFill>
                  <w14:solidFill>
                    <w14:schemeClr w14:val="tx1"/>
                  </w14:solidFill>
                </w14:textFill>
              </w:rPr>
              <w:t>m³</w:t>
            </w:r>
            <w:r>
              <w:rPr>
                <w:rFonts w:hint="eastAsia" w:ascii="宋体" w:hAnsi="宋体" w:eastAsia="宋体"/>
                <w:color w:val="000000" w:themeColor="text1"/>
                <w:spacing w:val="-5"/>
                <w:sz w:val="18"/>
                <w:szCs w:val="22"/>
                <w14:textFill>
                  <w14:solidFill>
                    <w14:schemeClr w14:val="tx1"/>
                  </w14:solidFill>
                </w14:textFill>
              </w:rPr>
              <w:t>）</w:t>
            </w:r>
          </w:p>
        </w:tc>
        <w:tc>
          <w:tcPr>
            <w:tcW w:w="701" w:type="pct"/>
            <w:tcBorders>
              <w:top w:val="single" w:color="auto" w:sz="12" w:space="0"/>
              <w:bottom w:val="nil"/>
              <w:right w:val="nil"/>
              <w:insideH w:val="nil"/>
              <w:insideV w:val="single" w:sz="6" w:space="0"/>
              <w:tl2br w:val="nil"/>
              <w:tr2bl w:val="nil"/>
            </w:tcBorders>
            <w:vAlign w:val="center"/>
          </w:tcPr>
          <w:p w14:paraId="024F642A">
            <w:pPr>
              <w:pStyle w:val="105"/>
              <w:widowControl w:val="0"/>
              <w:jc w:val="center"/>
              <w:rPr>
                <w:rFonts w:eastAsia="New York"/>
                <w:color w:val="000000" w:themeColor="text1"/>
                <w:sz w:val="18"/>
                <w:szCs w:val="22"/>
                <w14:textFill>
                  <w14:solidFill>
                    <w14:schemeClr w14:val="tx1"/>
                  </w14:solidFill>
                </w14:textFill>
              </w:rPr>
            </w:pPr>
            <w:r>
              <w:rPr>
                <w:rFonts w:hint="eastAsia" w:ascii="宋体" w:hAnsi="宋体" w:eastAsia="宋体"/>
                <w:color w:val="000000" w:themeColor="text1"/>
                <w:spacing w:val="-3"/>
                <w:sz w:val="18"/>
                <w:szCs w:val="22"/>
                <w14:textFill>
                  <w14:solidFill>
                    <w14:schemeClr w14:val="tx1"/>
                  </w14:solidFill>
                </w14:textFill>
              </w:rPr>
              <w:t>计划堆放</w:t>
            </w:r>
            <w:r>
              <w:rPr>
                <w:rFonts w:hint="eastAsia" w:ascii="宋体" w:hAnsi="宋体" w:eastAsia="宋体"/>
                <w:color w:val="000000" w:themeColor="text1"/>
                <w:spacing w:val="-16"/>
                <w:sz w:val="18"/>
                <w:szCs w:val="22"/>
                <w14:textFill>
                  <w14:solidFill>
                    <w14:schemeClr w14:val="tx1"/>
                  </w14:solidFill>
                </w14:textFill>
              </w:rPr>
              <w:t>量（万</w:t>
            </w:r>
            <w:r>
              <w:rPr>
                <w:rFonts w:eastAsia="Times New Roman" w:cs="Times New Roman"/>
                <w:color w:val="000000" w:themeColor="text1"/>
                <w:spacing w:val="-16"/>
                <w:sz w:val="18"/>
                <w:szCs w:val="22"/>
                <w14:textFill>
                  <w14:solidFill>
                    <w14:schemeClr w14:val="tx1"/>
                  </w14:solidFill>
                </w14:textFill>
              </w:rPr>
              <w:t>m³</w:t>
            </w:r>
            <w:r>
              <w:rPr>
                <w:rFonts w:hint="eastAsia" w:ascii="宋体" w:hAnsi="宋体" w:eastAsia="宋体"/>
                <w:color w:val="000000" w:themeColor="text1"/>
                <w:spacing w:val="-16"/>
                <w:sz w:val="18"/>
                <w:szCs w:val="22"/>
                <w14:textFill>
                  <w14:solidFill>
                    <w14:schemeClr w14:val="tx1"/>
                  </w14:solidFill>
                </w14:textFill>
              </w:rPr>
              <w:t>）</w:t>
            </w:r>
          </w:p>
        </w:tc>
      </w:tr>
      <w:tr w14:paraId="101743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859" w:type="pct"/>
            <w:vAlign w:val="center"/>
          </w:tcPr>
          <w:p w14:paraId="56DECFEB">
            <w:pPr>
              <w:pStyle w:val="105"/>
              <w:widowControl w:val="0"/>
              <w:jc w:val="center"/>
              <w:rPr>
                <w:color w:val="000000" w:themeColor="text1"/>
                <w:sz w:val="18"/>
                <w:szCs w:val="22"/>
                <w14:textFill>
                  <w14:solidFill>
                    <w14:schemeClr w14:val="tx1"/>
                  </w14:solidFill>
                </w14:textFill>
              </w:rPr>
            </w:pPr>
            <w:r>
              <w:rPr>
                <w:rFonts w:eastAsia="Times New Roman" w:cs="Times New Roman"/>
                <w:color w:val="000000" w:themeColor="text1"/>
                <w:spacing w:val="-5"/>
                <w:sz w:val="18"/>
                <w:szCs w:val="22"/>
                <w14:textFill>
                  <w14:solidFill>
                    <w14:schemeClr w14:val="tx1"/>
                  </w14:solidFill>
                </w14:textFill>
              </w:rPr>
              <w:t>1#</w:t>
            </w:r>
            <w:r>
              <w:rPr>
                <w:color w:val="000000" w:themeColor="text1"/>
                <w:spacing w:val="-5"/>
                <w:sz w:val="18"/>
                <w:szCs w:val="22"/>
                <w14:textFill>
                  <w14:solidFill>
                    <w14:schemeClr w14:val="tx1"/>
                  </w14:solidFill>
                </w14:textFill>
              </w:rPr>
              <w:t>表土临</w:t>
            </w:r>
            <w:r>
              <w:rPr>
                <w:color w:val="000000" w:themeColor="text1"/>
                <w:spacing w:val="-6"/>
                <w:sz w:val="18"/>
                <w:szCs w:val="22"/>
                <w14:textFill>
                  <w14:solidFill>
                    <w14:schemeClr w14:val="tx1"/>
                  </w14:solidFill>
                </w14:textFill>
              </w:rPr>
              <w:t>时堆场</w:t>
            </w:r>
          </w:p>
        </w:tc>
        <w:tc>
          <w:tcPr>
            <w:tcW w:w="469" w:type="pct"/>
            <w:vAlign w:val="center"/>
          </w:tcPr>
          <w:p w14:paraId="2E94AEDD">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z w:val="18"/>
                <w:szCs w:val="22"/>
                <w14:textFill>
                  <w14:solidFill>
                    <w14:schemeClr w14:val="tx1"/>
                  </w14:solidFill>
                </w14:textFill>
              </w:rPr>
              <w:t>0.52</w:t>
            </w:r>
          </w:p>
        </w:tc>
        <w:tc>
          <w:tcPr>
            <w:tcW w:w="547" w:type="pct"/>
            <w:vAlign w:val="center"/>
          </w:tcPr>
          <w:p w14:paraId="6F404DBD">
            <w:pPr>
              <w:pStyle w:val="105"/>
              <w:widowControl w:val="0"/>
              <w:jc w:val="center"/>
              <w:rPr>
                <w:color w:val="000000" w:themeColor="text1"/>
                <w:sz w:val="18"/>
                <w:szCs w:val="22"/>
                <w14:textFill>
                  <w14:solidFill>
                    <w14:schemeClr w14:val="tx1"/>
                  </w14:solidFill>
                </w14:textFill>
              </w:rPr>
            </w:pPr>
            <w:r>
              <w:rPr>
                <w:color w:val="000000" w:themeColor="text1"/>
                <w:spacing w:val="-7"/>
                <w:sz w:val="18"/>
                <w:szCs w:val="22"/>
                <w14:textFill>
                  <w14:solidFill>
                    <w14:schemeClr w14:val="tx1"/>
                  </w14:solidFill>
                </w14:textFill>
              </w:rPr>
              <w:t>园地</w:t>
            </w:r>
            <w:r>
              <w:rPr>
                <w:rFonts w:hint="eastAsia"/>
                <w:color w:val="000000" w:themeColor="text1"/>
                <w:spacing w:val="-7"/>
                <w:sz w:val="18"/>
                <w:szCs w:val="22"/>
                <w14:textFill>
                  <w14:solidFill>
                    <w14:schemeClr w14:val="tx1"/>
                  </w14:solidFill>
                </w14:textFill>
              </w:rPr>
              <w:t>（龙眼林）</w:t>
            </w:r>
          </w:p>
        </w:tc>
        <w:tc>
          <w:tcPr>
            <w:tcW w:w="782" w:type="pct"/>
            <w:vAlign w:val="center"/>
          </w:tcPr>
          <w:p w14:paraId="449FA430">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K0+660</w:t>
            </w:r>
            <w:r>
              <w:rPr>
                <w:color w:val="000000" w:themeColor="text1"/>
                <w:spacing w:val="-1"/>
                <w:sz w:val="18"/>
                <w:szCs w:val="22"/>
                <w14:textFill>
                  <w14:solidFill>
                    <w14:schemeClr w14:val="tx1"/>
                  </w14:solidFill>
                </w14:textFill>
              </w:rPr>
              <w:t>右侧</w:t>
            </w:r>
            <w:r>
              <w:rPr>
                <w:rFonts w:eastAsia="Times New Roman" w:cs="Times New Roman"/>
                <w:color w:val="000000" w:themeColor="text1"/>
                <w:spacing w:val="-6"/>
                <w:sz w:val="18"/>
                <w:szCs w:val="22"/>
                <w14:textFill>
                  <w14:solidFill>
                    <w14:schemeClr w14:val="tx1"/>
                  </w14:solidFill>
                </w14:textFill>
              </w:rPr>
              <w:t>100m</w:t>
            </w:r>
          </w:p>
        </w:tc>
        <w:tc>
          <w:tcPr>
            <w:tcW w:w="391" w:type="pct"/>
            <w:vAlign w:val="center"/>
          </w:tcPr>
          <w:p w14:paraId="06CC28E0">
            <w:pPr>
              <w:pStyle w:val="105"/>
              <w:widowControl w:val="0"/>
              <w:jc w:val="center"/>
              <w:rPr>
                <w:color w:val="000000" w:themeColor="text1"/>
                <w:sz w:val="18"/>
                <w:szCs w:val="22"/>
                <w14:textFill>
                  <w14:solidFill>
                    <w14:schemeClr w14:val="tx1"/>
                  </w14:solidFill>
                </w14:textFill>
              </w:rPr>
            </w:pPr>
            <w:r>
              <w:rPr>
                <w:color w:val="000000" w:themeColor="text1"/>
                <w:spacing w:val="-5"/>
                <w:sz w:val="18"/>
                <w:szCs w:val="22"/>
                <w14:textFill>
                  <w14:solidFill>
                    <w14:schemeClr w14:val="tx1"/>
                  </w14:solidFill>
                </w14:textFill>
              </w:rPr>
              <w:t>平地</w:t>
            </w:r>
          </w:p>
        </w:tc>
        <w:tc>
          <w:tcPr>
            <w:tcW w:w="625" w:type="pct"/>
            <w:vAlign w:val="center"/>
          </w:tcPr>
          <w:p w14:paraId="7C8BD2C1">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2.5</w:t>
            </w:r>
          </w:p>
        </w:tc>
        <w:tc>
          <w:tcPr>
            <w:tcW w:w="625" w:type="pct"/>
            <w:vAlign w:val="center"/>
          </w:tcPr>
          <w:p w14:paraId="6110C783">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5"/>
                <w:sz w:val="18"/>
                <w:szCs w:val="22"/>
                <w14:textFill>
                  <w14:solidFill>
                    <w14:schemeClr w14:val="tx1"/>
                  </w14:solidFill>
                </w14:textFill>
              </w:rPr>
              <w:t>1.11</w:t>
            </w:r>
          </w:p>
        </w:tc>
        <w:tc>
          <w:tcPr>
            <w:tcW w:w="701" w:type="pct"/>
            <w:vAlign w:val="center"/>
          </w:tcPr>
          <w:p w14:paraId="6F3A221D">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5"/>
                <w:sz w:val="18"/>
                <w:szCs w:val="22"/>
                <w14:textFill>
                  <w14:solidFill>
                    <w14:schemeClr w14:val="tx1"/>
                  </w14:solidFill>
                </w14:textFill>
              </w:rPr>
              <w:t>1.03</w:t>
            </w:r>
          </w:p>
        </w:tc>
      </w:tr>
      <w:tr w14:paraId="532D3D2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859" w:type="pct"/>
            <w:vAlign w:val="center"/>
          </w:tcPr>
          <w:p w14:paraId="40EB629A">
            <w:pPr>
              <w:pStyle w:val="105"/>
              <w:widowControl w:val="0"/>
              <w:jc w:val="center"/>
              <w:rPr>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2#</w:t>
            </w:r>
            <w:r>
              <w:rPr>
                <w:color w:val="000000" w:themeColor="text1"/>
                <w:spacing w:val="-1"/>
                <w:sz w:val="18"/>
                <w:szCs w:val="22"/>
                <w14:textFill>
                  <w14:solidFill>
                    <w14:schemeClr w14:val="tx1"/>
                  </w14:solidFill>
                </w14:textFill>
              </w:rPr>
              <w:t>表土临</w:t>
            </w:r>
            <w:r>
              <w:rPr>
                <w:color w:val="000000" w:themeColor="text1"/>
                <w:spacing w:val="-6"/>
                <w:sz w:val="18"/>
                <w:szCs w:val="22"/>
                <w14:textFill>
                  <w14:solidFill>
                    <w14:schemeClr w14:val="tx1"/>
                  </w14:solidFill>
                </w14:textFill>
              </w:rPr>
              <w:t>时堆场</w:t>
            </w:r>
          </w:p>
        </w:tc>
        <w:tc>
          <w:tcPr>
            <w:tcW w:w="469" w:type="pct"/>
            <w:vAlign w:val="center"/>
          </w:tcPr>
          <w:p w14:paraId="1DD16717">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z w:val="18"/>
                <w:szCs w:val="22"/>
                <w14:textFill>
                  <w14:solidFill>
                    <w14:schemeClr w14:val="tx1"/>
                  </w14:solidFill>
                </w14:textFill>
              </w:rPr>
              <w:t>0.28</w:t>
            </w:r>
          </w:p>
        </w:tc>
        <w:tc>
          <w:tcPr>
            <w:tcW w:w="547" w:type="pct"/>
            <w:vAlign w:val="center"/>
          </w:tcPr>
          <w:p w14:paraId="72085421">
            <w:pPr>
              <w:pStyle w:val="105"/>
              <w:widowControl w:val="0"/>
              <w:jc w:val="center"/>
              <w:rPr>
                <w:color w:val="000000" w:themeColor="text1"/>
                <w:sz w:val="18"/>
                <w:szCs w:val="22"/>
                <w14:textFill>
                  <w14:solidFill>
                    <w14:schemeClr w14:val="tx1"/>
                  </w14:solidFill>
                </w14:textFill>
              </w:rPr>
            </w:pPr>
            <w:r>
              <w:rPr>
                <w:rFonts w:hint="eastAsia"/>
                <w:color w:val="000000" w:themeColor="text1"/>
                <w:spacing w:val="-7"/>
                <w:sz w:val="18"/>
                <w:szCs w:val="22"/>
                <w14:textFill>
                  <w14:solidFill>
                    <w14:schemeClr w14:val="tx1"/>
                  </w14:solidFill>
                </w14:textFill>
              </w:rPr>
              <w:t>荒草地</w:t>
            </w:r>
          </w:p>
        </w:tc>
        <w:tc>
          <w:tcPr>
            <w:tcW w:w="782" w:type="pct"/>
            <w:vAlign w:val="center"/>
          </w:tcPr>
          <w:p w14:paraId="414B407D">
            <w:pPr>
              <w:pStyle w:val="105"/>
              <w:widowControl w:val="0"/>
              <w:jc w:val="center"/>
              <w:rPr>
                <w:color w:val="000000" w:themeColor="text1"/>
                <w:sz w:val="18"/>
                <w:szCs w:val="22"/>
                <w14:textFill>
                  <w14:solidFill>
                    <w14:schemeClr w14:val="tx1"/>
                  </w14:solidFill>
                </w14:textFill>
              </w:rPr>
            </w:pPr>
            <w:r>
              <w:rPr>
                <w:rFonts w:eastAsia="Times New Roman" w:cs="Times New Roman"/>
                <w:color w:val="000000" w:themeColor="text1"/>
                <w:sz w:val="18"/>
                <w:szCs w:val="22"/>
                <w14:textFill>
                  <w14:solidFill>
                    <w14:schemeClr w14:val="tx1"/>
                  </w14:solidFill>
                </w14:textFill>
              </w:rPr>
              <w:t>K3+320</w:t>
            </w:r>
            <w:r>
              <w:rPr>
                <w:color w:val="000000" w:themeColor="text1"/>
                <w:sz w:val="18"/>
                <w:szCs w:val="22"/>
                <w14:textFill>
                  <w14:solidFill>
                    <w14:schemeClr w14:val="tx1"/>
                  </w14:solidFill>
                </w14:textFill>
              </w:rPr>
              <w:t>右侧</w:t>
            </w:r>
          </w:p>
        </w:tc>
        <w:tc>
          <w:tcPr>
            <w:tcW w:w="391" w:type="pct"/>
            <w:vAlign w:val="center"/>
          </w:tcPr>
          <w:p w14:paraId="26D29FBC">
            <w:pPr>
              <w:pStyle w:val="105"/>
              <w:widowControl w:val="0"/>
              <w:jc w:val="center"/>
              <w:rPr>
                <w:color w:val="000000" w:themeColor="text1"/>
                <w:sz w:val="18"/>
                <w:szCs w:val="22"/>
                <w14:textFill>
                  <w14:solidFill>
                    <w14:schemeClr w14:val="tx1"/>
                  </w14:solidFill>
                </w14:textFill>
              </w:rPr>
            </w:pPr>
            <w:r>
              <w:rPr>
                <w:color w:val="000000" w:themeColor="text1"/>
                <w:spacing w:val="-5"/>
                <w:sz w:val="18"/>
                <w:szCs w:val="22"/>
                <w14:textFill>
                  <w14:solidFill>
                    <w14:schemeClr w14:val="tx1"/>
                  </w14:solidFill>
                </w14:textFill>
              </w:rPr>
              <w:t>平地</w:t>
            </w:r>
          </w:p>
        </w:tc>
        <w:tc>
          <w:tcPr>
            <w:tcW w:w="625" w:type="pct"/>
            <w:vAlign w:val="center"/>
          </w:tcPr>
          <w:p w14:paraId="0497BC4E">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2.5</w:t>
            </w:r>
          </w:p>
        </w:tc>
        <w:tc>
          <w:tcPr>
            <w:tcW w:w="625" w:type="pct"/>
            <w:vAlign w:val="center"/>
          </w:tcPr>
          <w:p w14:paraId="0A5D5256">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0.60</w:t>
            </w:r>
          </w:p>
        </w:tc>
        <w:tc>
          <w:tcPr>
            <w:tcW w:w="701" w:type="pct"/>
            <w:vAlign w:val="center"/>
          </w:tcPr>
          <w:p w14:paraId="2F5ED13F">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0.55</w:t>
            </w:r>
          </w:p>
        </w:tc>
      </w:tr>
      <w:tr w14:paraId="38660C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859" w:type="pct"/>
            <w:vAlign w:val="center"/>
          </w:tcPr>
          <w:p w14:paraId="0AE7C67D">
            <w:pPr>
              <w:pStyle w:val="105"/>
              <w:widowControl w:val="0"/>
              <w:jc w:val="center"/>
              <w:rPr>
                <w:color w:val="000000" w:themeColor="text1"/>
                <w:sz w:val="18"/>
                <w:szCs w:val="22"/>
                <w14:textFill>
                  <w14:solidFill>
                    <w14:schemeClr w14:val="tx1"/>
                  </w14:solidFill>
                </w14:textFill>
              </w:rPr>
            </w:pPr>
            <w:r>
              <w:rPr>
                <w:rFonts w:eastAsia="Times New Roman" w:cs="Times New Roman"/>
                <w:color w:val="000000" w:themeColor="text1"/>
                <w:sz w:val="18"/>
                <w:szCs w:val="22"/>
                <w14:textFill>
                  <w14:solidFill>
                    <w14:schemeClr w14:val="tx1"/>
                  </w14:solidFill>
                </w14:textFill>
              </w:rPr>
              <w:t>3#</w:t>
            </w:r>
            <w:r>
              <w:rPr>
                <w:color w:val="000000" w:themeColor="text1"/>
                <w:sz w:val="18"/>
                <w:szCs w:val="22"/>
                <w14:textFill>
                  <w14:solidFill>
                    <w14:schemeClr w14:val="tx1"/>
                  </w14:solidFill>
                </w14:textFill>
              </w:rPr>
              <w:t>表土临</w:t>
            </w:r>
            <w:r>
              <w:rPr>
                <w:color w:val="000000" w:themeColor="text1"/>
                <w:spacing w:val="-6"/>
                <w:sz w:val="18"/>
                <w:szCs w:val="22"/>
                <w14:textFill>
                  <w14:solidFill>
                    <w14:schemeClr w14:val="tx1"/>
                  </w14:solidFill>
                </w14:textFill>
              </w:rPr>
              <w:t>时堆场</w:t>
            </w:r>
          </w:p>
        </w:tc>
        <w:tc>
          <w:tcPr>
            <w:tcW w:w="469" w:type="pct"/>
            <w:vAlign w:val="center"/>
          </w:tcPr>
          <w:p w14:paraId="0110F254">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z w:val="18"/>
                <w:szCs w:val="22"/>
                <w14:textFill>
                  <w14:solidFill>
                    <w14:schemeClr w14:val="tx1"/>
                  </w14:solidFill>
                </w14:textFill>
              </w:rPr>
              <w:t>0.11</w:t>
            </w:r>
          </w:p>
        </w:tc>
        <w:tc>
          <w:tcPr>
            <w:tcW w:w="547" w:type="pct"/>
            <w:vAlign w:val="center"/>
          </w:tcPr>
          <w:p w14:paraId="11FBBB64">
            <w:pPr>
              <w:pStyle w:val="105"/>
              <w:widowControl w:val="0"/>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耕地（旱地）</w:t>
            </w:r>
          </w:p>
        </w:tc>
        <w:tc>
          <w:tcPr>
            <w:tcW w:w="782" w:type="pct"/>
            <w:vAlign w:val="center"/>
          </w:tcPr>
          <w:p w14:paraId="0D7A859B">
            <w:pPr>
              <w:pStyle w:val="105"/>
              <w:widowControl w:val="0"/>
              <w:jc w:val="center"/>
              <w:rPr>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LK0+090</w:t>
            </w:r>
            <w:r>
              <w:rPr>
                <w:color w:val="000000" w:themeColor="text1"/>
                <w:spacing w:val="-1"/>
                <w:sz w:val="18"/>
                <w:szCs w:val="22"/>
                <w14:textFill>
                  <w14:solidFill>
                    <w14:schemeClr w14:val="tx1"/>
                  </w14:solidFill>
                </w14:textFill>
              </w:rPr>
              <w:t>右侧</w:t>
            </w:r>
          </w:p>
        </w:tc>
        <w:tc>
          <w:tcPr>
            <w:tcW w:w="391" w:type="pct"/>
            <w:vAlign w:val="center"/>
          </w:tcPr>
          <w:p w14:paraId="1E7DCDE3">
            <w:pPr>
              <w:pStyle w:val="105"/>
              <w:widowControl w:val="0"/>
              <w:jc w:val="center"/>
              <w:rPr>
                <w:color w:val="000000" w:themeColor="text1"/>
                <w:sz w:val="18"/>
                <w:szCs w:val="22"/>
                <w14:textFill>
                  <w14:solidFill>
                    <w14:schemeClr w14:val="tx1"/>
                  </w14:solidFill>
                </w14:textFill>
              </w:rPr>
            </w:pPr>
            <w:r>
              <w:rPr>
                <w:color w:val="000000" w:themeColor="text1"/>
                <w:spacing w:val="-5"/>
                <w:sz w:val="18"/>
                <w:szCs w:val="22"/>
                <w14:textFill>
                  <w14:solidFill>
                    <w14:schemeClr w14:val="tx1"/>
                  </w14:solidFill>
                </w14:textFill>
              </w:rPr>
              <w:t>平地</w:t>
            </w:r>
          </w:p>
        </w:tc>
        <w:tc>
          <w:tcPr>
            <w:tcW w:w="625" w:type="pct"/>
            <w:vAlign w:val="center"/>
          </w:tcPr>
          <w:p w14:paraId="2075D80E">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2.5</w:t>
            </w:r>
          </w:p>
        </w:tc>
        <w:tc>
          <w:tcPr>
            <w:tcW w:w="625" w:type="pct"/>
            <w:vAlign w:val="center"/>
          </w:tcPr>
          <w:p w14:paraId="3DDC2C82">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0.23</w:t>
            </w:r>
          </w:p>
        </w:tc>
        <w:tc>
          <w:tcPr>
            <w:tcW w:w="701" w:type="pct"/>
            <w:vAlign w:val="center"/>
          </w:tcPr>
          <w:p w14:paraId="098E8D5F">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z w:val="18"/>
                <w:szCs w:val="22"/>
                <w14:textFill>
                  <w14:solidFill>
                    <w14:schemeClr w14:val="tx1"/>
                  </w14:solidFill>
                </w14:textFill>
              </w:rPr>
              <w:t>0.22</w:t>
            </w:r>
          </w:p>
        </w:tc>
      </w:tr>
      <w:tr w14:paraId="3E2C56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859" w:type="pct"/>
            <w:vAlign w:val="center"/>
          </w:tcPr>
          <w:p w14:paraId="06C261DF">
            <w:pPr>
              <w:pStyle w:val="105"/>
              <w:widowControl w:val="0"/>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小计</w:t>
            </w:r>
          </w:p>
        </w:tc>
        <w:tc>
          <w:tcPr>
            <w:tcW w:w="469" w:type="pct"/>
            <w:vAlign w:val="center"/>
          </w:tcPr>
          <w:p w14:paraId="5602DB16">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1"/>
                <w:sz w:val="18"/>
                <w:szCs w:val="22"/>
                <w14:textFill>
                  <w14:solidFill>
                    <w14:schemeClr w14:val="tx1"/>
                  </w14:solidFill>
                </w14:textFill>
              </w:rPr>
              <w:t>0.91</w:t>
            </w:r>
          </w:p>
        </w:tc>
        <w:tc>
          <w:tcPr>
            <w:tcW w:w="547" w:type="pct"/>
            <w:vAlign w:val="center"/>
          </w:tcPr>
          <w:p w14:paraId="40D669E3">
            <w:pPr>
              <w:pStyle w:val="105"/>
              <w:widowControl w:val="0"/>
              <w:jc w:val="center"/>
              <w:rPr>
                <w:color w:val="000000" w:themeColor="text1"/>
                <w:sz w:val="18"/>
                <w:szCs w:val="22"/>
                <w14:textFill>
                  <w14:solidFill>
                    <w14:schemeClr w14:val="tx1"/>
                  </w14:solidFill>
                </w14:textFill>
              </w:rPr>
            </w:pPr>
          </w:p>
        </w:tc>
        <w:tc>
          <w:tcPr>
            <w:tcW w:w="782" w:type="pct"/>
            <w:vAlign w:val="center"/>
          </w:tcPr>
          <w:p w14:paraId="7E0BD60A">
            <w:pPr>
              <w:pStyle w:val="105"/>
              <w:widowControl w:val="0"/>
              <w:jc w:val="center"/>
              <w:rPr>
                <w:color w:val="000000" w:themeColor="text1"/>
                <w:sz w:val="18"/>
                <w:szCs w:val="22"/>
                <w14:textFill>
                  <w14:solidFill>
                    <w14:schemeClr w14:val="tx1"/>
                  </w14:solidFill>
                </w14:textFill>
              </w:rPr>
            </w:pPr>
          </w:p>
        </w:tc>
        <w:tc>
          <w:tcPr>
            <w:tcW w:w="391" w:type="pct"/>
            <w:vAlign w:val="center"/>
          </w:tcPr>
          <w:p w14:paraId="43F0BF88">
            <w:pPr>
              <w:pStyle w:val="105"/>
              <w:widowControl w:val="0"/>
              <w:jc w:val="center"/>
              <w:rPr>
                <w:color w:val="000000" w:themeColor="text1"/>
                <w:sz w:val="18"/>
                <w:szCs w:val="22"/>
                <w14:textFill>
                  <w14:solidFill>
                    <w14:schemeClr w14:val="tx1"/>
                  </w14:solidFill>
                </w14:textFill>
              </w:rPr>
            </w:pPr>
          </w:p>
        </w:tc>
        <w:tc>
          <w:tcPr>
            <w:tcW w:w="625" w:type="pct"/>
            <w:vAlign w:val="center"/>
          </w:tcPr>
          <w:p w14:paraId="2B8AA531">
            <w:pPr>
              <w:pStyle w:val="105"/>
              <w:widowControl w:val="0"/>
              <w:jc w:val="center"/>
              <w:rPr>
                <w:color w:val="000000" w:themeColor="text1"/>
                <w:sz w:val="18"/>
                <w:szCs w:val="22"/>
                <w14:textFill>
                  <w14:solidFill>
                    <w14:schemeClr w14:val="tx1"/>
                  </w14:solidFill>
                </w14:textFill>
              </w:rPr>
            </w:pPr>
          </w:p>
        </w:tc>
        <w:tc>
          <w:tcPr>
            <w:tcW w:w="625" w:type="pct"/>
            <w:vAlign w:val="center"/>
          </w:tcPr>
          <w:p w14:paraId="491A1F3B">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5"/>
                <w:sz w:val="18"/>
                <w:szCs w:val="22"/>
                <w14:textFill>
                  <w14:solidFill>
                    <w14:schemeClr w14:val="tx1"/>
                  </w14:solidFill>
                </w14:textFill>
              </w:rPr>
              <w:t>1.93</w:t>
            </w:r>
          </w:p>
        </w:tc>
        <w:tc>
          <w:tcPr>
            <w:tcW w:w="701" w:type="pct"/>
            <w:vAlign w:val="center"/>
          </w:tcPr>
          <w:p w14:paraId="178693FC">
            <w:pPr>
              <w:pStyle w:val="105"/>
              <w:widowControl w:val="0"/>
              <w:jc w:val="center"/>
              <w:rPr>
                <w:rFonts w:eastAsia="Times New Roman" w:cs="Times New Roman"/>
                <w:color w:val="000000" w:themeColor="text1"/>
                <w:sz w:val="18"/>
                <w:szCs w:val="22"/>
                <w14:textFill>
                  <w14:solidFill>
                    <w14:schemeClr w14:val="tx1"/>
                  </w14:solidFill>
                </w14:textFill>
              </w:rPr>
            </w:pPr>
            <w:r>
              <w:rPr>
                <w:rFonts w:eastAsia="Times New Roman" w:cs="Times New Roman"/>
                <w:color w:val="000000" w:themeColor="text1"/>
                <w:spacing w:val="-6"/>
                <w:sz w:val="18"/>
                <w:szCs w:val="22"/>
                <w14:textFill>
                  <w14:solidFill>
                    <w14:schemeClr w14:val="tx1"/>
                  </w14:solidFill>
                </w14:textFill>
              </w:rPr>
              <w:t>1.80</w:t>
            </w:r>
          </w:p>
        </w:tc>
      </w:tr>
    </w:tbl>
    <w:p w14:paraId="6204507C">
      <w:pPr>
        <w:pStyle w:val="118"/>
        <w:numPr>
          <w:ilvl w:val="0"/>
          <w:numId w:val="0"/>
        </w:numPr>
        <w:spacing w:before="240"/>
        <w:rPr>
          <w:color w:val="000000" w:themeColor="text1"/>
          <w14:textFill>
            <w14:solidFill>
              <w14:schemeClr w14:val="tx1"/>
            </w14:solidFill>
          </w14:textFill>
        </w:rPr>
      </w:pPr>
      <w:bookmarkStart w:id="341" w:name="_Toc439084092"/>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）施工便道</w:t>
      </w:r>
      <w:bookmarkEnd w:id="341"/>
    </w:p>
    <w:p w14:paraId="5A262B8F">
      <w:pPr>
        <w:ind w:firstLine="480"/>
        <w:rPr>
          <w:rFonts w:ascii="仿宋" w:hAnsi="仿宋" w:eastAsia="仿宋" w:cs="仿宋"/>
          <w:color w:val="000000" w:themeColor="text1"/>
          <w:szCs w:val="24"/>
          <w14:textFill>
            <w14:solidFill>
              <w14:schemeClr w14:val="tx1"/>
            </w14:solidFill>
          </w14:textFill>
        </w:rPr>
      </w:pPr>
      <w:r>
        <w:rPr>
          <w:color w:val="000000" w:themeColor="text1"/>
          <w14:textFill>
            <w14:solidFill>
              <w14:schemeClr w14:val="tx1"/>
            </w14:solidFill>
          </w14:textFill>
        </w:rPr>
        <w:t>根据本工程施工图设计资料和施工单位的施工组织设计资料，</w:t>
      </w:r>
      <w:r>
        <w:rPr>
          <w:rFonts w:hint="eastAsia"/>
          <w:color w:val="000000" w:themeColor="text1"/>
          <w:spacing w:val="-3"/>
          <w14:textFill>
            <w14:solidFill>
              <w14:schemeClr w14:val="tx1"/>
            </w14:solidFill>
          </w14:textFill>
        </w:rPr>
        <w:t>项目依托现有G</w:t>
      </w:r>
      <w:r>
        <w:rPr>
          <w:color w:val="000000" w:themeColor="text1"/>
          <w:spacing w:val="-3"/>
          <w14:textFill>
            <w14:solidFill>
              <w14:schemeClr w14:val="tx1"/>
            </w14:solidFill>
          </w14:textFill>
        </w:rPr>
        <w:t>324</w:t>
      </w:r>
      <w:r>
        <w:rPr>
          <w:rFonts w:hint="eastAsia"/>
          <w:color w:val="000000" w:themeColor="text1"/>
          <w:spacing w:val="-3"/>
          <w14:textFill>
            <w14:solidFill>
              <w14:schemeClr w14:val="tx1"/>
            </w14:solidFill>
          </w14:textFill>
        </w:rPr>
        <w:t>国道、侨丰路、枝钟路及周边村道作为施工便道。但</w:t>
      </w:r>
      <w:r>
        <w:rPr>
          <w:color w:val="000000" w:themeColor="text1"/>
          <w14:textFill>
            <w14:solidFill>
              <w14:schemeClr w14:val="tx1"/>
            </w14:solidFill>
          </w14:textFill>
        </w:rPr>
        <w:t>项目1#表土堆场</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表土</w:t>
      </w:r>
      <w:r>
        <w:rPr>
          <w:color w:val="000000" w:themeColor="text1"/>
          <w14:textFill>
            <w14:solidFill>
              <w14:schemeClr w14:val="tx1"/>
            </w14:solidFill>
          </w14:textFill>
        </w:rPr>
        <w:t>堆场现有</w:t>
      </w:r>
      <w:r>
        <w:rPr>
          <w:rFonts w:hint="eastAsia"/>
          <w:color w:val="000000" w:themeColor="text1"/>
          <w14:textFill>
            <w14:solidFill>
              <w14:schemeClr w14:val="tx1"/>
            </w14:solidFill>
          </w14:textFill>
        </w:rPr>
        <w:t>机耕</w:t>
      </w:r>
      <w:r>
        <w:rPr>
          <w:color w:val="000000" w:themeColor="text1"/>
          <w14:textFill>
            <w14:solidFill>
              <w14:schemeClr w14:val="tx1"/>
            </w14:solidFill>
          </w14:textFill>
        </w:rPr>
        <w:t>道路不能满足运输需求。为方便车辆进出，</w:t>
      </w:r>
      <w:r>
        <w:rPr>
          <w:rFonts w:hint="eastAsia"/>
          <w:color w:val="000000" w:themeColor="text1"/>
          <w14:textFill>
            <w14:solidFill>
              <w14:schemeClr w14:val="tx1"/>
            </w14:solidFill>
          </w14:textFill>
        </w:rPr>
        <w:t>需对现有机耕</w:t>
      </w:r>
      <w:r>
        <w:rPr>
          <w:color w:val="000000" w:themeColor="text1"/>
          <w14:textFill>
            <w14:solidFill>
              <w14:schemeClr w14:val="tx1"/>
            </w14:solidFill>
          </w14:textFill>
        </w:rPr>
        <w:t>道路</w:t>
      </w:r>
      <w:r>
        <w:rPr>
          <w:rFonts w:hint="eastAsia"/>
          <w:color w:val="000000" w:themeColor="text1"/>
          <w14:textFill>
            <w14:solidFill>
              <w14:schemeClr w14:val="tx1"/>
            </w14:solidFill>
          </w14:textFill>
        </w:rPr>
        <w:t>拓宽</w:t>
      </w:r>
      <w:r>
        <w:rPr>
          <w:color w:val="000000" w:themeColor="text1"/>
          <w14:textFill>
            <w14:solidFill>
              <w14:schemeClr w14:val="tx1"/>
            </w14:solidFill>
          </w14:textFill>
        </w:rPr>
        <w:t>，总长度370m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路基宽度4.5m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采用碎石路面，总占地面积</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.085hm²。</w:t>
      </w:r>
      <w:r>
        <w:rPr>
          <w:rFonts w:hint="eastAsia"/>
          <w:color w:val="000000" w:themeColor="text1"/>
          <w14:textFill>
            <w14:solidFill>
              <w14:schemeClr w14:val="tx1"/>
            </w14:solidFill>
          </w14:textFill>
        </w:rPr>
        <w:t>公路</w:t>
      </w:r>
      <w:r>
        <w:rPr>
          <w:color w:val="000000" w:themeColor="text1"/>
          <w14:textFill>
            <w14:solidFill>
              <w14:schemeClr w14:val="tx1"/>
            </w14:solidFill>
          </w14:textFill>
        </w:rPr>
        <w:t>工程</w:t>
      </w:r>
      <w:bookmarkStart w:id="342" w:name="hmcheck_e661dba75eac49518a9905f1e01dcf6d"/>
      <w:r>
        <w:rPr>
          <w:color w:val="000000" w:themeColor="text1"/>
          <w:shd w:val="clear" w:fill="FFAFAA"/>
          <w14:textFill>
            <w14:solidFill>
              <w14:schemeClr w14:val="tx1"/>
            </w14:solidFill>
          </w14:textFill>
        </w:rPr>
        <w:t>完</w:t>
      </w:r>
      <w:bookmarkEnd w:id="342"/>
      <w:r>
        <w:rPr>
          <w:color w:val="000000" w:themeColor="text1"/>
          <w14:textFill>
            <w14:solidFill>
              <w14:schemeClr w14:val="tx1"/>
            </w14:solidFill>
          </w14:textFill>
        </w:rPr>
        <w:t>后，对场地进行植被恢复后，交还当地使用。</w:t>
      </w:r>
    </w:p>
    <w:p w14:paraId="0F9C1C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施工便道：位于</w:t>
      </w:r>
      <w:r>
        <w:rPr>
          <w:color w:val="000000" w:themeColor="text1"/>
          <w14:textFill>
            <w14:solidFill>
              <w14:schemeClr w14:val="tx1"/>
            </w14:solidFill>
          </w14:textFill>
        </w:rPr>
        <w:t>K0+660右侧，</w:t>
      </w:r>
      <w:r>
        <w:rPr>
          <w:rFonts w:hint="eastAsia"/>
          <w:color w:val="000000" w:themeColor="text1"/>
          <w14:textFill>
            <w14:solidFill>
              <w14:schemeClr w14:val="tx1"/>
            </w14:solidFill>
          </w14:textFill>
        </w:rPr>
        <w:t>拟建公路连接</w:t>
      </w:r>
      <w:r>
        <w:rPr>
          <w:color w:val="000000" w:themeColor="text1"/>
          <w14:textFill>
            <w14:solidFill>
              <w14:schemeClr w14:val="tx1"/>
            </w14:solidFill>
          </w14:textFill>
        </w:rPr>
        <w:t>1#表土堆场</w:t>
      </w:r>
      <w:r>
        <w:rPr>
          <w:rFonts w:hint="eastAsia"/>
          <w:color w:val="000000" w:themeColor="text1"/>
          <w14:textFill>
            <w14:solidFill>
              <w14:schemeClr w14:val="tx1"/>
            </w14:solidFill>
          </w14:textFill>
        </w:rPr>
        <w:t>，利用现有道路机耕道（长度1</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m，宽3</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m）拓宽，</w:t>
      </w:r>
      <w:r>
        <w:rPr>
          <w:rFonts w:cs="Times New Roman"/>
          <w:color w:val="000000" w:themeColor="text1"/>
          <w:spacing w:val="1"/>
          <w:szCs w:val="24"/>
          <w:lang w:val="zh-CN"/>
          <w14:textFill>
            <w14:solidFill>
              <w14:schemeClr w14:val="tx1"/>
            </w14:solidFill>
          </w14:textFill>
        </w:rPr>
        <w:t>宽约4.5m，施工便道共计</w:t>
      </w:r>
      <w:r>
        <w:rPr>
          <w:rFonts w:hint="eastAsia" w:cs="Times New Roman"/>
          <w:color w:val="000000" w:themeColor="text1"/>
          <w:spacing w:val="1"/>
          <w:szCs w:val="24"/>
          <w:lang w:val="zh-CN"/>
          <w14:textFill>
            <w14:solidFill>
              <w14:schemeClr w14:val="tx1"/>
            </w14:solidFill>
          </w14:textFill>
        </w:rPr>
        <w:t>新增</w:t>
      </w:r>
      <w:r>
        <w:rPr>
          <w:rFonts w:cs="Times New Roman"/>
          <w:color w:val="000000" w:themeColor="text1"/>
          <w:spacing w:val="1"/>
          <w:szCs w:val="24"/>
          <w:lang w:val="zh-CN"/>
          <w14:textFill>
            <w14:solidFill>
              <w14:schemeClr w14:val="tx1"/>
            </w14:solidFill>
          </w14:textFill>
        </w:rPr>
        <w:t>占地约0.013hm</w:t>
      </w:r>
      <w:r>
        <w:rPr>
          <w:rFonts w:cs="Times New Roman"/>
          <w:color w:val="000000" w:themeColor="text1"/>
          <w:spacing w:val="1"/>
          <w:szCs w:val="24"/>
          <w:vertAlign w:val="superscript"/>
          <w:lang w:val="zh-CN"/>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占地类型为园地，</w:t>
      </w:r>
      <w:r>
        <w:rPr>
          <w:color w:val="000000" w:themeColor="text1"/>
          <w14:textFill>
            <w14:solidFill>
              <w14:schemeClr w14:val="tx1"/>
            </w14:solidFill>
          </w14:textFill>
        </w:rPr>
        <w:t>施工结束使用后，</w:t>
      </w:r>
      <w:r>
        <w:rPr>
          <w:rFonts w:hint="eastAsia"/>
          <w:color w:val="000000" w:themeColor="text1"/>
          <w14:textFill>
            <w14:solidFill>
              <w14:schemeClr w14:val="tx1"/>
            </w14:solidFill>
          </w14:textFill>
        </w:rPr>
        <w:t>进行场地整治并恢复至原地貌（恢复园地）。</w:t>
      </w:r>
    </w:p>
    <w:p w14:paraId="3F5A23F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施工便道：位于终点，连接枝钟路，利用现有道路机耕道（长度</w:t>
      </w:r>
      <w:r>
        <w:rPr>
          <w:color w:val="000000" w:themeColor="text1"/>
          <w14:textFill>
            <w14:solidFill>
              <w14:schemeClr w14:val="tx1"/>
            </w14:solidFill>
          </w14:textFill>
        </w:rPr>
        <w:t>240</w:t>
      </w:r>
      <w:r>
        <w:rPr>
          <w:rFonts w:hint="eastAsia"/>
          <w:color w:val="000000" w:themeColor="text1"/>
          <w14:textFill>
            <w14:solidFill>
              <w14:schemeClr w14:val="tx1"/>
            </w14:solidFill>
          </w14:textFill>
        </w:rPr>
        <w:t>m，宽</w:t>
      </w:r>
      <w:r>
        <w:rPr>
          <w:color w:val="000000" w:themeColor="text1"/>
          <w14:textFill>
            <w14:solidFill>
              <w14:schemeClr w14:val="tx1"/>
            </w14:solidFill>
          </w14:textFill>
        </w:rPr>
        <w:t>1.5</w:t>
      </w:r>
      <w:r>
        <w:rPr>
          <w:rFonts w:hint="eastAsia"/>
          <w:color w:val="000000" w:themeColor="text1"/>
          <w14:textFill>
            <w14:solidFill>
              <w14:schemeClr w14:val="tx1"/>
            </w14:solidFill>
          </w14:textFill>
        </w:rPr>
        <w:t>m）拓宽，</w:t>
      </w:r>
      <w:r>
        <w:rPr>
          <w:rFonts w:cs="Times New Roman"/>
          <w:color w:val="000000" w:themeColor="text1"/>
          <w:spacing w:val="1"/>
          <w:szCs w:val="24"/>
          <w:lang w:val="zh-CN"/>
          <w14:textFill>
            <w14:solidFill>
              <w14:schemeClr w14:val="tx1"/>
            </w14:solidFill>
          </w14:textFill>
        </w:rPr>
        <w:t>宽约4.5m，施工便道共计</w:t>
      </w:r>
      <w:r>
        <w:rPr>
          <w:rFonts w:hint="eastAsia" w:cs="Times New Roman"/>
          <w:color w:val="000000" w:themeColor="text1"/>
          <w:spacing w:val="1"/>
          <w:szCs w:val="24"/>
          <w:lang w:val="zh-CN"/>
          <w14:textFill>
            <w14:solidFill>
              <w14:schemeClr w14:val="tx1"/>
            </w14:solidFill>
          </w14:textFill>
        </w:rPr>
        <w:t>新增</w:t>
      </w:r>
      <w:r>
        <w:rPr>
          <w:rFonts w:cs="Times New Roman"/>
          <w:color w:val="000000" w:themeColor="text1"/>
          <w:spacing w:val="1"/>
          <w:szCs w:val="24"/>
          <w:lang w:val="zh-CN"/>
          <w14:textFill>
            <w14:solidFill>
              <w14:schemeClr w14:val="tx1"/>
            </w14:solidFill>
          </w14:textFill>
        </w:rPr>
        <w:t>占地约0.072hm</w:t>
      </w:r>
      <w:r>
        <w:rPr>
          <w:rFonts w:cs="Times New Roman"/>
          <w:color w:val="000000" w:themeColor="text1"/>
          <w:spacing w:val="1"/>
          <w:szCs w:val="24"/>
          <w:vertAlign w:val="superscript"/>
          <w:lang w:val="zh-CN"/>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占地类型为旱地，</w:t>
      </w:r>
      <w:r>
        <w:rPr>
          <w:color w:val="000000" w:themeColor="text1"/>
          <w14:textFill>
            <w14:solidFill>
              <w14:schemeClr w14:val="tx1"/>
            </w14:solidFill>
          </w14:textFill>
        </w:rPr>
        <w:t>施工结束使用后，</w:t>
      </w:r>
      <w:r>
        <w:rPr>
          <w:rFonts w:hint="eastAsia"/>
          <w:color w:val="000000" w:themeColor="text1"/>
          <w14:textFill>
            <w14:solidFill>
              <w14:schemeClr w14:val="tx1"/>
            </w14:solidFill>
          </w14:textFill>
        </w:rPr>
        <w:t>进行场地整治并恢复至原地貌（恢复旱地）。</w:t>
      </w:r>
    </w:p>
    <w:p w14:paraId="3C1253DA">
      <w:pPr>
        <w:ind w:firstLine="480"/>
        <w:rPr>
          <w:color w:val="000000" w:themeColor="text1"/>
          <w14:textFill>
            <w14:solidFill>
              <w14:schemeClr w14:val="tx1"/>
            </w14:solidFill>
          </w14:textFill>
        </w:rPr>
      </w:pPr>
    </w:p>
    <w:p w14:paraId="2CEC6D06">
      <w:pPr>
        <w:ind w:firstLine="480"/>
        <w:rPr>
          <w:color w:val="000000" w:themeColor="text1"/>
          <w14:textFill>
            <w14:solidFill>
              <w14:schemeClr w14:val="tx1"/>
            </w14:solidFill>
          </w14:textFill>
        </w:rPr>
      </w:pPr>
    </w:p>
    <w:p w14:paraId="00B8918D">
      <w:pPr>
        <w:pStyle w:val="87"/>
        <w:spacing w:before="120"/>
        <w:ind w:left="480" w:firstLine="480"/>
        <w:rPr>
          <w:snapToGrid w:val="0"/>
          <w:color w:val="000000" w:themeColor="text1"/>
          <w14:textFill>
            <w14:solidFill>
              <w14:schemeClr w14:val="tx1"/>
            </w14:solidFill>
          </w14:textFill>
        </w:rPr>
      </w:pPr>
      <w:bookmarkStart w:id="343" w:name="_Ref150526515"/>
      <w:r>
        <w:rPr>
          <w:rFonts w:hint="eastAsia"/>
          <w:snapToGrid w:val="0"/>
          <w:color w:val="000000" w:themeColor="text1"/>
          <w14:textFill>
            <w14:solidFill>
              <w14:schemeClr w14:val="tx1"/>
            </w14:solidFill>
          </w14:textFill>
        </w:rPr>
        <w:t>施工便道布置情况一览表</w:t>
      </w:r>
      <w:bookmarkEnd w:id="343"/>
    </w:p>
    <w:tbl>
      <w:tblPr>
        <w:tblStyle w:val="84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67"/>
        <w:gridCol w:w="1166"/>
        <w:gridCol w:w="1279"/>
        <w:gridCol w:w="597"/>
        <w:gridCol w:w="588"/>
        <w:gridCol w:w="588"/>
        <w:gridCol w:w="655"/>
        <w:gridCol w:w="655"/>
        <w:gridCol w:w="1685"/>
        <w:gridCol w:w="1390"/>
      </w:tblGrid>
      <w:tr w14:paraId="73D0B8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8" w:type="pct"/>
            <w:vMerge w:val="restart"/>
            <w:vAlign w:val="center"/>
          </w:tcPr>
          <w:p w14:paraId="50642950">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序号</w:t>
            </w:r>
          </w:p>
        </w:tc>
        <w:tc>
          <w:tcPr>
            <w:tcW w:w="643" w:type="pct"/>
            <w:vMerge w:val="restart"/>
            <w:vAlign w:val="center"/>
          </w:tcPr>
          <w:p w14:paraId="20DB2CD7">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名称</w:t>
            </w:r>
          </w:p>
        </w:tc>
        <w:tc>
          <w:tcPr>
            <w:tcW w:w="705" w:type="pct"/>
            <w:vMerge w:val="restart"/>
            <w:vAlign w:val="center"/>
          </w:tcPr>
          <w:p w14:paraId="7E490C7A">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桩号</w:t>
            </w:r>
          </w:p>
        </w:tc>
        <w:tc>
          <w:tcPr>
            <w:tcW w:w="976" w:type="pct"/>
            <w:gridSpan w:val="3"/>
            <w:vAlign w:val="center"/>
          </w:tcPr>
          <w:p w14:paraId="07DA2CD4">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占地面积（</w:t>
            </w:r>
            <w:r>
              <w:rPr>
                <w:color w:val="000000" w:themeColor="text1"/>
                <w:sz w:val="18"/>
                <w:szCs w:val="22"/>
                <w14:textFill>
                  <w14:solidFill>
                    <w14:schemeClr w14:val="tx1"/>
                  </w14:solidFill>
                </w14:textFill>
              </w:rPr>
              <w:t>hm</w:t>
            </w:r>
            <w:r>
              <w:rPr>
                <w:color w:val="000000" w:themeColor="text1"/>
                <w:sz w:val="18"/>
                <w:szCs w:val="22"/>
                <w:vertAlign w:val="superscript"/>
                <w14:textFill>
                  <w14:solidFill>
                    <w14:schemeClr w14:val="tx1"/>
                  </w14:solidFill>
                </w14:textFill>
              </w:rPr>
              <w:t>2</w:t>
            </w:r>
            <w:r>
              <w:rPr>
                <w:rFonts w:hint="eastAsia"/>
                <w:color w:val="000000" w:themeColor="text1"/>
                <w:sz w:val="18"/>
                <w:szCs w:val="22"/>
                <w14:textFill>
                  <w14:solidFill>
                    <w14:schemeClr w14:val="tx1"/>
                  </w14:solidFill>
                </w14:textFill>
              </w:rPr>
              <w:t>）</w:t>
            </w:r>
          </w:p>
        </w:tc>
        <w:tc>
          <w:tcPr>
            <w:tcW w:w="361" w:type="pct"/>
            <w:vMerge w:val="restart"/>
            <w:vAlign w:val="center"/>
          </w:tcPr>
          <w:p w14:paraId="561331C6">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长度</w:t>
            </w:r>
          </w:p>
          <w:p w14:paraId="34601C35">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w:t>
            </w:r>
            <w:r>
              <w:rPr>
                <w:color w:val="000000" w:themeColor="text1"/>
                <w:sz w:val="18"/>
                <w:szCs w:val="22"/>
                <w14:textFill>
                  <w14:solidFill>
                    <w14:schemeClr w14:val="tx1"/>
                  </w14:solidFill>
                </w14:textFill>
              </w:rPr>
              <w:t>m</w:t>
            </w:r>
            <w:r>
              <w:rPr>
                <w:rFonts w:hint="eastAsia"/>
                <w:color w:val="000000" w:themeColor="text1"/>
                <w:sz w:val="18"/>
                <w:szCs w:val="22"/>
                <w14:textFill>
                  <w14:solidFill>
                    <w14:schemeClr w14:val="tx1"/>
                  </w14:solidFill>
                </w14:textFill>
              </w:rPr>
              <w:t>)</w:t>
            </w:r>
          </w:p>
        </w:tc>
        <w:tc>
          <w:tcPr>
            <w:tcW w:w="361" w:type="pct"/>
            <w:vMerge w:val="restart"/>
            <w:vAlign w:val="center"/>
          </w:tcPr>
          <w:p w14:paraId="3E89F0FA">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宽度</w:t>
            </w:r>
          </w:p>
          <w:p w14:paraId="652B4DD9">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w:t>
            </w:r>
            <w:r>
              <w:rPr>
                <w:color w:val="000000" w:themeColor="text1"/>
                <w:sz w:val="18"/>
                <w:szCs w:val="22"/>
                <w14:textFill>
                  <w14:solidFill>
                    <w14:schemeClr w14:val="tx1"/>
                  </w14:solidFill>
                </w14:textFill>
              </w:rPr>
              <w:t>m</w:t>
            </w:r>
            <w:r>
              <w:rPr>
                <w:rFonts w:hint="eastAsia"/>
                <w:color w:val="000000" w:themeColor="text1"/>
                <w:sz w:val="18"/>
                <w:szCs w:val="22"/>
                <w14:textFill>
                  <w14:solidFill>
                    <w14:schemeClr w14:val="tx1"/>
                  </w14:solidFill>
                </w14:textFill>
              </w:rPr>
              <w:t>)</w:t>
            </w:r>
          </w:p>
        </w:tc>
        <w:tc>
          <w:tcPr>
            <w:tcW w:w="929" w:type="pct"/>
            <w:vMerge w:val="restart"/>
            <w:vAlign w:val="center"/>
          </w:tcPr>
          <w:p w14:paraId="0C2BBBD5">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用途</w:t>
            </w:r>
          </w:p>
        </w:tc>
        <w:tc>
          <w:tcPr>
            <w:tcW w:w="767" w:type="pct"/>
            <w:vMerge w:val="restart"/>
            <w:vAlign w:val="center"/>
          </w:tcPr>
          <w:p w14:paraId="1CB087D4">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路面</w:t>
            </w:r>
          </w:p>
          <w:p w14:paraId="1F2E8938">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类型</w:t>
            </w:r>
          </w:p>
        </w:tc>
      </w:tr>
      <w:tr w14:paraId="65A48AA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11" w:hRule="atLeast"/>
          <w:tblHeader/>
          <w:jc w:val="center"/>
        </w:trPr>
        <w:tc>
          <w:tcPr>
            <w:tcW w:w="258" w:type="pct"/>
            <w:vMerge w:val="continue"/>
            <w:vAlign w:val="center"/>
          </w:tcPr>
          <w:p w14:paraId="05A90554">
            <w:pPr>
              <w:pStyle w:val="105"/>
              <w:jc w:val="center"/>
              <w:rPr>
                <w:color w:val="000000" w:themeColor="text1"/>
                <w:sz w:val="18"/>
                <w:szCs w:val="22"/>
                <w14:textFill>
                  <w14:solidFill>
                    <w14:schemeClr w14:val="tx1"/>
                  </w14:solidFill>
                </w14:textFill>
              </w:rPr>
            </w:pPr>
          </w:p>
        </w:tc>
        <w:tc>
          <w:tcPr>
            <w:tcW w:w="643" w:type="pct"/>
            <w:vMerge w:val="continue"/>
            <w:vAlign w:val="center"/>
          </w:tcPr>
          <w:p w14:paraId="64E13B17">
            <w:pPr>
              <w:pStyle w:val="105"/>
              <w:jc w:val="center"/>
              <w:rPr>
                <w:color w:val="000000" w:themeColor="text1"/>
                <w:sz w:val="18"/>
                <w:szCs w:val="22"/>
                <w14:textFill>
                  <w14:solidFill>
                    <w14:schemeClr w14:val="tx1"/>
                  </w14:solidFill>
                </w14:textFill>
              </w:rPr>
            </w:pPr>
          </w:p>
        </w:tc>
        <w:tc>
          <w:tcPr>
            <w:tcW w:w="705" w:type="pct"/>
            <w:vMerge w:val="continue"/>
            <w:vAlign w:val="center"/>
          </w:tcPr>
          <w:p w14:paraId="1EFA6EB8">
            <w:pPr>
              <w:pStyle w:val="105"/>
              <w:jc w:val="center"/>
              <w:rPr>
                <w:color w:val="000000" w:themeColor="text1"/>
                <w:sz w:val="18"/>
                <w:szCs w:val="22"/>
                <w14:textFill>
                  <w14:solidFill>
                    <w14:schemeClr w14:val="tx1"/>
                  </w14:solidFill>
                </w14:textFill>
              </w:rPr>
            </w:pPr>
          </w:p>
        </w:tc>
        <w:tc>
          <w:tcPr>
            <w:tcW w:w="329" w:type="pct"/>
            <w:vAlign w:val="center"/>
          </w:tcPr>
          <w:p w14:paraId="4CD57752">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合计</w:t>
            </w:r>
          </w:p>
        </w:tc>
        <w:tc>
          <w:tcPr>
            <w:tcW w:w="324" w:type="pct"/>
            <w:vAlign w:val="center"/>
          </w:tcPr>
          <w:p w14:paraId="36C5E221">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耕地</w:t>
            </w:r>
          </w:p>
        </w:tc>
        <w:tc>
          <w:tcPr>
            <w:tcW w:w="324" w:type="pct"/>
            <w:vAlign w:val="center"/>
          </w:tcPr>
          <w:p w14:paraId="46139A52">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园地</w:t>
            </w:r>
          </w:p>
        </w:tc>
        <w:tc>
          <w:tcPr>
            <w:tcW w:w="361" w:type="pct"/>
            <w:vMerge w:val="continue"/>
            <w:vAlign w:val="center"/>
          </w:tcPr>
          <w:p w14:paraId="498DD6B8">
            <w:pPr>
              <w:pStyle w:val="105"/>
              <w:jc w:val="center"/>
              <w:rPr>
                <w:color w:val="000000" w:themeColor="text1"/>
                <w:sz w:val="18"/>
                <w:szCs w:val="22"/>
                <w14:textFill>
                  <w14:solidFill>
                    <w14:schemeClr w14:val="tx1"/>
                  </w14:solidFill>
                </w14:textFill>
              </w:rPr>
            </w:pPr>
          </w:p>
        </w:tc>
        <w:tc>
          <w:tcPr>
            <w:tcW w:w="361" w:type="pct"/>
            <w:vMerge w:val="continue"/>
            <w:vAlign w:val="center"/>
          </w:tcPr>
          <w:p w14:paraId="057D0C60">
            <w:pPr>
              <w:pStyle w:val="105"/>
              <w:jc w:val="center"/>
              <w:rPr>
                <w:color w:val="000000" w:themeColor="text1"/>
                <w:sz w:val="18"/>
                <w:szCs w:val="22"/>
                <w14:textFill>
                  <w14:solidFill>
                    <w14:schemeClr w14:val="tx1"/>
                  </w14:solidFill>
                </w14:textFill>
              </w:rPr>
            </w:pPr>
          </w:p>
        </w:tc>
        <w:tc>
          <w:tcPr>
            <w:tcW w:w="929" w:type="pct"/>
            <w:vMerge w:val="continue"/>
            <w:vAlign w:val="center"/>
          </w:tcPr>
          <w:p w14:paraId="261915A4">
            <w:pPr>
              <w:pStyle w:val="105"/>
              <w:jc w:val="center"/>
              <w:rPr>
                <w:color w:val="000000" w:themeColor="text1"/>
                <w:sz w:val="18"/>
                <w:szCs w:val="22"/>
                <w14:textFill>
                  <w14:solidFill>
                    <w14:schemeClr w14:val="tx1"/>
                  </w14:solidFill>
                </w14:textFill>
              </w:rPr>
            </w:pPr>
          </w:p>
        </w:tc>
        <w:tc>
          <w:tcPr>
            <w:tcW w:w="767" w:type="pct"/>
            <w:vMerge w:val="continue"/>
            <w:vAlign w:val="center"/>
          </w:tcPr>
          <w:p w14:paraId="469E24E4">
            <w:pPr>
              <w:pStyle w:val="105"/>
              <w:jc w:val="center"/>
              <w:rPr>
                <w:color w:val="000000" w:themeColor="text1"/>
                <w:sz w:val="18"/>
                <w:szCs w:val="22"/>
                <w14:textFill>
                  <w14:solidFill>
                    <w14:schemeClr w14:val="tx1"/>
                  </w14:solidFill>
                </w14:textFill>
              </w:rPr>
            </w:pPr>
          </w:p>
        </w:tc>
      </w:tr>
      <w:tr w14:paraId="5538F4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8" w:type="pct"/>
            <w:vAlign w:val="center"/>
          </w:tcPr>
          <w:p w14:paraId="3AF106FC">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1</w:t>
            </w:r>
          </w:p>
        </w:tc>
        <w:tc>
          <w:tcPr>
            <w:tcW w:w="643" w:type="pct"/>
            <w:vAlign w:val="center"/>
          </w:tcPr>
          <w:p w14:paraId="24174C7A">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1#</w:t>
            </w:r>
            <w:r>
              <w:rPr>
                <w:rFonts w:hint="eastAsia"/>
                <w:color w:val="000000" w:themeColor="text1"/>
                <w:sz w:val="18"/>
                <w:szCs w:val="22"/>
                <w14:textFill>
                  <w14:solidFill>
                    <w14:schemeClr w14:val="tx1"/>
                  </w14:solidFill>
                </w14:textFill>
              </w:rPr>
              <w:t>施工</w:t>
            </w:r>
          </w:p>
          <w:p w14:paraId="7A307145">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便道</w:t>
            </w:r>
          </w:p>
        </w:tc>
        <w:tc>
          <w:tcPr>
            <w:tcW w:w="705" w:type="pct"/>
            <w:vAlign w:val="center"/>
          </w:tcPr>
          <w:p w14:paraId="20972D67">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K0+660右侧</w:t>
            </w:r>
          </w:p>
        </w:tc>
        <w:tc>
          <w:tcPr>
            <w:tcW w:w="329" w:type="pct"/>
            <w:vAlign w:val="center"/>
          </w:tcPr>
          <w:p w14:paraId="1B5DB87D">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0.013</w:t>
            </w:r>
          </w:p>
        </w:tc>
        <w:tc>
          <w:tcPr>
            <w:tcW w:w="324" w:type="pct"/>
            <w:vAlign w:val="center"/>
          </w:tcPr>
          <w:p w14:paraId="031BA95F">
            <w:pPr>
              <w:pStyle w:val="105"/>
              <w:jc w:val="center"/>
              <w:rPr>
                <w:color w:val="000000" w:themeColor="text1"/>
                <w:sz w:val="18"/>
                <w:szCs w:val="22"/>
                <w14:textFill>
                  <w14:solidFill>
                    <w14:schemeClr w14:val="tx1"/>
                  </w14:solidFill>
                </w14:textFill>
              </w:rPr>
            </w:pPr>
          </w:p>
        </w:tc>
        <w:tc>
          <w:tcPr>
            <w:tcW w:w="324" w:type="pct"/>
            <w:vAlign w:val="center"/>
          </w:tcPr>
          <w:p w14:paraId="7D2C63C9">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0.013</w:t>
            </w:r>
          </w:p>
        </w:tc>
        <w:tc>
          <w:tcPr>
            <w:tcW w:w="361" w:type="pct"/>
            <w:vAlign w:val="center"/>
          </w:tcPr>
          <w:p w14:paraId="6C8D184E">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130</w:t>
            </w:r>
          </w:p>
        </w:tc>
        <w:tc>
          <w:tcPr>
            <w:tcW w:w="361" w:type="pct"/>
            <w:vAlign w:val="center"/>
          </w:tcPr>
          <w:p w14:paraId="4E14C889">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4.5</w:t>
            </w:r>
          </w:p>
        </w:tc>
        <w:tc>
          <w:tcPr>
            <w:tcW w:w="929" w:type="pct"/>
            <w:vAlign w:val="center"/>
          </w:tcPr>
          <w:p w14:paraId="6703C63F">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1</w:t>
            </w:r>
            <w:r>
              <w:rPr>
                <w:color w:val="000000" w:themeColor="text1"/>
                <w:sz w:val="18"/>
                <w:szCs w:val="22"/>
                <w14:textFill>
                  <w14:solidFill>
                    <w14:schemeClr w14:val="tx1"/>
                  </w14:solidFill>
                </w14:textFill>
              </w:rPr>
              <w:t>#</w:t>
            </w:r>
            <w:r>
              <w:rPr>
                <w:rFonts w:hint="eastAsia"/>
                <w:color w:val="000000" w:themeColor="text1"/>
                <w:sz w:val="18"/>
                <w:szCs w:val="22"/>
                <w14:textFill>
                  <w14:solidFill>
                    <w14:schemeClr w14:val="tx1"/>
                  </w14:solidFill>
                </w14:textFill>
              </w:rPr>
              <w:t>表土堆场</w:t>
            </w:r>
          </w:p>
          <w:p w14:paraId="00916C9D">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保通便道</w:t>
            </w:r>
          </w:p>
        </w:tc>
        <w:tc>
          <w:tcPr>
            <w:tcW w:w="767" w:type="pct"/>
            <w:vAlign w:val="center"/>
          </w:tcPr>
          <w:p w14:paraId="39CF9931">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硬化，现有机</w:t>
            </w:r>
          </w:p>
          <w:p w14:paraId="096E37CE">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耕道改造</w:t>
            </w:r>
          </w:p>
        </w:tc>
      </w:tr>
      <w:tr w14:paraId="635480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58" w:type="pct"/>
            <w:vAlign w:val="center"/>
          </w:tcPr>
          <w:p w14:paraId="537C539B">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3</w:t>
            </w:r>
          </w:p>
        </w:tc>
        <w:tc>
          <w:tcPr>
            <w:tcW w:w="643" w:type="pct"/>
            <w:vAlign w:val="center"/>
          </w:tcPr>
          <w:p w14:paraId="4DE135D5">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3#</w:t>
            </w:r>
            <w:r>
              <w:rPr>
                <w:rFonts w:hint="eastAsia"/>
                <w:color w:val="000000" w:themeColor="text1"/>
                <w:sz w:val="18"/>
                <w:szCs w:val="22"/>
                <w14:textFill>
                  <w14:solidFill>
                    <w14:schemeClr w14:val="tx1"/>
                  </w14:solidFill>
                </w14:textFill>
              </w:rPr>
              <w:t>施工便道</w:t>
            </w:r>
          </w:p>
        </w:tc>
        <w:tc>
          <w:tcPr>
            <w:tcW w:w="705" w:type="pct"/>
            <w:vAlign w:val="center"/>
          </w:tcPr>
          <w:p w14:paraId="544BE155">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终点</w:t>
            </w:r>
          </w:p>
        </w:tc>
        <w:tc>
          <w:tcPr>
            <w:tcW w:w="329" w:type="pct"/>
            <w:vAlign w:val="center"/>
          </w:tcPr>
          <w:p w14:paraId="2FCECA64">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0.072</w:t>
            </w:r>
          </w:p>
        </w:tc>
        <w:tc>
          <w:tcPr>
            <w:tcW w:w="324" w:type="pct"/>
            <w:vAlign w:val="center"/>
          </w:tcPr>
          <w:p w14:paraId="1FCD40F1">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0.072</w:t>
            </w:r>
          </w:p>
        </w:tc>
        <w:tc>
          <w:tcPr>
            <w:tcW w:w="324" w:type="pct"/>
            <w:vAlign w:val="center"/>
          </w:tcPr>
          <w:p w14:paraId="7CC6CD52">
            <w:pPr>
              <w:pStyle w:val="105"/>
              <w:jc w:val="center"/>
              <w:rPr>
                <w:color w:val="000000" w:themeColor="text1"/>
                <w:sz w:val="18"/>
                <w:szCs w:val="22"/>
                <w14:textFill>
                  <w14:solidFill>
                    <w14:schemeClr w14:val="tx1"/>
                  </w14:solidFill>
                </w14:textFill>
              </w:rPr>
            </w:pPr>
          </w:p>
        </w:tc>
        <w:tc>
          <w:tcPr>
            <w:tcW w:w="361" w:type="pct"/>
            <w:vAlign w:val="center"/>
          </w:tcPr>
          <w:p w14:paraId="4F99F96C">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240</w:t>
            </w:r>
          </w:p>
        </w:tc>
        <w:tc>
          <w:tcPr>
            <w:tcW w:w="361" w:type="pct"/>
            <w:vAlign w:val="center"/>
          </w:tcPr>
          <w:p w14:paraId="03C9EF6A">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4.5</w:t>
            </w:r>
          </w:p>
        </w:tc>
        <w:tc>
          <w:tcPr>
            <w:tcW w:w="929" w:type="pct"/>
            <w:vAlign w:val="center"/>
          </w:tcPr>
          <w:p w14:paraId="6BDD857B">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终点和3</w:t>
            </w:r>
            <w:r>
              <w:rPr>
                <w:color w:val="000000" w:themeColor="text1"/>
                <w:sz w:val="18"/>
                <w:szCs w:val="22"/>
                <w14:textFill>
                  <w14:solidFill>
                    <w14:schemeClr w14:val="tx1"/>
                  </w14:solidFill>
                </w14:textFill>
              </w:rPr>
              <w:t>#</w:t>
            </w:r>
            <w:r>
              <w:rPr>
                <w:rFonts w:hint="eastAsia"/>
                <w:color w:val="000000" w:themeColor="text1"/>
                <w:sz w:val="18"/>
                <w:szCs w:val="22"/>
                <w14:textFill>
                  <w14:solidFill>
                    <w14:schemeClr w14:val="tx1"/>
                  </w14:solidFill>
                </w14:textFill>
              </w:rPr>
              <w:t>表土堆</w:t>
            </w:r>
          </w:p>
          <w:p w14:paraId="137085BE">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场施工便道</w:t>
            </w:r>
          </w:p>
        </w:tc>
        <w:tc>
          <w:tcPr>
            <w:tcW w:w="767" w:type="pct"/>
            <w:vAlign w:val="center"/>
          </w:tcPr>
          <w:p w14:paraId="4F3680E4">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硬化，机耕</w:t>
            </w:r>
          </w:p>
          <w:p w14:paraId="66220361">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道拓宽</w:t>
            </w:r>
          </w:p>
        </w:tc>
      </w:tr>
      <w:tr w14:paraId="532B05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606" w:type="pct"/>
            <w:gridSpan w:val="3"/>
            <w:vAlign w:val="center"/>
          </w:tcPr>
          <w:p w14:paraId="2D39E25D">
            <w:pPr>
              <w:pStyle w:val="105"/>
              <w:jc w:val="center"/>
              <w:rPr>
                <w:rFonts w:cs="Times New Roman"/>
                <w:color w:val="000000" w:themeColor="text1"/>
                <w:spacing w:val="1"/>
                <w:sz w:val="18"/>
                <w:szCs w:val="18"/>
                <w:lang w:val="zh-CN"/>
                <w14:textFill>
                  <w14:solidFill>
                    <w14:schemeClr w14:val="tx1"/>
                  </w14:solidFill>
                </w14:textFill>
              </w:rPr>
            </w:pPr>
            <w:r>
              <w:rPr>
                <w:rFonts w:hint="eastAsia"/>
                <w:color w:val="000000" w:themeColor="text1"/>
                <w:spacing w:val="1"/>
                <w:sz w:val="18"/>
                <w:szCs w:val="18"/>
                <w:lang w:val="zh-CN"/>
                <w14:textFill>
                  <w14:solidFill>
                    <w14:schemeClr w14:val="tx1"/>
                  </w14:solidFill>
                </w14:textFill>
              </w:rPr>
              <w:t>合计</w:t>
            </w:r>
          </w:p>
        </w:tc>
        <w:tc>
          <w:tcPr>
            <w:tcW w:w="329" w:type="pct"/>
            <w:vAlign w:val="center"/>
          </w:tcPr>
          <w:p w14:paraId="1FDBB10D">
            <w:pPr>
              <w:pStyle w:val="105"/>
              <w:jc w:val="center"/>
              <w:rPr>
                <w:rFonts w:cs="Times New Roman"/>
                <w:color w:val="000000" w:themeColor="text1"/>
                <w:spacing w:val="1"/>
                <w:sz w:val="18"/>
                <w:szCs w:val="18"/>
                <w:lang w:val="zh-CN"/>
                <w14:textFill>
                  <w14:solidFill>
                    <w14:schemeClr w14:val="tx1"/>
                  </w14:solidFill>
                </w14:textFill>
              </w:rPr>
            </w:pPr>
            <w:r>
              <w:rPr>
                <w:rFonts w:hint="eastAsia" w:cs="Times New Roman"/>
                <w:color w:val="000000" w:themeColor="text1"/>
                <w:spacing w:val="1"/>
                <w:sz w:val="18"/>
                <w:szCs w:val="18"/>
                <w:lang w:val="zh-CN"/>
                <w14:textFill>
                  <w14:solidFill>
                    <w14:schemeClr w14:val="tx1"/>
                  </w14:solidFill>
                </w14:textFill>
              </w:rPr>
              <w:t>0</w:t>
            </w:r>
            <w:r>
              <w:rPr>
                <w:rFonts w:cs="Times New Roman"/>
                <w:color w:val="000000" w:themeColor="text1"/>
                <w:spacing w:val="1"/>
                <w:sz w:val="18"/>
                <w:szCs w:val="18"/>
                <w:lang w:val="zh-CN"/>
                <w14:textFill>
                  <w14:solidFill>
                    <w14:schemeClr w14:val="tx1"/>
                  </w14:solidFill>
                </w14:textFill>
              </w:rPr>
              <w:t>.085</w:t>
            </w:r>
          </w:p>
        </w:tc>
        <w:tc>
          <w:tcPr>
            <w:tcW w:w="324" w:type="pct"/>
            <w:vAlign w:val="center"/>
          </w:tcPr>
          <w:p w14:paraId="6731F3BF">
            <w:pPr>
              <w:pStyle w:val="105"/>
              <w:jc w:val="center"/>
              <w:rPr>
                <w:color w:val="000000" w:themeColor="text1"/>
                <w:sz w:val="18"/>
                <w:szCs w:val="18"/>
                <w14:textFill>
                  <w14:solidFill>
                    <w14:schemeClr w14:val="tx1"/>
                  </w14:solidFill>
                </w14:textFill>
              </w:rPr>
            </w:pPr>
            <w:r>
              <w:rPr>
                <w:color w:val="000000" w:themeColor="text1"/>
                <w:sz w:val="18"/>
                <w:szCs w:val="22"/>
                <w14:textFill>
                  <w14:solidFill>
                    <w14:schemeClr w14:val="tx1"/>
                  </w14:solidFill>
                </w14:textFill>
              </w:rPr>
              <w:t>0.072</w:t>
            </w:r>
          </w:p>
        </w:tc>
        <w:tc>
          <w:tcPr>
            <w:tcW w:w="324" w:type="pct"/>
            <w:vAlign w:val="center"/>
          </w:tcPr>
          <w:p w14:paraId="1A55D5CB">
            <w:pPr>
              <w:pStyle w:val="105"/>
              <w:jc w:val="center"/>
              <w:rPr>
                <w:color w:val="000000" w:themeColor="text1"/>
                <w:sz w:val="18"/>
                <w:szCs w:val="18"/>
                <w14:textFill>
                  <w14:solidFill>
                    <w14:schemeClr w14:val="tx1"/>
                  </w14:solidFill>
                </w14:textFill>
              </w:rPr>
            </w:pPr>
            <w:r>
              <w:rPr>
                <w:color w:val="000000" w:themeColor="text1"/>
                <w:sz w:val="18"/>
                <w:szCs w:val="22"/>
                <w14:textFill>
                  <w14:solidFill>
                    <w14:schemeClr w14:val="tx1"/>
                  </w14:solidFill>
                </w14:textFill>
              </w:rPr>
              <w:t>0.013</w:t>
            </w:r>
          </w:p>
        </w:tc>
        <w:tc>
          <w:tcPr>
            <w:tcW w:w="361" w:type="pct"/>
            <w:vAlign w:val="center"/>
          </w:tcPr>
          <w:p w14:paraId="0FEE600D">
            <w:pPr>
              <w:pStyle w:val="105"/>
              <w:jc w:val="center"/>
              <w:rPr>
                <w:rFonts w:cs="Times New Roman"/>
                <w:color w:val="000000" w:themeColor="text1"/>
                <w:spacing w:val="1"/>
                <w:sz w:val="18"/>
                <w:szCs w:val="18"/>
                <w:lang w:val="zh-CN"/>
                <w14:textFill>
                  <w14:solidFill>
                    <w14:schemeClr w14:val="tx1"/>
                  </w14:solidFill>
                </w14:textFill>
              </w:rPr>
            </w:pPr>
            <w:r>
              <w:rPr>
                <w:rFonts w:hint="eastAsia" w:cs="Times New Roman"/>
                <w:color w:val="000000" w:themeColor="text1"/>
                <w:spacing w:val="1"/>
                <w:sz w:val="18"/>
                <w:szCs w:val="18"/>
                <w:lang w:val="zh-CN"/>
                <w14:textFill>
                  <w14:solidFill>
                    <w14:schemeClr w14:val="tx1"/>
                  </w14:solidFill>
                </w14:textFill>
              </w:rPr>
              <w:t>3</w:t>
            </w:r>
            <w:r>
              <w:rPr>
                <w:rFonts w:cs="Times New Roman"/>
                <w:color w:val="000000" w:themeColor="text1"/>
                <w:spacing w:val="1"/>
                <w:sz w:val="18"/>
                <w:szCs w:val="18"/>
                <w:lang w:val="zh-CN"/>
                <w14:textFill>
                  <w14:solidFill>
                    <w14:schemeClr w14:val="tx1"/>
                  </w14:solidFill>
                </w14:textFill>
              </w:rPr>
              <w:t>70</w:t>
            </w:r>
          </w:p>
        </w:tc>
        <w:tc>
          <w:tcPr>
            <w:tcW w:w="361" w:type="pct"/>
            <w:vAlign w:val="center"/>
          </w:tcPr>
          <w:p w14:paraId="007FCEC5">
            <w:pPr>
              <w:pStyle w:val="105"/>
              <w:jc w:val="center"/>
              <w:rPr>
                <w:color w:val="000000" w:themeColor="text1"/>
                <w:sz w:val="18"/>
                <w:szCs w:val="18"/>
                <w14:textFill>
                  <w14:solidFill>
                    <w14:schemeClr w14:val="tx1"/>
                  </w14:solidFill>
                </w14:textFill>
              </w:rPr>
            </w:pPr>
          </w:p>
        </w:tc>
        <w:tc>
          <w:tcPr>
            <w:tcW w:w="929" w:type="pct"/>
            <w:vAlign w:val="center"/>
          </w:tcPr>
          <w:p w14:paraId="7D170859">
            <w:pPr>
              <w:pStyle w:val="105"/>
              <w:jc w:val="center"/>
              <w:rPr>
                <w:color w:val="000000" w:themeColor="text1"/>
                <w:sz w:val="18"/>
                <w:szCs w:val="18"/>
                <w14:textFill>
                  <w14:solidFill>
                    <w14:schemeClr w14:val="tx1"/>
                  </w14:solidFill>
                </w14:textFill>
              </w:rPr>
            </w:pPr>
          </w:p>
        </w:tc>
        <w:tc>
          <w:tcPr>
            <w:tcW w:w="767" w:type="pct"/>
            <w:vAlign w:val="center"/>
          </w:tcPr>
          <w:p w14:paraId="417B2C8B">
            <w:pPr>
              <w:pStyle w:val="105"/>
              <w:jc w:val="center"/>
              <w:rPr>
                <w:color w:val="000000" w:themeColor="text1"/>
                <w:sz w:val="18"/>
                <w:szCs w:val="18"/>
                <w14:textFill>
                  <w14:solidFill>
                    <w14:schemeClr w14:val="tx1"/>
                  </w14:solidFill>
                </w14:textFill>
              </w:rPr>
            </w:pPr>
          </w:p>
        </w:tc>
      </w:tr>
    </w:tbl>
    <w:p w14:paraId="7F5E20F3">
      <w:pPr>
        <w:pStyle w:val="118"/>
        <w:numPr>
          <w:ilvl w:val="0"/>
          <w:numId w:val="0"/>
        </w:numPr>
        <w:spacing w:before="24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）取土场</w:t>
      </w:r>
    </w:p>
    <w:p w14:paraId="581FE03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本项目挖方大于填方，项目不设置取土场。</w:t>
      </w:r>
    </w:p>
    <w:p w14:paraId="29700932">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（7）弃渣场</w:t>
      </w:r>
    </w:p>
    <w:p w14:paraId="0BFD3C1C">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项目水土保持方案结合施工图设计核算，本项目土石方挖填总量63.61万m³，其中挖方总量40.22万m³（含表土1.80万m³），填方总量23.39万m³（含覆土1.80万m³）；</w:t>
      </w:r>
      <w:bookmarkStart w:id="344" w:name="hmcheck_ca511e7e10b84ea4ac50240d0252666e"/>
      <w:r>
        <w:rPr>
          <w:rFonts w:hint="eastAsia"/>
          <w:color w:val="000000" w:themeColor="text1"/>
          <w:shd w:val="clear" w:fill="FFAFAA"/>
          <w14:textFill>
            <w14:solidFill>
              <w14:schemeClr w14:val="tx1"/>
            </w14:solidFill>
          </w14:textFill>
        </w:rPr>
        <w:t>余方</w:t>
      </w:r>
      <w:bookmarkEnd w:id="344"/>
      <w:r>
        <w:rPr>
          <w:rFonts w:hint="eastAsia"/>
          <w:color w:val="000000" w:themeColor="text1"/>
          <w14:textFill>
            <w14:solidFill>
              <w14:schemeClr w14:val="tx1"/>
            </w14:solidFill>
          </w14:textFill>
        </w:rPr>
        <w:t>16.</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3万m³（其中土方</w:t>
      </w:r>
      <w:r>
        <w:rPr>
          <w:color w:val="000000" w:themeColor="text1"/>
          <w14:textFill>
            <w14:solidFill>
              <w14:schemeClr w14:val="tx1"/>
            </w14:solidFill>
          </w14:textFill>
        </w:rPr>
        <w:t>4.62</w:t>
      </w:r>
      <w:r>
        <w:rPr>
          <w:rFonts w:hint="eastAsia"/>
          <w:color w:val="000000" w:themeColor="text1"/>
          <w14:textFill>
            <w14:solidFill>
              <w14:schemeClr w14:val="tx1"/>
            </w14:solidFill>
          </w14:textFill>
        </w:rPr>
        <w:t>万m³，石方</w:t>
      </w:r>
      <w:r>
        <w:rPr>
          <w:color w:val="000000" w:themeColor="text1"/>
          <w14:textFill>
            <w14:solidFill>
              <w14:schemeClr w14:val="tx1"/>
            </w14:solidFill>
          </w14:textFill>
        </w:rPr>
        <w:t>11.41</w:t>
      </w:r>
      <w:r>
        <w:rPr>
          <w:rFonts w:hint="eastAsia"/>
          <w:color w:val="000000" w:themeColor="text1"/>
          <w14:textFill>
            <w14:solidFill>
              <w14:schemeClr w14:val="tx1"/>
            </w14:solidFill>
          </w14:textFill>
        </w:rPr>
        <w:t>万m³），其中石方</w:t>
      </w:r>
      <w:r>
        <w:rPr>
          <w:color w:val="000000" w:themeColor="text1"/>
          <w14:textFill>
            <w14:solidFill>
              <w14:schemeClr w14:val="tx1"/>
            </w14:solidFill>
          </w14:textFill>
        </w:rPr>
        <w:t>6.88</w:t>
      </w:r>
      <w:r>
        <w:rPr>
          <w:rFonts w:hint="eastAsia"/>
          <w:color w:val="000000" w:themeColor="text1"/>
          <w14:textFill>
            <w14:solidFill>
              <w14:schemeClr w14:val="tx1"/>
            </w14:solidFill>
          </w14:textFill>
        </w:rPr>
        <w:t>万m³本工程利用，作为截（排）水沟、沉沙池、挡墙等附属设施的原材料利用；剩余弃方（9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万m³）拟运往福清市城市管理委员会批准的余方指定堆放点进行综合利用。</w:t>
      </w:r>
    </w:p>
    <w:p w14:paraId="58062C4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项目不设弃渣场。</w:t>
      </w:r>
    </w:p>
    <w:p w14:paraId="7A0EC6B7">
      <w:pPr>
        <w:pStyle w:val="120"/>
        <w:rPr>
          <w:color w:val="000000" w:themeColor="text1"/>
          <w14:textFill>
            <w14:solidFill>
              <w14:schemeClr w14:val="tx1"/>
            </w14:solidFill>
          </w14:textFill>
        </w:rPr>
      </w:pPr>
      <w:bookmarkStart w:id="345" w:name="2.4.2.1施工便道"/>
      <w:bookmarkEnd w:id="345"/>
      <w:bookmarkStart w:id="346" w:name="_Toc439084093"/>
      <w:r>
        <w:rPr>
          <w:rFonts w:hint="eastAsia"/>
          <w:color w:val="000000" w:themeColor="text1"/>
          <w14:textFill>
            <w14:solidFill>
              <w14:schemeClr w14:val="tx1"/>
            </w14:solidFill>
          </w14:textFill>
        </w:rPr>
        <w:t>施工方案</w:t>
      </w:r>
      <w:bookmarkEnd w:id="346"/>
    </w:p>
    <w:p w14:paraId="7DDF37BC">
      <w:pPr>
        <w:pStyle w:val="118"/>
        <w:rPr>
          <w:color w:val="000000" w:themeColor="text1"/>
          <w14:textFill>
            <w14:solidFill>
              <w14:schemeClr w14:val="tx1"/>
            </w14:solidFill>
          </w14:textFill>
        </w:rPr>
      </w:pPr>
      <w:bookmarkStart w:id="347" w:name="_Toc439084094"/>
      <w:r>
        <w:rPr>
          <w:rFonts w:hint="eastAsia"/>
          <w:color w:val="000000" w:themeColor="text1"/>
          <w14:textFill>
            <w14:solidFill>
              <w14:schemeClr w14:val="tx1"/>
            </w14:solidFill>
          </w14:textFill>
        </w:rPr>
        <w:t>施工顺序</w:t>
      </w:r>
      <w:bookmarkEnd w:id="347"/>
    </w:p>
    <w:p w14:paraId="32B7DC4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准备工作→征地拆迁、清表→路基土石方施工、桥梁工程、涵洞→防护工程→路面基层→路面面层→标志标线。</w:t>
      </w:r>
    </w:p>
    <w:p w14:paraId="1D59A40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路基施工的施工工序为：挖除树根——清除表层、杂草——平地机、推土机整平——截排水沟放样——开挖截、排水沟——预留管线工程——压路机压实——路基填筑、开挖——路基防护。</w:t>
      </w:r>
    </w:p>
    <w:p w14:paraId="67626AD5">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拆迁、清表</w:t>
      </w:r>
    </w:p>
    <w:p w14:paraId="0CE49F2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拆迁、清表工程包含：</w:t>
      </w:r>
      <w:r>
        <w:rPr>
          <w:rFonts w:hint="eastAsia" w:ascii="宋体" w:hAnsi="宋体"/>
          <w:color w:val="000000" w:themeColor="text1"/>
          <w:kern w:val="0"/>
          <w14:textFill>
            <w14:solidFill>
              <w14:schemeClr w14:val="tx1"/>
            </w14:solidFill>
          </w14:textFill>
        </w:rPr>
        <w:t>拆除建筑物、场坪及既有道路，清除地表植被、</w:t>
      </w:r>
      <w:r>
        <w:rPr>
          <w:color w:val="000000" w:themeColor="text1"/>
          <w14:textFill>
            <w14:solidFill>
              <w14:schemeClr w14:val="tx1"/>
            </w14:solidFill>
          </w14:textFill>
        </w:rPr>
        <w:t>剥离的表层土</w:t>
      </w:r>
      <w:r>
        <w:rPr>
          <w:rFonts w:hint="eastAsia" w:ascii="宋体" w:hAnsi="宋体"/>
          <w:color w:val="000000" w:themeColor="text1"/>
          <w:kern w:val="0"/>
          <w14:textFill>
            <w14:solidFill>
              <w14:schemeClr w14:val="tx1"/>
            </w14:solidFill>
          </w14:textFill>
        </w:rPr>
        <w:t>等。</w:t>
      </w:r>
    </w:p>
    <w:p w14:paraId="4C1B492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①准备工作：进行详细的地上及地下构造物情况调查，认真核实业主提供的原建筑物的图纸及地质资料，提前筹划断水、断电计划及其他管线迁改。</w:t>
      </w:r>
    </w:p>
    <w:p w14:paraId="56614A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准备拆除所需要的设备及物资，拆除施工开始前技术负责人对拆除区域内的技术交底，地上、地下障碍物的书面交底，双方做好记录。设专人对拆除周围设置警戒线，并派专人看护阻止非施工人员进入现场，以防安全事故发生。</w:t>
      </w:r>
    </w:p>
    <w:p w14:paraId="2653D64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③在施工现场，在拆除前准备水车防尘。</w:t>
      </w:r>
    </w:p>
    <w:p w14:paraId="7E9BFA5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④根据现场情况及工程安排，准备必要机械设备、材料、人员等进场，并提前做好关键路口的安全标记及指挥。拆除作业一般自上而下按顺序进行，不得立体交叉拆除作业。</w:t>
      </w:r>
    </w:p>
    <w:p w14:paraId="265B6FB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⑤根据路段具体情况，针对林地、耕地等进行表土剥离保存。</w:t>
      </w:r>
    </w:p>
    <w:p w14:paraId="7A028ECA">
      <w:pPr>
        <w:pStyle w:val="118"/>
        <w:rPr>
          <w:color w:val="000000" w:themeColor="text1"/>
          <w14:textFill>
            <w14:solidFill>
              <w14:schemeClr w14:val="tx1"/>
            </w14:solidFill>
          </w14:textFill>
        </w:rPr>
      </w:pPr>
      <w:r>
        <w:rPr>
          <w:color w:val="000000" w:themeColor="text1"/>
          <w14:textFill>
            <w14:solidFill>
              <w14:schemeClr w14:val="tx1"/>
            </w14:solidFill>
          </w14:textFill>
        </w:rPr>
        <w:t>路基工程施工工艺</w:t>
      </w:r>
    </w:p>
    <w:p w14:paraId="5794CAC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①填方路基：</w:t>
      </w:r>
    </w:p>
    <w:p w14:paraId="779A1D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填土地段地形情况的不同，采用水平分层填筑或纵向分层填筑两种方法施工。机械配备组合为：推土机清理场地，挖掘机挖装土，自卸汽车运输，推土机或平地机整平，振动压路机碾压。路基填筑压实度及填料应达到设计和施工规范要求。填方路基施工工艺：按三阶段、四区段、八流程作业，即：准备阶段→施工阶段→检验阶段和进料区→摊铺区→碾压区→检验区以及施工准备→基底处理→分层填筑→摊铺整平→洒水或晾晒→机械碾压→检验签证→边坡整修。填筑路基施工工艺流</w:t>
      </w:r>
      <w:bookmarkStart w:id="348" w:name="hmcheck_b5bad834812a4f7fb8d6f5c7025c5a31"/>
      <w:r>
        <w:rPr>
          <w:rFonts w:hint="eastAsia"/>
          <w:color w:val="000000" w:themeColor="text1"/>
          <w:shd w:val="clear" w:fill="FFAFAA"/>
          <w14:textFill>
            <w14:solidFill>
              <w14:schemeClr w14:val="tx1"/>
            </w14:solidFill>
          </w14:textFill>
        </w:rPr>
        <w:t>程</w:t>
      </w:r>
      <w:bookmarkEnd w:id="348"/>
      <w:r>
        <w:rPr>
          <w:rFonts w:hint="eastAsia"/>
          <w:color w:val="000000" w:themeColor="text1"/>
          <w14:textFill>
            <w14:solidFill>
              <w14:schemeClr w14:val="tx1"/>
            </w14:solidFill>
          </w14:textFill>
        </w:rPr>
        <w:t>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_Ref141255835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图3.7-1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37319B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挖方段施工除考虑当地的地形条件、采用的机具等因素外，还需考虑土层分布及利用。在路堑开挖前，做好现场伐树除根等清理工作和排水工作。移挖作填时，将表层土单独剥离，或按不同的土层分层挖掘，以满足路堤填筑的要求。施工程序为：清表→截排水沟放样→开挖截排水沟→路基边坡开挖→路基防护。路堑开挖施工工艺流</w:t>
      </w:r>
      <w:bookmarkStart w:id="349" w:name="hmcheck_9e998fd3126e45bcb7a282cc08f7df96"/>
      <w:r>
        <w:rPr>
          <w:rFonts w:hint="eastAsia"/>
          <w:color w:val="000000" w:themeColor="text1"/>
          <w:shd w:val="clear" w:fill="FFAFAA"/>
          <w14:textFill>
            <w14:solidFill>
              <w14:schemeClr w14:val="tx1"/>
            </w14:solidFill>
          </w14:textFill>
        </w:rPr>
        <w:t>程</w:t>
      </w:r>
      <w:bookmarkEnd w:id="349"/>
      <w:r>
        <w:rPr>
          <w:rFonts w:hint="eastAsia"/>
          <w:color w:val="000000" w:themeColor="text1"/>
          <w14:textFill>
            <w14:solidFill>
              <w14:schemeClr w14:val="tx1"/>
            </w14:solidFill>
          </w14:textFill>
        </w:rPr>
        <w:t>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_Ref141255845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图3.7-2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393C4FD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石方路堑开挖：石方开挖是本合同段土石方施工中的重点、难点，采用爆破法开挖，遵守自上而下，水平分层开挖的原则，配以挖掘机、装载机和自卸汽车装运石方，本项目沿线存在民房、国道、古厝、电塔铁路等敏感点，拟采取机械破碎施工。</w:t>
      </w:r>
    </w:p>
    <w:p w14:paraId="51F2F77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施工程序为：测量放线→清表→挖机将覆土挖成堆后装车→破碎锤破碎石方→挖机挖成堆→破碎锤再破碎石方→挖机再挖成堆→装车运走。</w:t>
      </w:r>
    </w:p>
    <w:p w14:paraId="1EC303CE">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涵洞工程</w:t>
      </w:r>
      <w:r>
        <w:rPr>
          <w:color w:val="000000" w:themeColor="text1"/>
          <w14:textFill>
            <w14:solidFill>
              <w14:schemeClr w14:val="tx1"/>
            </w14:solidFill>
          </w14:textFill>
        </w:rPr>
        <w:t>施工</w:t>
      </w:r>
    </w:p>
    <w:p w14:paraId="6ECB5B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本项目涉及</w:t>
      </w:r>
      <w:bookmarkStart w:id="350" w:name="hmcheck_2b7619a9ec9c4ee188f0908183d86ee7"/>
      <w:r>
        <w:rPr>
          <w:rFonts w:hint="eastAsia"/>
          <w:color w:val="000000" w:themeColor="text1"/>
          <w:shd w:val="clear" w:fill="FFAFAA"/>
          <w14:textFill>
            <w14:solidFill>
              <w14:schemeClr w14:val="tx1"/>
            </w14:solidFill>
          </w14:textFill>
        </w:rPr>
        <w:t>涵洞形式</w:t>
      </w:r>
      <w:bookmarkEnd w:id="350"/>
      <w:r>
        <w:rPr>
          <w:rFonts w:hint="eastAsia"/>
          <w:color w:val="000000" w:themeColor="text1"/>
          <w14:textFill>
            <w14:solidFill>
              <w14:schemeClr w14:val="tx1"/>
            </w14:solidFill>
          </w14:textFill>
        </w:rPr>
        <w:t>有钢筋砼盖板涵、箱涵和钢筋混凝土圆管涵。</w:t>
      </w:r>
    </w:p>
    <w:p w14:paraId="4440F1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大致施工程序为：施工准备→测量放线→基坑开挖及垫层施工→浇筑涵基→吊装管节/盖板安装/混凝土浇筑→接缝处理→涵洞进出水口→台背回填及涵洞填土。</w:t>
      </w:r>
    </w:p>
    <w:p w14:paraId="7BC841C2">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防护工程</w:t>
      </w:r>
      <w:r>
        <w:rPr>
          <w:color w:val="000000" w:themeColor="text1"/>
          <w14:textFill>
            <w14:solidFill>
              <w14:schemeClr w14:val="tx1"/>
            </w14:solidFill>
          </w14:textFill>
        </w:rPr>
        <w:t>施工</w:t>
      </w:r>
    </w:p>
    <w:p w14:paraId="76C005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本项目涉及防护形式有以下几种：挂网喷播植草、拱形骨架护坡、挡土墙、系统锚杆、预应力锚索框架梁等。</w:t>
      </w:r>
    </w:p>
    <w:p w14:paraId="6B4B38F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（1）拱形骨架植草护坡施工工序为：施工准备→ 测量放样→边坡修整→基槽开挖挂 线放样→ 砂浆拌制→拱形骨架砌筑→ 安装预制混凝土镶边石→ 骨架内覆土→ 喷草（植 灌）护坡。</w:t>
      </w:r>
    </w:p>
    <w:p w14:paraId="4396E3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（2）TBS 植被护坡施工工序为：整平坡面，清除危石浮土→打入挂网锚杆（必要时 再打入系统锚杆）→挂上镀锌铁丝网→ 湿润坡面→ 喷射第一层基材混合物→ 喷射第二层 基材混合物→ 盖膜养护→揭膜→养护。</w:t>
      </w:r>
    </w:p>
    <w:p w14:paraId="02076E43">
      <w:pPr>
        <w:ind w:firstLine="4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（3）液压喷播植草护坡施工工序为：坡面清理→挖平行沟→ 营养土</w:t>
      </w:r>
      <w:bookmarkStart w:id="351" w:name="hmcheck_beb85378ce8a4d8db18ef2bd5c4062b1"/>
      <w:r>
        <w:rPr>
          <w:rFonts w:hint="eastAsia"/>
          <w:color w:val="000000" w:themeColor="text1"/>
          <w:shd w:val="clear" w:fill="FFAFAA"/>
          <w14:textFill>
            <w14:solidFill>
              <w14:schemeClr w14:val="tx1"/>
            </w14:solidFill>
          </w14:textFill>
        </w:rPr>
        <w:t>拌合</w:t>
      </w:r>
      <w:bookmarkEnd w:id="351"/>
      <w:r>
        <w:rPr>
          <w:rFonts w:hint="eastAsia"/>
          <w:color w:val="000000" w:themeColor="text1"/>
          <w14:textFill>
            <w14:solidFill>
              <w14:schemeClr w14:val="tx1"/>
            </w14:solidFill>
          </w14:textFill>
        </w:rPr>
        <w:t>、喷射→机 械液压喷播草籽→覆盖无纺布→养护→揭无纺布→养护→插栽灌木→养护。</w:t>
      </w:r>
    </w:p>
    <w:p w14:paraId="25D45C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（4）C20 片石混凝土挡墙施工工序为：测量放样→基础整修→铺筑垫层→ 安装模板 → 混凝土拌制、运输→ 浇筑→养护。</w:t>
      </w:r>
    </w:p>
    <w:p w14:paraId="67A25A0D">
      <w:pPr>
        <w:pStyle w:val="118"/>
        <w:rPr>
          <w:color w:val="000000" w:themeColor="text1"/>
          <w14:textFill>
            <w14:solidFill>
              <w14:schemeClr w14:val="tx1"/>
            </w14:solidFill>
          </w14:textFill>
        </w:rPr>
      </w:pPr>
      <w:r>
        <w:rPr>
          <w:color w:val="000000" w:themeColor="text1"/>
          <w14:textFill>
            <w14:solidFill>
              <w14:schemeClr w14:val="tx1"/>
            </w14:solidFill>
          </w14:textFill>
        </w:rPr>
        <w:t>路面工程施工</w:t>
      </w:r>
    </w:p>
    <w:p w14:paraId="4A35C5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路面结构为沥青砼路面，水泥稳定碎石混合料应集中搅拌，经</w:t>
      </w:r>
      <w:bookmarkStart w:id="352" w:name="hmcheck_1b19121bc99f43e6a4e5f7cc196b6265"/>
      <w:r>
        <w:rPr>
          <w:rFonts w:hint="eastAsia"/>
          <w:color w:val="000000" w:themeColor="text1"/>
          <w:shd w:val="clear" w:fill="FFAFAA"/>
          <w14:textFill>
            <w14:solidFill>
              <w14:schemeClr w14:val="tx1"/>
            </w14:solidFill>
          </w14:textFill>
        </w:rPr>
        <w:t>拌和</w:t>
      </w:r>
      <w:bookmarkEnd w:id="352"/>
      <w:r>
        <w:rPr>
          <w:rFonts w:hint="eastAsia"/>
          <w:color w:val="000000" w:themeColor="text1"/>
          <w14:textFill>
            <w14:solidFill>
              <w14:schemeClr w14:val="tx1"/>
            </w14:solidFill>
          </w14:textFill>
        </w:rPr>
        <w:t>后运输至工地，采用机械与人工配合铺筑。面层沥青混凝土混合料，采用商品沥青混凝土运至工地，采用机械铺筑。沥青混凝土路面施工工艺流程详见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_Ref141255866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图3.7-3</w:t>
      </w:r>
      <w:r>
        <w:rPr>
          <w:color w:val="000000" w:themeColor="text1"/>
          <w14:textFill>
            <w14:solidFill>
              <w14:schemeClr w14:val="tx1"/>
            </w14:solidFill>
          </w14:textFill>
        </w:rPr>
        <w:fldChar w:fldCharType="end"/>
      </w:r>
      <w:bookmarkStart w:id="353" w:name="_Toc30936"/>
      <w:r>
        <w:rPr>
          <w:rFonts w:hint="eastAsia"/>
          <w:color w:val="000000" w:themeColor="text1"/>
          <w14:textFill>
            <w14:solidFill>
              <w14:schemeClr w14:val="tx1"/>
            </w14:solidFill>
          </w14:textFill>
        </w:rPr>
        <w:t>。</w:t>
      </w:r>
    </w:p>
    <w:p w14:paraId="7DE3298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08120" cy="3175000"/>
            <wp:effectExtent l="0" t="0" r="0"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88" cstate="email"/>
                    <a:stretch>
                      <a:fillRect/>
                    </a:stretch>
                  </pic:blipFill>
                  <pic:spPr>
                    <a:xfrm>
                      <a:off x="0" y="0"/>
                      <a:ext cx="4081085" cy="3233028"/>
                    </a:xfrm>
                    <a:prstGeom prst="rect">
                      <a:avLst/>
                    </a:prstGeom>
                  </pic:spPr>
                </pic:pic>
              </a:graphicData>
            </a:graphic>
          </wp:inline>
        </w:drawing>
      </w:r>
    </w:p>
    <w:p w14:paraId="7F3BCC7D">
      <w:pPr>
        <w:pStyle w:val="122"/>
        <w:ind w:left="420" w:hanging="420"/>
        <w:rPr>
          <w:color w:val="000000" w:themeColor="text1"/>
          <w14:textFill>
            <w14:solidFill>
              <w14:schemeClr w14:val="tx1"/>
            </w14:solidFill>
          </w14:textFill>
        </w:rPr>
      </w:pPr>
      <w:bookmarkStart w:id="354" w:name="_Ref141255835"/>
      <w:r>
        <w:rPr>
          <w:rFonts w:hint="eastAsia"/>
          <w:color w:val="000000" w:themeColor="text1"/>
          <w14:textFill>
            <w14:solidFill>
              <w14:schemeClr w14:val="tx1"/>
            </w14:solidFill>
          </w14:textFill>
        </w:rPr>
        <w:t>填方</w:t>
      </w:r>
      <w:r>
        <w:rPr>
          <w:color w:val="000000" w:themeColor="text1"/>
          <w14:textFill>
            <w14:solidFill>
              <w14:schemeClr w14:val="tx1"/>
            </w14:solidFill>
          </w14:textFill>
        </w:rPr>
        <w:t>路基施工工艺流程</w:t>
      </w:r>
      <w:bookmarkEnd w:id="354"/>
    </w:p>
    <w:p w14:paraId="5CB919E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404235" cy="4954270"/>
            <wp:effectExtent l="0" t="0" r="571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89" cstate="email"/>
                    <a:stretch>
                      <a:fillRect/>
                    </a:stretch>
                  </pic:blipFill>
                  <pic:spPr>
                    <a:xfrm>
                      <a:off x="0" y="0"/>
                      <a:ext cx="3448436" cy="5019037"/>
                    </a:xfrm>
                    <a:prstGeom prst="rect">
                      <a:avLst/>
                    </a:prstGeom>
                  </pic:spPr>
                </pic:pic>
              </a:graphicData>
            </a:graphic>
          </wp:inline>
        </w:drawing>
      </w:r>
    </w:p>
    <w:p w14:paraId="6C63387D">
      <w:pPr>
        <w:pStyle w:val="122"/>
        <w:ind w:left="420" w:hanging="420"/>
        <w:rPr>
          <w:color w:val="000000" w:themeColor="text1"/>
          <w14:textFill>
            <w14:solidFill>
              <w14:schemeClr w14:val="tx1"/>
            </w14:solidFill>
          </w14:textFill>
        </w:rPr>
      </w:pPr>
      <w:bookmarkStart w:id="355" w:name="_Ref141255845"/>
      <w:r>
        <w:rPr>
          <w:rFonts w:hint="eastAsia"/>
          <w:color w:val="000000" w:themeColor="text1"/>
          <w14:textFill>
            <w14:solidFill>
              <w14:schemeClr w14:val="tx1"/>
            </w14:solidFill>
          </w14:textFill>
        </w:rPr>
        <w:t>挖方路基</w:t>
      </w:r>
      <w:r>
        <w:rPr>
          <w:color w:val="000000" w:themeColor="text1"/>
          <w14:textFill>
            <w14:solidFill>
              <w14:schemeClr w14:val="tx1"/>
            </w14:solidFill>
          </w14:textFill>
        </w:rPr>
        <w:t>施工工艺流程</w:t>
      </w:r>
      <w:bookmarkEnd w:id="355"/>
    </w:p>
    <w:p w14:paraId="588D7A3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209415" cy="2549525"/>
            <wp:effectExtent l="0" t="0" r="635" b="317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90" cstate="email"/>
                    <a:stretch>
                      <a:fillRect/>
                    </a:stretch>
                  </pic:blipFill>
                  <pic:spPr>
                    <a:xfrm>
                      <a:off x="0" y="0"/>
                      <a:ext cx="4240215" cy="2568440"/>
                    </a:xfrm>
                    <a:prstGeom prst="rect">
                      <a:avLst/>
                    </a:prstGeom>
                  </pic:spPr>
                </pic:pic>
              </a:graphicData>
            </a:graphic>
          </wp:inline>
        </w:drawing>
      </w:r>
    </w:p>
    <w:p w14:paraId="0FCB3CA6">
      <w:pPr>
        <w:pStyle w:val="122"/>
        <w:ind w:left="420" w:hanging="420"/>
        <w:rPr>
          <w:color w:val="000000" w:themeColor="text1"/>
          <w14:textFill>
            <w14:solidFill>
              <w14:schemeClr w14:val="tx1"/>
            </w14:solidFill>
          </w14:textFill>
        </w:rPr>
      </w:pPr>
      <w:bookmarkStart w:id="356" w:name="_Ref141255866"/>
      <w:r>
        <w:rPr>
          <w:rFonts w:hint="eastAsia"/>
          <w:color w:val="000000" w:themeColor="text1"/>
          <w14:textFill>
            <w14:solidFill>
              <w14:schemeClr w14:val="tx1"/>
            </w14:solidFill>
          </w14:textFill>
        </w:rPr>
        <w:t>沥青混凝土路面施工工艺流程图</w:t>
      </w:r>
      <w:bookmarkEnd w:id="356"/>
    </w:p>
    <w:bookmarkEnd w:id="353"/>
    <w:p w14:paraId="2E43A57E">
      <w:pPr>
        <w:pStyle w:val="118"/>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桥梁施工</w:t>
      </w:r>
    </w:p>
    <w:p w14:paraId="655F03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本项目共设置</w:t>
      </w:r>
      <w:bookmarkStart w:id="357" w:name="hmcheck_8f8a63d644ea4dc3b888377b340422a9"/>
      <w:r>
        <w:rPr>
          <w:rFonts w:hint="eastAsia"/>
          <w:color w:val="000000" w:themeColor="text1"/>
          <w:shd w:val="clear" w:fill="FFAFAA"/>
          <w14:textFill>
            <w14:solidFill>
              <w14:schemeClr w14:val="tx1"/>
            </w14:solidFill>
          </w14:textFill>
        </w:rPr>
        <w:t>设有</w:t>
      </w:r>
      <w:bookmarkEnd w:id="357"/>
      <w:r>
        <w:rPr>
          <w:rFonts w:hint="eastAsia"/>
          <w:color w:val="000000" w:themeColor="text1"/>
          <w14:textFill>
            <w14:solidFill>
              <w14:schemeClr w14:val="tx1"/>
            </w14:solidFill>
          </w14:textFill>
        </w:rPr>
        <w:t>大1座，中桥1座。桩基采用冲击钻机钻孔，导</w:t>
      </w:r>
      <w:bookmarkStart w:id="358" w:name="hmcheck_074c45ed1e8345a6aba07e54a92b9261"/>
      <w:r>
        <w:rPr>
          <w:rFonts w:hint="eastAsia"/>
          <w:color w:val="000000" w:themeColor="text1"/>
          <w:shd w:val="clear" w:fill="FFAFAA"/>
          <w14:textFill>
            <w14:solidFill>
              <w14:schemeClr w14:val="tx1"/>
            </w14:solidFill>
          </w14:textFill>
        </w:rPr>
        <w:t>管法</w:t>
      </w:r>
      <w:bookmarkEnd w:id="358"/>
      <w:r>
        <w:rPr>
          <w:rFonts w:hint="eastAsia"/>
          <w:color w:val="000000" w:themeColor="text1"/>
          <w14:textFill>
            <w14:solidFill>
              <w14:schemeClr w14:val="tx1"/>
            </w14:solidFill>
          </w14:textFill>
        </w:rPr>
        <w:t>灌注水下砼；墩台身采用整体定型钢模浇筑，模板采用吊车起吊，人工配合安装；钢筋采取在预制场内设置钢筋加工厂，集中加工，现场绑扎或者焊接；砼由拌和站集中拌制或外购商品砼，砼输送车运送至各工点，现场桥台桥墩等砼施工采用吊车或泵车泵送砼入模。</w:t>
      </w:r>
    </w:p>
    <w:p w14:paraId="21D9E36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T梁采取集中预制，运梁平车运输，双导梁架桥机架设。</w:t>
      </w:r>
    </w:p>
    <w:p w14:paraId="31D134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钢箱梁采用工厂采购元件，现场拼装焊接，顶推架设。</w:t>
      </w:r>
    </w:p>
    <w:p w14:paraId="5BA9EA0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空心板梁采用外购，现场吊机架设。</w:t>
      </w:r>
    </w:p>
    <w:p w14:paraId="20CE6FED">
      <w:pPr>
        <w:pStyle w:val="118"/>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、钻孔桩施工</w:t>
      </w:r>
    </w:p>
    <w:p w14:paraId="293FDFA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桩基钻孔桩拟采用冲击钻机成孔，钢筋笼在钢筋加工厂分节制作，直螺纹套筒机械</w:t>
      </w:r>
      <w:bookmarkStart w:id="359" w:name="hmcheck_06e7e711c10143c3a68b683f558a1dc6"/>
      <w:r>
        <w:rPr>
          <w:rFonts w:hint="eastAsia"/>
          <w:color w:val="000000" w:themeColor="text1"/>
          <w:shd w:val="clear" w:fill="FFAFAA"/>
          <w14:textFill>
            <w14:solidFill>
              <w14:schemeClr w14:val="tx1"/>
            </w14:solidFill>
          </w14:textFill>
        </w:rPr>
        <w:t>联接</w:t>
      </w:r>
      <w:bookmarkEnd w:id="359"/>
      <w:r>
        <w:rPr>
          <w:rFonts w:hint="eastAsia"/>
          <w:color w:val="000000" w:themeColor="text1"/>
          <w14:textFill>
            <w14:solidFill>
              <w14:schemeClr w14:val="tx1"/>
            </w14:solidFill>
          </w14:textFill>
        </w:rPr>
        <w:t>，采用导</w:t>
      </w:r>
      <w:bookmarkStart w:id="360" w:name="hmcheck_3f45fba10c494862a7170dff1e99b939"/>
      <w:r>
        <w:rPr>
          <w:rFonts w:hint="eastAsia"/>
          <w:color w:val="000000" w:themeColor="text1"/>
          <w:shd w:val="clear" w:fill="FFAFAA"/>
          <w14:textFill>
            <w14:solidFill>
              <w14:schemeClr w14:val="tx1"/>
            </w14:solidFill>
          </w14:textFill>
        </w:rPr>
        <w:t>管法</w:t>
      </w:r>
      <w:bookmarkEnd w:id="360"/>
      <w:r>
        <w:rPr>
          <w:rFonts w:hint="eastAsia"/>
          <w:color w:val="000000" w:themeColor="text1"/>
          <w14:textFill>
            <w14:solidFill>
              <w14:schemeClr w14:val="tx1"/>
            </w14:solidFill>
          </w14:textFill>
        </w:rPr>
        <w:t>灌注水下砼。桩的钻孔和开挖，在中距5m内的任何砼灌注桩完成24h后，才能开始，以避免干扰邻桩砼的凝固。具体施工方法如下：</w:t>
      </w:r>
    </w:p>
    <w:p w14:paraId="027C94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①施工准备：施工前做好施工现场准备，清除杂物，硬化场地，在适当的位置挖好泥浆池，修建施工临时设施，安装调试施工机械设备，进行施工测量及复核测量，安排材料的储存和堆放，接通临时水电管线。</w:t>
      </w:r>
    </w:p>
    <w:p w14:paraId="51C4E8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护筒设置：为防止泥沙进入钻孔，需在软基深度范围内设置护筒，防止泥沙滑落，钢护筒用5mm厚钢板卷制。护筒内径大于桩径20～40cm，护筒高视土质而定。护筒顶应高出施工水位或地下水位1.0～2.0米以上，并高出地面30 cm。</w:t>
      </w:r>
    </w:p>
    <w:p w14:paraId="5544A59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③钻孔施工</w:t>
      </w:r>
    </w:p>
    <w:p w14:paraId="5D99DC9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A、泥浆配置：钻孔泥浆的配置主要采用优质膨润土人工制造泥浆。膨润土和纯碱的掺量根据泥浆性能进行动态调整。</w:t>
      </w:r>
    </w:p>
    <w:p w14:paraId="740E60CC">
      <w:pPr>
        <w:ind w:firstLine="480"/>
        <w:rPr>
          <w:color w:val="000000" w:themeColor="text1"/>
          <w14:textFill>
            <w14:solidFill>
              <w14:schemeClr w14:val="tx1"/>
            </w14:solidFill>
          </w14:textFill>
        </w:rPr>
      </w:pPr>
      <w:r>
        <w:rPr>
          <w:color w:val="000000" w:themeColor="text1"/>
          <w14:textFill>
            <w14:solidFill>
              <w14:schemeClr w14:val="tx1"/>
            </w14:solidFill>
          </w14:textFill>
        </w:rPr>
        <w:t>B</w:t>
      </w:r>
      <w:r>
        <w:rPr>
          <w:rFonts w:hint="eastAsia"/>
          <w:color w:val="000000" w:themeColor="text1"/>
          <w14:textFill>
            <w14:solidFill>
              <w14:schemeClr w14:val="tx1"/>
            </w14:solidFill>
          </w14:textFill>
        </w:rPr>
        <w:t>、泥浆循环和排渣系统布设在成孔过程中，泥浆处于循环使用中。泥浆循环一般从孔底经过钻头、钻杠、水龙头进入粗颗粒排渣槽及泥浆沉淀池，上层液再通过泥浆旋流器返回孔内。泥浆循环沉淀池的容积一般达到钻孔方量的2.5倍。</w:t>
      </w:r>
    </w:p>
    <w:p w14:paraId="2082E98E">
      <w:pPr>
        <w:ind w:firstLine="480"/>
        <w:rPr>
          <w:color w:val="000000" w:themeColor="text1"/>
          <w14:textFill>
            <w14:solidFill>
              <w14:schemeClr w14:val="tx1"/>
            </w14:solidFill>
          </w14:textFill>
        </w:rPr>
      </w:pPr>
      <w:r>
        <w:rPr>
          <w:color w:val="000000" w:themeColor="text1"/>
          <w14:textFill>
            <w14:solidFill>
              <w14:schemeClr w14:val="tx1"/>
            </w14:solidFill>
          </w14:textFill>
        </w:rPr>
        <w:t>C</w:t>
      </w:r>
      <w:r>
        <w:rPr>
          <w:rFonts w:hint="eastAsia"/>
          <w:color w:val="000000" w:themeColor="text1"/>
          <w14:textFill>
            <w14:solidFill>
              <w14:schemeClr w14:val="tx1"/>
            </w14:solidFill>
          </w14:textFill>
        </w:rPr>
        <w:t>、废浆与钻渣的收集与处理：钻桩前在岸边挖好泥浆沉淀池、储浆池和废浆池，泥浆经沉淀净化后循环利用，废浆抽入废浆池，泥浆沉淀池中的沉渣定期清理，沉渣装入钢制泥浆箱或泥浆</w:t>
      </w:r>
      <w:bookmarkStart w:id="361" w:name="hmcheck_6f78fa70cb754712891fae6cad1f4762"/>
      <w:r>
        <w:rPr>
          <w:rFonts w:hint="eastAsia"/>
          <w:color w:val="000000" w:themeColor="text1"/>
          <w:shd w:val="clear" w:fill="FFAFAA"/>
          <w14:textFill>
            <w14:solidFill>
              <w14:schemeClr w14:val="tx1"/>
            </w14:solidFill>
          </w14:textFill>
        </w:rPr>
        <w:t>车车</w:t>
      </w:r>
      <w:bookmarkEnd w:id="361"/>
      <w:r>
        <w:rPr>
          <w:rFonts w:hint="eastAsia"/>
          <w:color w:val="000000" w:themeColor="text1"/>
          <w14:textFill>
            <w14:solidFill>
              <w14:schemeClr w14:val="tx1"/>
            </w14:solidFill>
          </w14:textFill>
        </w:rPr>
        <w:t>斗内再运走。泥浆沉淀池应及时清渣或用排污泵送至废浆沉淀池，以便再挖运走，废浆经干化等预处理后和沉渣一起清运至填方区做填方利用。如清运未干化的泥浆，应采取封闭的方式，使用泥浆车转运，避免在运输中污染沿线环境。施工结束后泥浆沉淀池、储浆池和废浆池覆土掩埋，恢复原有土地利用功能。</w:t>
      </w:r>
    </w:p>
    <w:p w14:paraId="4E59D3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D、钻进与清孔：设置好护筒并配置好钻孔泥浆后采用钻机进行桩孔钻进，钻进到规定深度后对钻孔进行清理，同时测量钻孔深度、斜度和孔径，测量符合标准后进入下一步钢筋笼的吊装。</w:t>
      </w:r>
    </w:p>
    <w:p w14:paraId="5B914D8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④钢筋笼制作与吊装：桩基的</w:t>
      </w:r>
      <w:bookmarkStart w:id="362" w:name="hmcheck_252ef24bb70f4bd9988ea46a682b1b78"/>
      <w:r>
        <w:rPr>
          <w:rFonts w:hint="eastAsia"/>
          <w:color w:val="000000" w:themeColor="text1"/>
          <w:shd w:val="clear" w:fill="FFAFAA"/>
          <w14:textFill>
            <w14:solidFill>
              <w14:schemeClr w14:val="tx1"/>
            </w14:solidFill>
          </w14:textFill>
        </w:rPr>
        <w:t>钢筋笼是</w:t>
      </w:r>
      <w:bookmarkEnd w:id="362"/>
      <w:r>
        <w:rPr>
          <w:rFonts w:hint="eastAsia"/>
          <w:color w:val="000000" w:themeColor="text1"/>
          <w14:textFill>
            <w14:solidFill>
              <w14:schemeClr w14:val="tx1"/>
            </w14:solidFill>
          </w14:textFill>
        </w:rPr>
        <w:t>在预制站统一制作下料，集中焊接绑扎成型。钢筋笼起吊采用三点吊，防止钢筋笼在重力作用下发生变形。</w:t>
      </w:r>
    </w:p>
    <w:p w14:paraId="0590DE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⑤混凝土浇筑：导管连接成导管柱，要力求垂直，接头处采用密封圈垫予以密封。导管开工前先进行压力水密封性试验。</w:t>
      </w:r>
    </w:p>
    <w:p w14:paraId="2C81D93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⑥拆除护筒：混凝土浇筑</w:t>
      </w:r>
      <w:bookmarkStart w:id="363" w:name="hmcheck_7c902194965d4a3a91dadf12ec8db834"/>
      <w:r>
        <w:rPr>
          <w:rFonts w:hint="eastAsia"/>
          <w:color w:val="000000" w:themeColor="text1"/>
          <w:shd w:val="clear" w:fill="FFAFAA"/>
          <w14:textFill>
            <w14:solidFill>
              <w14:schemeClr w14:val="tx1"/>
            </w14:solidFill>
          </w14:textFill>
        </w:rPr>
        <w:t>完</w:t>
      </w:r>
      <w:bookmarkEnd w:id="363"/>
      <w:r>
        <w:rPr>
          <w:rFonts w:hint="eastAsia"/>
          <w:color w:val="000000" w:themeColor="text1"/>
          <w14:textFill>
            <w14:solidFill>
              <w14:schemeClr w14:val="tx1"/>
            </w14:solidFill>
          </w14:textFill>
        </w:rPr>
        <w:t>，待混凝土桥桩稳定到一定程度后拆除护筒，整个桥桩基础施工完毕。桥梁基础施工工艺流</w:t>
      </w:r>
      <w:bookmarkStart w:id="364" w:name="hmcheck_f43fb1fb19314716b7f5f5d359c16d5b"/>
      <w:r>
        <w:rPr>
          <w:rFonts w:hint="eastAsia"/>
          <w:color w:val="000000" w:themeColor="text1"/>
          <w:shd w:val="clear" w:fill="FFAFAA"/>
          <w14:textFill>
            <w14:solidFill>
              <w14:schemeClr w14:val="tx1"/>
            </w14:solidFill>
          </w14:textFill>
        </w:rPr>
        <w:t>程</w:t>
      </w:r>
      <w:bookmarkEnd w:id="364"/>
      <w:r>
        <w:rPr>
          <w:rFonts w:hint="eastAsia"/>
          <w:color w:val="000000" w:themeColor="text1"/>
          <w14:textFill>
            <w14:solidFill>
              <w14:schemeClr w14:val="tx1"/>
            </w14:solidFill>
          </w14:textFill>
        </w:rPr>
        <w:t>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_Ref141255793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图3.7-4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4EBE744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366895" cy="5856605"/>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91" cstate="email"/>
                    <a:stretch>
                      <a:fillRect/>
                    </a:stretch>
                  </pic:blipFill>
                  <pic:spPr>
                    <a:xfrm>
                      <a:off x="0" y="0"/>
                      <a:ext cx="4388522" cy="5885554"/>
                    </a:xfrm>
                    <a:prstGeom prst="rect">
                      <a:avLst/>
                    </a:prstGeom>
                  </pic:spPr>
                </pic:pic>
              </a:graphicData>
            </a:graphic>
          </wp:inline>
        </w:drawing>
      </w:r>
    </w:p>
    <w:p w14:paraId="7B5922FC">
      <w:pPr>
        <w:pStyle w:val="122"/>
        <w:rPr>
          <w:color w:val="000000" w:themeColor="text1"/>
          <w14:textFill>
            <w14:solidFill>
              <w14:schemeClr w14:val="tx1"/>
            </w14:solidFill>
          </w14:textFill>
        </w:rPr>
      </w:pPr>
      <w:bookmarkStart w:id="365" w:name="_Ref141255793"/>
      <w:r>
        <w:rPr>
          <w:rFonts w:hint="eastAsia"/>
          <w:color w:val="000000" w:themeColor="text1"/>
          <w14:textFill>
            <w14:solidFill>
              <w14:schemeClr w14:val="tx1"/>
            </w14:solidFill>
          </w14:textFill>
        </w:rPr>
        <w:t>桥梁钻孔灌注桩施工工艺流程</w:t>
      </w:r>
      <w:bookmarkEnd w:id="365"/>
    </w:p>
    <w:p w14:paraId="1F8742D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⑦涉水桥墩施工工艺</w:t>
      </w:r>
    </w:p>
    <w:p w14:paraId="3BA33AB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根据工程设计资料及实地踏勘，据调查，迳溪支流在里程K2+440处斜穿拟建大埔大桥，交角约30° 该处溪沟宽约10m，溪水面宽约3m，水深约0.5</w:t>
      </w:r>
      <w:bookmarkStart w:id="366" w:name="hmcheck_1e4005a682374b3dad8eeae2af167137"/>
      <w:r>
        <w:rPr>
          <w:rFonts w:hint="eastAsia"/>
          <w:color w:val="000000" w:themeColor="text1"/>
          <w:shd w:val="clear" w:fill="FFAFAA"/>
          <w14:textFill>
            <w14:solidFill>
              <w14:schemeClr w14:val="tx1"/>
            </w14:solidFill>
          </w14:textFill>
        </w:rPr>
        <w:t>-</w:t>
      </w:r>
      <w:bookmarkEnd w:id="366"/>
      <w:r>
        <w:rPr>
          <w:rFonts w:hint="eastAsia"/>
          <w:color w:val="000000" w:themeColor="text1"/>
          <w14:textFill>
            <w14:solidFill>
              <w14:schemeClr w14:val="tx1"/>
            </w14:solidFill>
          </w14:textFill>
        </w:rPr>
        <w:t>1.0m，流速约0.5</w:t>
      </w:r>
      <w:bookmarkStart w:id="367" w:name="hmcheck_fa5d2e28b888474395bb37fcd8d4110e"/>
      <w:r>
        <w:rPr>
          <w:rFonts w:hint="eastAsia"/>
          <w:color w:val="000000" w:themeColor="text1"/>
          <w:shd w:val="clear" w:fill="FFAFAA"/>
          <w14:textFill>
            <w14:solidFill>
              <w14:schemeClr w14:val="tx1"/>
            </w14:solidFill>
          </w14:textFill>
        </w:rPr>
        <w:t>-</w:t>
      </w:r>
      <w:bookmarkEnd w:id="367"/>
      <w:r>
        <w:rPr>
          <w:rFonts w:hint="eastAsia"/>
          <w:color w:val="000000" w:themeColor="text1"/>
          <w14:textFill>
            <w14:solidFill>
              <w14:schemeClr w14:val="tx1"/>
            </w14:solidFill>
          </w14:textFill>
        </w:rPr>
        <w:t>1.0m/s，流量约1-2m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/s；在终点处横穿拟建枝钟中桥，交角为90°，溪沟宽约30m，水面宽度约30m，水深约0.2</w:t>
      </w:r>
      <w:bookmarkStart w:id="368" w:name="hmcheck_e23b9f4cfbe54ff0aa73380a17ab8bce"/>
      <w:r>
        <w:rPr>
          <w:rFonts w:hint="eastAsia"/>
          <w:color w:val="000000" w:themeColor="text1"/>
          <w:shd w:val="clear" w:fill="FFAFAA"/>
          <w14:textFill>
            <w14:solidFill>
              <w14:schemeClr w14:val="tx1"/>
            </w14:solidFill>
          </w14:textFill>
        </w:rPr>
        <w:t>-</w:t>
      </w:r>
      <w:bookmarkEnd w:id="368"/>
      <w:r>
        <w:rPr>
          <w:rFonts w:hint="eastAsia"/>
          <w:color w:val="000000" w:themeColor="text1"/>
          <w14:textFill>
            <w14:solidFill>
              <w14:schemeClr w14:val="tx1"/>
            </w14:solidFill>
          </w14:textFill>
        </w:rPr>
        <w:t>0.5m，未见水流明显流速，流量约0.2-0.5m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/s。本工程大埔大桥和枝钟中桥跨越迳溪支流。其中大埔大桥1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桥墩部分涉水，但改渠后不涉水；枝钟中桥中间桥墩涉水。</w:t>
      </w:r>
    </w:p>
    <w:p w14:paraId="7BE0865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项目跨水桥梁均采用钻孔灌注桩基础工艺。涉水桥墩与不涉水桥墩施工时的区别在于涉水桥墩施工时应做好保护水体的防护措施。涉水桥墩施工前需设置钢围堰，防止桩基础施工产生的钻渣、泥浆进入水体。</w:t>
      </w:r>
    </w:p>
    <w:p w14:paraId="17F4B49E">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2、桥梁墩台施工工艺</w:t>
      </w:r>
    </w:p>
    <w:p w14:paraId="6EFD1F5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①施工准备：所有桥墩均设置地系梁，施工前，首先对墩柱范围内的系梁顶面进行凿毛。沿墩柱周围搭设施工作业平台，墩柱模型安装前清洗接合面，并铺2.0cm厚水泥砂浆找平。</w:t>
      </w:r>
    </w:p>
    <w:p w14:paraId="3F88C49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②钢筋绑扎：由于墩柱过高，墩柱钢筋接头优先采用机械连接，质量满足规范要求，上端通过定位箍筋固定在作业平台支架上，然后缠绕箍筋与主筋绑扎</w:t>
      </w:r>
      <w:bookmarkStart w:id="369" w:name="hmcheck_60208737cd9742d3ae5e9112c0f2a05a"/>
      <w:r>
        <w:rPr>
          <w:rFonts w:hint="eastAsia"/>
          <w:color w:val="000000" w:themeColor="text1"/>
          <w:shd w:val="clear" w:fill="FFAFAA"/>
          <w14:textFill>
            <w14:solidFill>
              <w14:schemeClr w14:val="tx1"/>
            </w14:solidFill>
          </w14:textFill>
        </w:rPr>
        <w:t>联接</w:t>
      </w:r>
      <w:bookmarkEnd w:id="369"/>
      <w:r>
        <w:rPr>
          <w:rFonts w:hint="eastAsia"/>
          <w:color w:val="000000" w:themeColor="text1"/>
          <w14:textFill>
            <w14:solidFill>
              <w14:schemeClr w14:val="tx1"/>
            </w14:solidFill>
          </w14:textFill>
        </w:rPr>
        <w:t>。并在不同高度处绑扎适量塑料垫块，以保证钢筋在模板中的位置及保护层厚度符合要求。</w:t>
      </w:r>
    </w:p>
    <w:p w14:paraId="0C7034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③立模：模型采用6mm厚定制组合钢模，每节标准高度2m，接头用螺栓</w:t>
      </w:r>
      <w:bookmarkStart w:id="370" w:name="hmcheck_d50811458b364349aa1d1d67f8539dc4"/>
      <w:r>
        <w:rPr>
          <w:rFonts w:hint="eastAsia"/>
          <w:color w:val="000000" w:themeColor="text1"/>
          <w:shd w:val="clear" w:fill="FFAFAA"/>
          <w14:textFill>
            <w14:solidFill>
              <w14:schemeClr w14:val="tx1"/>
            </w14:solidFill>
          </w14:textFill>
        </w:rPr>
        <w:t>联接</w:t>
      </w:r>
      <w:bookmarkEnd w:id="370"/>
      <w:r>
        <w:rPr>
          <w:rFonts w:hint="eastAsia"/>
          <w:color w:val="000000" w:themeColor="text1"/>
          <w14:textFill>
            <w14:solidFill>
              <w14:schemeClr w14:val="tx1"/>
            </w14:solidFill>
          </w14:textFill>
        </w:rPr>
        <w:t>，并加设垫圈。模型在地面按墩柱高度进行试拼装，模型安装前均匀涂刷脱模剂，模型间的接口缝用封口胶泥密封。</w:t>
      </w:r>
    </w:p>
    <w:p w14:paraId="0024BE0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④浇筑砼：混凝土浇筑一次性完成，混凝土通过汽车吊和自卸汽车配合进行垂直运输和水平运输，插入式振动器捣固。选用有经验的技术工人分层捣固操作。</w:t>
      </w:r>
    </w:p>
    <w:p w14:paraId="3301937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⑤养护和拆膜：混凝土浇筑完毕后，及时用塑料薄膜覆盖养护，保持混凝土表面湿润。拆膜前养护时间不小于7天，拆膜后仍需养护一定时间，确保桥梁、墩台质量符合要求。</w:t>
      </w:r>
    </w:p>
    <w:p w14:paraId="2A6EA39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37" o:spt="75" type="#_x0000_t75" style="height:322.55pt;width:237.75pt;" o:ole="t" filled="f" o:preferrelative="t" stroked="f" coordsize="21600,21600">
            <v:path/>
            <v:fill on="f" focussize="0,0"/>
            <v:stroke on="f" joinstyle="miter"/>
            <v:imagedata r:id="rId93" o:title=""/>
            <o:lock v:ext="edit" aspectratio="t"/>
            <w10:wrap type="none"/>
            <w10:anchorlock/>
          </v:shape>
          <o:OLEObject Type="Embed" ProgID="Visio.Drawing.15" ShapeID="_x0000_i1037" DrawAspect="Content" ObjectID="_1468075737" r:id="rId92">
            <o:LockedField>false</o:LockedField>
          </o:OLEObject>
        </w:object>
      </w:r>
    </w:p>
    <w:p w14:paraId="1011A570">
      <w:pPr>
        <w:pStyle w:val="122"/>
        <w:rPr>
          <w:bCs/>
          <w:color w:val="000000" w:themeColor="text1"/>
          <w14:textFill>
            <w14:solidFill>
              <w14:schemeClr w14:val="tx1"/>
            </w14:solidFill>
          </w14:textFill>
        </w:rPr>
      </w:pPr>
      <w:r>
        <w:rPr>
          <w:rFonts w:hint="eastAsia"/>
          <w:color w:val="000000" w:themeColor="text1"/>
          <w14:textFill>
            <w14:solidFill>
              <w14:schemeClr w14:val="tx1"/>
            </w14:solidFill>
          </w14:textFill>
        </w:rPr>
        <w:t>墩（台）工艺框图</w:t>
      </w:r>
    </w:p>
    <w:p w14:paraId="531ED79C">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3、盖梁施工</w:t>
      </w:r>
    </w:p>
    <w:p w14:paraId="4953656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盖梁采用在墩柱预穿钢棒在用工字钢搭设支架的方案模型采用大块定型钢模，汽车吊起吊灌筑砼。</w:t>
      </w:r>
    </w:p>
    <w:p w14:paraId="346E775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工艺流程：测量放线→墩柱砼顶面凿毛清洗→绑扎盖梁钢筋→模型安装就位→报监理工程师验收→灌注盖梁砼→养护。</w:t>
      </w:r>
    </w:p>
    <w:p w14:paraId="1AFB69F7">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4、预制梁片预制及安装</w:t>
      </w:r>
    </w:p>
    <w:p w14:paraId="5F039C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（1）梁片模板及台座</w:t>
      </w:r>
    </w:p>
    <w:p w14:paraId="19D9E6B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预制梁采用模板厂定制的标准化整体钢模模板采用δ10mm的钢板制作，翼缘梳型模板应设置</w:t>
      </w:r>
      <w:bookmarkStart w:id="371" w:name="hmcheck_ab0c4f816bb24fa19760406e3d626a2b"/>
      <w:r>
        <w:rPr>
          <w:rFonts w:hint="eastAsia"/>
          <w:color w:val="000000" w:themeColor="text1"/>
          <w:shd w:val="clear" w:fill="FFAFAA"/>
          <w14:textFill>
            <w14:solidFill>
              <w14:schemeClr w14:val="tx1"/>
            </w14:solidFill>
          </w14:textFill>
        </w:rPr>
        <w:t>加劲</w:t>
      </w:r>
      <w:bookmarkEnd w:id="371"/>
      <w:r>
        <w:rPr>
          <w:rFonts w:hint="eastAsia"/>
          <w:color w:val="000000" w:themeColor="text1"/>
          <w14:textFill>
            <w14:solidFill>
              <w14:schemeClr w14:val="tx1"/>
            </w14:solidFill>
          </w14:textFill>
        </w:rPr>
        <w:t>肋，T梁横隔板底模不与侧模连成一体，必须采用独立的钢板底模，以保证先拆除侧模后，横隔板的底模仍能起支撑作用。台座采用现浇C30砼，台座高30cm，两端适当加厚，台座顶面尺寸与梁底尺寸相匹配。台座顶面两侧安装5×5cm角钢并在其上铺设δ=6mm厚钢板。</w:t>
      </w:r>
    </w:p>
    <w:p w14:paraId="2168D61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（2）梁片砼浇筑：梁体浇筑完成，T梁砼养护达到10天且强度达到设计强度的90%后，进行梁片预应力施工。</w:t>
      </w:r>
    </w:p>
    <w:p w14:paraId="771B9E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（3）梁片安装：运梁车停靠在预制场处，采用龙门吊移梁，然后用运梁车运梁。考虑到桥位地形及水文条件，T梁采用架桥机吊装。</w:t>
      </w:r>
    </w:p>
    <w:p w14:paraId="743074D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（4）梁片连续刚构先简支后连续施工方案</w:t>
      </w:r>
    </w:p>
    <w:p w14:paraId="6B27BE2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第一步：墩顶上安装临时支座，临时支座采用临时</w:t>
      </w:r>
      <w:bookmarkStart w:id="372" w:name="hmcheck_bd936d767f77436aae8021fd9ad677d6"/>
      <w:r>
        <w:rPr>
          <w:rFonts w:hint="eastAsia"/>
          <w:color w:val="000000" w:themeColor="text1"/>
          <w:shd w:val="clear" w:fill="FFAFAA"/>
          <w14:textFill>
            <w14:solidFill>
              <w14:schemeClr w14:val="tx1"/>
            </w14:solidFill>
          </w14:textFill>
        </w:rPr>
        <w:t>钢砂</w:t>
      </w:r>
      <w:bookmarkEnd w:id="372"/>
      <w:r>
        <w:rPr>
          <w:rFonts w:hint="eastAsia"/>
          <w:color w:val="000000" w:themeColor="text1"/>
          <w14:textFill>
            <w14:solidFill>
              <w14:schemeClr w14:val="tx1"/>
            </w14:solidFill>
          </w14:textFill>
        </w:rPr>
        <w:t>筒支座，先将梁片用架梁设备架设于临时支座上；安装一孔梁片并浇注横隔板，待横隔板强度达到设计强度的85%后，安装下一孔梁片，以此类推。主梁的吊装设备选用双导梁。</w:t>
      </w:r>
    </w:p>
    <w:p w14:paraId="193B88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第二步：安装永久支座，浇筑墩顶连续现浇段。</w:t>
      </w:r>
    </w:p>
    <w:p w14:paraId="37F624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第三步：张拉负弯矩钢束（纵向由一联的两端向中间依次对称张拉）。</w:t>
      </w:r>
    </w:p>
    <w:p w14:paraId="495B395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第四步：一联张拉完成后，拆除临时支座，完成临时—永久连续体系转换</w:t>
      </w:r>
    </w:p>
    <w:p w14:paraId="34533D5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第五步：浇筑全桥水泥砼，防水层及沥青砼桥面铺装。</w:t>
      </w:r>
    </w:p>
    <w:p w14:paraId="63914F2D">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5、桥面系及附属施工</w:t>
      </w:r>
    </w:p>
    <w:p w14:paraId="429BB85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①桥面铺装：桥面也采用沥青混凝土结构。桥面施工方法与路面基本相同。采用沥青混凝土</w:t>
      </w:r>
      <w:bookmarkStart w:id="373" w:name="hmcheck_da2f9e11a0d04f7aa8f2973ed3ee3355"/>
      <w:r>
        <w:rPr>
          <w:rFonts w:hint="eastAsia"/>
          <w:color w:val="000000" w:themeColor="text1"/>
          <w:shd w:val="clear" w:fill="FFAFAA"/>
          <w14:textFill>
            <w14:solidFill>
              <w14:schemeClr w14:val="tx1"/>
            </w14:solidFill>
          </w14:textFill>
        </w:rPr>
        <w:t>拌合</w:t>
      </w:r>
      <w:bookmarkEnd w:id="373"/>
      <w:r>
        <w:rPr>
          <w:rFonts w:hint="eastAsia"/>
          <w:color w:val="000000" w:themeColor="text1"/>
          <w14:textFill>
            <w14:solidFill>
              <w14:schemeClr w14:val="tx1"/>
            </w14:solidFill>
          </w14:textFill>
        </w:rPr>
        <w:t>设备拌合，沥青混凝土摊铺机摊铺，双钢轮振动压路机、轮胎压路机碾压施工。</w:t>
      </w:r>
    </w:p>
    <w:p w14:paraId="1F13A00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②桥面附属设施安装：基本同路面附属设施，此外还包括防撞护栏、栏杆等的安装。</w:t>
      </w:r>
    </w:p>
    <w:p w14:paraId="5F99BAB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改河、改渠施工方案</w:t>
      </w:r>
    </w:p>
    <w:p w14:paraId="2D9E8F97">
      <w:pPr>
        <w:ind w:firstLine="480"/>
        <w:rPr>
          <w:color w:val="000000" w:themeColor="text1"/>
          <w14:textFill>
            <w14:solidFill>
              <w14:schemeClr w14:val="tx1"/>
            </w14:solidFill>
          </w14:textFill>
        </w:rPr>
      </w:pPr>
      <w:r>
        <w:rPr>
          <w:color w:val="000000" w:themeColor="text1"/>
          <w14:textFill>
            <w14:solidFill>
              <w14:schemeClr w14:val="tx1"/>
            </w14:solidFill>
          </w14:textFill>
        </w:rPr>
        <w:t>施工工序：施工放样→</w:t>
      </w:r>
      <w:r>
        <w:rPr>
          <w:rFonts w:hint="eastAsia"/>
          <w:color w:val="000000" w:themeColor="text1"/>
          <w14:textFill>
            <w14:solidFill>
              <w14:schemeClr w14:val="tx1"/>
            </w14:solidFill>
          </w14:textFill>
        </w:rPr>
        <w:t>施工围堰、导流</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主体施工（土石方开挖</w:t>
      </w:r>
      <w:r>
        <w:rPr>
          <w:color w:val="000000" w:themeColor="text1"/>
          <w14:textFill>
            <w14:solidFill>
              <w14:schemeClr w14:val="tx1"/>
            </w14:solidFill>
          </w14:textFill>
        </w:rPr>
        <w:t>→</w:t>
      </w:r>
      <w:r>
        <w:rPr>
          <w:rFonts w:cs="Times New Roman"/>
          <w:color w:val="000000" w:themeColor="text1"/>
          <w:kern w:val="0"/>
          <w:szCs w:val="24"/>
          <w:lang w:val="zh-CN"/>
          <w14:textFill>
            <w14:solidFill>
              <w14:schemeClr w14:val="tx1"/>
            </w14:solidFill>
          </w14:textFill>
        </w:rPr>
        <w:t>碎石垫层及复合土工膜</w:t>
      </w:r>
      <w:r>
        <w:rPr>
          <w:color w:val="000000" w:themeColor="text1"/>
          <w14:textFill>
            <w14:solidFill>
              <w14:schemeClr w14:val="tx1"/>
            </w14:solidFill>
          </w14:textFill>
        </w:rPr>
        <w:t>→</w:t>
      </w:r>
      <w:r>
        <w:rPr>
          <w:rFonts w:cs="Times New Roman"/>
          <w:color w:val="000000" w:themeColor="text1"/>
          <w:kern w:val="0"/>
          <w:szCs w:val="24"/>
          <w:lang w:val="zh-CN"/>
          <w14:textFill>
            <w14:solidFill>
              <w14:schemeClr w14:val="tx1"/>
            </w14:solidFill>
          </w14:textFill>
        </w:rPr>
        <w:t>砼工程施工</w:t>
      </w:r>
      <w:r>
        <w:rPr>
          <w:rFonts w:hint="eastAsia"/>
          <w:color w:val="000000" w:themeColor="text1"/>
          <w14:textFill>
            <w14:solidFill>
              <w14:schemeClr w14:val="tx1"/>
            </w14:solidFill>
          </w14:textFill>
        </w:rPr>
        <w:t>）。</w:t>
      </w:r>
    </w:p>
    <w:p w14:paraId="5E8DD6A7">
      <w:pPr>
        <w:ind w:firstLine="480"/>
        <w:rPr>
          <w:rFonts w:cs="Times New Roman"/>
          <w:color w:val="000000" w:themeColor="text1"/>
          <w:kern w:val="0"/>
          <w:szCs w:val="24"/>
          <w:lang w:val="zh-CN"/>
          <w14:textFill>
            <w14:solidFill>
              <w14:schemeClr w14:val="tx1"/>
            </w14:solidFill>
          </w14:textFill>
        </w:rPr>
      </w:pPr>
      <w:r>
        <w:rPr>
          <w:rFonts w:hint="eastAsia"/>
          <w:color w:val="000000" w:themeColor="text1"/>
          <w14:textFill>
            <w14:solidFill>
              <w14:schemeClr w14:val="tx1"/>
            </w14:solidFill>
          </w14:textFill>
        </w:rPr>
        <w:t>改渠围堰施工：①施工围堰导流：改渠</w:t>
      </w:r>
      <w:r>
        <w:rPr>
          <w:color w:val="000000" w:themeColor="text1"/>
          <w:lang w:val="zh-CN"/>
          <w14:textFill>
            <w14:solidFill>
              <w14:schemeClr w14:val="tx1"/>
            </w14:solidFill>
          </w14:textFill>
        </w:rPr>
        <w:t>工程导流采用一次性拦断导流，各分段上下游各设一段横向围堰，共4段横向围堰。围堰临水面采用袋装土填筑，背水侧采用开挖土料填筑。因渠道流量可自由控制，围堰高度与渠道高度取一致，用以在导流管道确定的情况下通过最大的灌溉流量。围堰顶宽2.0m，迎</w:t>
      </w:r>
      <w:r>
        <w:rPr>
          <w:rFonts w:cs="Times New Roman"/>
          <w:color w:val="000000" w:themeColor="text1"/>
          <w:kern w:val="0"/>
          <w:szCs w:val="24"/>
          <w:lang w:val="zh-CN"/>
          <w14:textFill>
            <w14:solidFill>
              <w14:schemeClr w14:val="tx1"/>
            </w14:solidFill>
          </w14:textFill>
        </w:rPr>
        <w:t>水坡坡度为1</w:t>
      </w:r>
      <w:bookmarkStart w:id="374" w:name="hmcheck_4388003604474226bf73bb8407990441"/>
      <w:r>
        <w:rPr>
          <w:rFonts w:cs="Times New Roman"/>
          <w:color w:val="000000" w:themeColor="text1"/>
          <w:kern w:val="0"/>
          <w:szCs w:val="24"/>
          <w:shd w:val="clear" w:fill="FFAFAA"/>
          <w:lang w:val="zh-CN"/>
          <w14:textFill>
            <w14:solidFill>
              <w14:schemeClr w14:val="tx1"/>
            </w14:solidFill>
          </w14:textFill>
        </w:rPr>
        <w:t>：</w:t>
      </w:r>
      <w:bookmarkEnd w:id="374"/>
      <w:r>
        <w:rPr>
          <w:rFonts w:cs="Times New Roman"/>
          <w:color w:val="000000" w:themeColor="text1"/>
          <w:kern w:val="0"/>
          <w:szCs w:val="24"/>
          <w:lang w:val="zh-CN"/>
          <w14:textFill>
            <w14:solidFill>
              <w14:schemeClr w14:val="tx1"/>
            </w14:solidFill>
          </w14:textFill>
        </w:rPr>
        <w:t>1，背水坡坡度1</w:t>
      </w:r>
      <w:bookmarkStart w:id="375" w:name="hmcheck_209274c65664490da8503b8d8b4292ef"/>
      <w:r>
        <w:rPr>
          <w:rFonts w:cs="Times New Roman"/>
          <w:color w:val="000000" w:themeColor="text1"/>
          <w:kern w:val="0"/>
          <w:szCs w:val="24"/>
          <w:shd w:val="clear" w:fill="FFAFAA"/>
          <w:lang w:val="zh-CN"/>
          <w14:textFill>
            <w14:solidFill>
              <w14:schemeClr w14:val="tx1"/>
            </w14:solidFill>
          </w14:textFill>
        </w:rPr>
        <w:t>：</w:t>
      </w:r>
      <w:bookmarkEnd w:id="375"/>
      <w:r>
        <w:rPr>
          <w:rFonts w:cs="Times New Roman"/>
          <w:color w:val="000000" w:themeColor="text1"/>
          <w:kern w:val="0"/>
          <w:szCs w:val="24"/>
          <w:lang w:val="zh-CN"/>
          <w14:textFill>
            <w14:solidFill>
              <w14:schemeClr w14:val="tx1"/>
            </w14:solidFill>
          </w14:textFill>
        </w:rPr>
        <w:t>1。</w:t>
      </w:r>
      <w:r>
        <w:rPr>
          <w:rFonts w:hint="eastAsia" w:cs="Times New Roman"/>
          <w:color w:val="000000" w:themeColor="text1"/>
          <w:kern w:val="0"/>
          <w:szCs w:val="24"/>
          <w:lang w:val="zh-CN"/>
          <w14:textFill>
            <w14:solidFill>
              <w14:schemeClr w14:val="tx1"/>
            </w14:solidFill>
          </w14:textFill>
        </w:rPr>
        <w:t>②渠道土石方开挖：</w:t>
      </w:r>
      <w:r>
        <w:rPr>
          <w:rFonts w:cs="Times New Roman"/>
          <w:color w:val="000000" w:themeColor="text1"/>
          <w:kern w:val="0"/>
          <w:szCs w:val="24"/>
          <w:lang w:val="zh-CN"/>
          <w14:textFill>
            <w14:solidFill>
              <w14:schemeClr w14:val="tx1"/>
            </w14:solidFill>
          </w14:textFill>
        </w:rPr>
        <w:t>土方开挖大部分采用反铲挖掘机挖。开挖料部分就近临时堆放，用于回填段渠道回填施工。</w:t>
      </w:r>
      <w:r>
        <w:rPr>
          <w:rFonts w:hint="eastAsia"/>
          <w:color w:val="000000" w:themeColor="text1"/>
          <w14:textFill>
            <w14:solidFill>
              <w14:schemeClr w14:val="tx1"/>
            </w14:solidFill>
          </w14:textFill>
        </w:rPr>
        <w:t>③</w:t>
      </w:r>
      <w:r>
        <w:rPr>
          <w:color w:val="000000" w:themeColor="text1"/>
          <w:lang w:val="zh-CN"/>
          <w14:textFill>
            <w14:solidFill>
              <w14:schemeClr w14:val="tx1"/>
            </w14:solidFill>
          </w14:textFill>
        </w:rPr>
        <w:t>碎石垫层及复合土工膜铺筑</w:t>
      </w: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碎石料采用外购，由自卸汽车运至施工现场，人工整平，平板式振捣器振捣振实。复合土工膜根据施工图要求的规格，采取搭接连接，人工逐幅铺设。</w:t>
      </w:r>
      <w:r>
        <w:rPr>
          <w:rFonts w:hint="eastAsia"/>
          <w:color w:val="000000" w:themeColor="text1"/>
          <w:lang w:val="zh-CN"/>
          <w14:textFill>
            <w14:solidFill>
              <w14:schemeClr w14:val="tx1"/>
            </w14:solidFill>
          </w14:textFill>
        </w:rPr>
        <w:t>④</w:t>
      </w:r>
      <w:r>
        <w:rPr>
          <w:rFonts w:cs="Times New Roman"/>
          <w:color w:val="000000" w:themeColor="text1"/>
          <w:kern w:val="0"/>
          <w:szCs w:val="24"/>
          <w:lang w:val="zh-CN"/>
          <w14:textFill>
            <w14:solidFill>
              <w14:schemeClr w14:val="tx1"/>
            </w14:solidFill>
          </w14:textFill>
        </w:rPr>
        <w:t>砼工程施工</w:t>
      </w:r>
      <w:r>
        <w:rPr>
          <w:rFonts w:hint="eastAsia" w:cs="Times New Roman"/>
          <w:color w:val="000000" w:themeColor="text1"/>
          <w:kern w:val="0"/>
          <w:szCs w:val="24"/>
          <w:lang w:val="zh-CN"/>
          <w14:textFill>
            <w14:solidFill>
              <w14:schemeClr w14:val="tx1"/>
            </w14:solidFill>
          </w14:textFill>
        </w:rPr>
        <w:t>：</w:t>
      </w:r>
      <w:r>
        <w:rPr>
          <w:rFonts w:cs="Times New Roman"/>
          <w:color w:val="000000" w:themeColor="text1"/>
          <w:kern w:val="0"/>
          <w:szCs w:val="24"/>
          <w:lang w:val="zh-CN"/>
          <w14:textFill>
            <w14:solidFill>
              <w14:schemeClr w14:val="tx1"/>
            </w14:solidFill>
          </w14:textFill>
        </w:rPr>
        <w:t>渠道、箱涵工程及支渠渡槽的砼结构，砼浇筑前，钢筋砼先进行扎筋、立模、搭设</w:t>
      </w:r>
      <w:bookmarkStart w:id="376" w:name="hmcheck_3bc2bac5bcf84f469afdfd88803d911e"/>
      <w:r>
        <w:rPr>
          <w:rFonts w:cs="Times New Roman"/>
          <w:color w:val="000000" w:themeColor="text1"/>
          <w:kern w:val="0"/>
          <w:szCs w:val="24"/>
          <w:shd w:val="clear" w:fill="FFAFAA"/>
          <w:lang w:val="zh-CN"/>
          <w14:textFill>
            <w14:solidFill>
              <w14:schemeClr w14:val="tx1"/>
            </w14:solidFill>
          </w14:textFill>
        </w:rPr>
        <w:t>仓面</w:t>
      </w:r>
      <w:bookmarkEnd w:id="376"/>
      <w:r>
        <w:rPr>
          <w:rFonts w:cs="Times New Roman"/>
          <w:color w:val="000000" w:themeColor="text1"/>
          <w:kern w:val="0"/>
          <w:szCs w:val="24"/>
          <w:lang w:val="zh-CN"/>
          <w14:textFill>
            <w14:solidFill>
              <w14:schemeClr w14:val="tx1"/>
            </w14:solidFill>
          </w14:textFill>
        </w:rPr>
        <w:t>脚手架和清仓等工作。采用商品混凝土，双胶轮车水平运输，垫层砼、底板砼采用溜槽下溜入仓浇筑，其余混凝土直接入仓或搭</w:t>
      </w:r>
      <w:bookmarkStart w:id="377" w:name="hmcheck_c033cad21f5a4dd3bffed146fecc94d1"/>
      <w:r>
        <w:rPr>
          <w:rFonts w:cs="Times New Roman"/>
          <w:color w:val="000000" w:themeColor="text1"/>
          <w:kern w:val="0"/>
          <w:szCs w:val="24"/>
          <w:shd w:val="clear" w:fill="FFAFAA"/>
          <w:lang w:val="zh-CN"/>
          <w14:textFill>
            <w14:solidFill>
              <w14:schemeClr w14:val="tx1"/>
            </w14:solidFill>
          </w14:textFill>
        </w:rPr>
        <w:t>仓面</w:t>
      </w:r>
      <w:bookmarkEnd w:id="377"/>
      <w:r>
        <w:rPr>
          <w:rFonts w:cs="Times New Roman"/>
          <w:color w:val="000000" w:themeColor="text1"/>
          <w:kern w:val="0"/>
          <w:szCs w:val="24"/>
          <w:lang w:val="zh-CN"/>
          <w14:textFill>
            <w14:solidFill>
              <w14:schemeClr w14:val="tx1"/>
            </w14:solidFill>
          </w14:textFill>
        </w:rPr>
        <w:t>入仓浇筑。</w:t>
      </w:r>
    </w:p>
    <w:p w14:paraId="282A5F2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渡槽施工方案</w:t>
      </w:r>
    </w:p>
    <w:p w14:paraId="62FA67FD">
      <w:pPr>
        <w:ind w:firstLine="480"/>
        <w:rPr>
          <w:color w:val="000000" w:themeColor="text1"/>
          <w14:textFill>
            <w14:solidFill>
              <w14:schemeClr w14:val="tx1"/>
            </w14:solidFill>
          </w14:textFill>
        </w:rPr>
      </w:pPr>
      <w:r>
        <w:rPr>
          <w:color w:val="000000" w:themeColor="text1"/>
          <w14:textFill>
            <w14:solidFill>
              <w14:schemeClr w14:val="tx1"/>
            </w14:solidFill>
          </w14:textFill>
        </w:rPr>
        <w:t>施工工序：施工放样→基础开挖→基础联合验收 →基础混凝土浇筑→排架、墩身混凝土浇筑→墩帽、盖梁混凝土浇筑→槽身施工</w:t>
      </w:r>
      <w:r>
        <w:rPr>
          <w:rFonts w:hint="eastAsia"/>
          <w:color w:val="000000" w:themeColor="text1"/>
          <w14:textFill>
            <w14:solidFill>
              <w14:schemeClr w14:val="tx1"/>
            </w14:solidFill>
          </w14:textFill>
        </w:rPr>
        <w:t>。</w:t>
      </w:r>
    </w:p>
    <w:p w14:paraId="0E27C2A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基坑开挖：渡槽基础采用液压挖掘机开挖，并配合人工清基削坡，基坑大小应满足基础施工的要求。</w:t>
      </w:r>
    </w:p>
    <w:p w14:paraId="1E9DA46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槽身施工：①模板安装。渡槽槽身为U形断面，槽身模板采用专门加工的定型钢模板，外模及内模均分为6块制作，每块宽2米，采用型钢桁架支撑，内外模在顶部牢固连接，防止内模上浮。②</w:t>
      </w:r>
      <w:bookmarkStart w:id="378" w:name="hmcheck_8121ad29e14b4c5ba18a7007c1b29405"/>
      <w:r>
        <w:rPr>
          <w:rFonts w:hint="eastAsia"/>
          <w:color w:val="000000" w:themeColor="text1"/>
          <w:shd w:val="clear" w:fill="FFAFAA"/>
          <w14:textFill>
            <w14:solidFill>
              <w14:schemeClr w14:val="tx1"/>
            </w14:solidFill>
          </w14:textFill>
        </w:rPr>
        <w:t>钢筋制</w:t>
      </w:r>
      <w:bookmarkEnd w:id="378"/>
      <w:r>
        <w:rPr>
          <w:rFonts w:hint="eastAsia"/>
          <w:color w:val="000000" w:themeColor="text1"/>
          <w14:textFill>
            <w14:solidFill>
              <w14:schemeClr w14:val="tx1"/>
            </w14:solidFill>
          </w14:textFill>
        </w:rPr>
        <w:t>安装。钢筋在加工厂加工成型，平板汽车运输至现场，汽车吊吊运至仓位内，人工进行绑扎。③混凝土浇筑。墩、排架为现浇C30钢筋混凝土，采用PO 42.5普通硅酸盐水泥。采用25t汽车吊作为垂直吊运工具完成砼吊运入仓。</w:t>
      </w:r>
    </w:p>
    <w:p w14:paraId="00D9D70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箱涵施工方案</w:t>
      </w:r>
    </w:p>
    <w:p w14:paraId="051E03F1">
      <w:pPr>
        <w:ind w:firstLine="480"/>
        <w:rPr>
          <w:color w:val="000000" w:themeColor="text1"/>
          <w:lang w:val="zh-CN"/>
          <w14:textFill>
            <w14:solidFill>
              <w14:schemeClr w14:val="tx1"/>
            </w14:solidFill>
          </w14:textFill>
        </w:rPr>
      </w:pPr>
      <w:r>
        <w:rPr>
          <w:color w:val="000000" w:themeColor="text1"/>
          <w14:textFill>
            <w14:solidFill>
              <w14:schemeClr w14:val="tx1"/>
            </w14:solidFill>
          </w14:textFill>
        </w:rPr>
        <w:t>施工工序：</w:t>
      </w:r>
      <w:r>
        <w:rPr>
          <w:rFonts w:hint="eastAsia"/>
          <w:color w:val="000000" w:themeColor="text1"/>
          <w:lang w:val="zh-CN"/>
          <w14:textFill>
            <w14:solidFill>
              <w14:schemeClr w14:val="tx1"/>
            </w14:solidFill>
          </w14:textFill>
        </w:rPr>
        <w:t>开挖临时土渠导流</w:t>
      </w:r>
      <w:r>
        <w:rPr>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河道上下游施工</w:t>
      </w:r>
      <w:bookmarkStart w:id="379" w:name="hmcheck_338eff3de5c8439f997a0ab2a9636460"/>
      <w:r>
        <w:rPr>
          <w:rFonts w:hint="eastAsia"/>
          <w:color w:val="000000" w:themeColor="text1"/>
          <w:shd w:val="clear" w:fill="FFAFAA"/>
          <w:lang w:val="zh-CN"/>
          <w14:textFill>
            <w14:solidFill>
              <w14:schemeClr w14:val="tx1"/>
            </w14:solidFill>
          </w14:textFill>
        </w:rPr>
        <w:t>粘土</w:t>
      </w:r>
      <w:bookmarkEnd w:id="379"/>
      <w:r>
        <w:rPr>
          <w:rFonts w:hint="eastAsia"/>
          <w:color w:val="000000" w:themeColor="text1"/>
          <w:lang w:val="zh-CN"/>
          <w14:textFill>
            <w14:solidFill>
              <w14:schemeClr w14:val="tx1"/>
            </w14:solidFill>
          </w14:textFill>
        </w:rPr>
        <w:t>草袋围堰</w:t>
      </w:r>
      <w:r>
        <w:rPr>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土袋围堰内抽水</w:t>
      </w:r>
      <w:r>
        <w:rPr>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开挖基坑</w:t>
      </w:r>
      <w:r>
        <w:rPr>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施工水泥搅拌桩</w:t>
      </w:r>
      <w:r>
        <w:rPr>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施工新建箱涵及出口侧挡墙</w:t>
      </w:r>
      <w:r>
        <w:rPr>
          <w:color w:val="000000" w:themeColor="text1"/>
          <w14:textFill>
            <w14:solidFill>
              <w14:schemeClr w14:val="tx1"/>
            </w14:solidFill>
          </w14:textFill>
        </w:rPr>
        <w:t>→</w:t>
      </w:r>
      <w:r>
        <w:rPr>
          <w:rFonts w:hint="eastAsia"/>
          <w:color w:val="000000" w:themeColor="text1"/>
          <w:lang w:val="zh-CN"/>
          <w14:textFill>
            <w14:solidFill>
              <w14:schemeClr w14:val="tx1"/>
            </w14:solidFill>
          </w14:textFill>
        </w:rPr>
        <w:t>施工</w:t>
      </w:r>
      <w:bookmarkStart w:id="380" w:name="hmcheck_d86c4d17cd30489883376669515849a8"/>
      <w:r>
        <w:rPr>
          <w:rFonts w:hint="eastAsia"/>
          <w:color w:val="000000" w:themeColor="text1"/>
          <w:shd w:val="clear" w:fill="FFAFAA"/>
          <w:lang w:val="zh-CN"/>
          <w14:textFill>
            <w14:solidFill>
              <w14:schemeClr w14:val="tx1"/>
            </w14:solidFill>
          </w14:textFill>
        </w:rPr>
        <w:t>台后</w:t>
      </w:r>
      <w:bookmarkEnd w:id="380"/>
      <w:r>
        <w:rPr>
          <w:rFonts w:hint="eastAsia"/>
          <w:color w:val="000000" w:themeColor="text1"/>
          <w:lang w:val="zh-CN"/>
          <w14:textFill>
            <w14:solidFill>
              <w14:schemeClr w14:val="tx1"/>
            </w14:solidFill>
          </w14:textFill>
        </w:rPr>
        <w:t>搭板、路侧防撞护栏等附属设施。</w:t>
      </w:r>
    </w:p>
    <w:p w14:paraId="3B48F994">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施工导流：</w:t>
      </w:r>
    </w:p>
    <w:p w14:paraId="1C5AFF13">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①导流方式：工程施工作业面宽，可分段同时进行施工。临时围堰沿河道中线纵向布置；围堰按2.0m 高设计，堰体采用基础开挖土料填筑。围堰施工安排在枯水期进行，围堰填筑用土主要利用开挖土料，用低水位期先上游后下游进行围堰填筑，采用机械分层填筑施工。</w:t>
      </w:r>
    </w:p>
    <w:p w14:paraId="04A0DD22">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②围堰设计：拟通过围堰拦蓄施工期洪水，结合水泵抽水导流。采用简易袋装土围堰形成基础基坑。围堰土石可利用护岸基础开挖料进行填筑，围堰断面顶宽1.5m，高度2.0m，上、下游边坡均为1:1，迎水面采用复合土工膜防渗，用袋装土点压。施工中基坑渗水采用2.2kW 水泵降排。</w:t>
      </w:r>
    </w:p>
    <w:p w14:paraId="4B24666C">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LNG天然气管道保护涵施工</w:t>
      </w:r>
    </w:p>
    <w:p w14:paraId="3504A9F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本项目主线大埔大桥在桩号K2+144.5处上跨的管道为中海油LNG管线，与桥墩最小距离约为11.94m，采用设置1—1.6×0.7m盖板涵跨越管道方案，全长约25m。</w:t>
      </w:r>
    </w:p>
    <w:p w14:paraId="2B0493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为保证管线安全，桥梁段盖板涵应该在桩基施工前完成。</w:t>
      </w:r>
    </w:p>
    <w:p w14:paraId="113CDD6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施工工艺：施工准备→基坑开挖→涵洞垫层、基础、侧壁、盖板施工。</w:t>
      </w:r>
    </w:p>
    <w:p w14:paraId="723203EA">
      <w:pPr>
        <w:pStyle w:val="120"/>
        <w:rPr>
          <w:color w:val="000000" w:themeColor="text1"/>
          <w14:textFill>
            <w14:solidFill>
              <w14:schemeClr w14:val="tx1"/>
            </w14:solidFill>
          </w14:textFill>
        </w:rPr>
      </w:pPr>
      <w:bookmarkStart w:id="381" w:name="2.6.2筑路材料及运输条件"/>
      <w:bookmarkEnd w:id="381"/>
      <w:bookmarkStart w:id="382" w:name="2.7项目实施进度安排"/>
      <w:bookmarkEnd w:id="382"/>
      <w:bookmarkStart w:id="383" w:name="_Toc3566"/>
      <w:r>
        <w:rPr>
          <w:color w:val="000000" w:themeColor="text1"/>
          <w14:textFill>
            <w14:solidFill>
              <w14:schemeClr w14:val="tx1"/>
            </w14:solidFill>
          </w14:textFill>
        </w:rPr>
        <w:t>项目实施进度安排</w:t>
      </w:r>
      <w:bookmarkEnd w:id="383"/>
    </w:p>
    <w:p w14:paraId="054729B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根据设计，本项目总工期</w:t>
      </w:r>
      <w:r>
        <w:rPr>
          <w:color w:val="000000" w:themeColor="text1"/>
          <w14:textFill>
            <w14:solidFill>
              <w14:schemeClr w14:val="tx1"/>
            </w14:solidFill>
          </w14:textFill>
        </w:rPr>
        <w:t>18</w:t>
      </w:r>
      <w:r>
        <w:rPr>
          <w:rFonts w:hint="eastAsia"/>
          <w:color w:val="000000" w:themeColor="text1"/>
          <w14:textFill>
            <w14:solidFill>
              <w14:schemeClr w14:val="tx1"/>
            </w14:solidFill>
          </w14:textFill>
        </w:rPr>
        <w:t>个月（202</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月—20</w:t>
      </w:r>
      <w:r>
        <w:rPr>
          <w:color w:val="000000" w:themeColor="text1"/>
          <w14:textFill>
            <w14:solidFill>
              <w14:schemeClr w14:val="tx1"/>
            </w14:solidFill>
          </w14:textFill>
        </w:rPr>
        <w:t>26</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月），预计工程在202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年年底通车。</w:t>
      </w:r>
    </w:p>
    <w:p w14:paraId="2B0FA7DD">
      <w:pPr>
        <w:pStyle w:val="116"/>
        <w:rPr>
          <w:color w:val="000000" w:themeColor="text1"/>
          <w14:textFill>
            <w14:solidFill>
              <w14:schemeClr w14:val="tx1"/>
            </w14:solidFill>
          </w14:textFill>
        </w:rPr>
      </w:pPr>
      <w:bookmarkStart w:id="384" w:name="2.8工程分析"/>
      <w:bookmarkEnd w:id="384"/>
      <w:bookmarkStart w:id="385" w:name="_Toc458669853"/>
      <w:bookmarkStart w:id="386" w:name="_Toc439084083"/>
      <w:bookmarkStart w:id="387" w:name="_Toc193912372"/>
      <w:bookmarkStart w:id="388" w:name="_Toc153957820"/>
      <w:bookmarkStart w:id="389" w:name="_Toc446086646"/>
      <w:bookmarkStart w:id="390" w:name="_Toc440466980"/>
      <w:bookmarkStart w:id="391" w:name="_Toc159405465"/>
      <w:r>
        <w:rPr>
          <w:color w:val="000000" w:themeColor="text1"/>
          <w14:textFill>
            <w14:solidFill>
              <w14:schemeClr w14:val="tx1"/>
            </w14:solidFill>
          </w14:textFill>
        </w:rPr>
        <w:t>交通量</w:t>
      </w:r>
      <w:r>
        <w:rPr>
          <w:rFonts w:hint="eastAsia"/>
          <w:color w:val="000000" w:themeColor="text1"/>
          <w14:textFill>
            <w14:solidFill>
              <w14:schemeClr w14:val="tx1"/>
            </w14:solidFill>
          </w14:textFill>
        </w:rPr>
        <w:t>设计</w:t>
      </w:r>
      <w:bookmarkEnd w:id="385"/>
      <w:bookmarkEnd w:id="386"/>
      <w:bookmarkEnd w:id="387"/>
      <w:bookmarkEnd w:id="388"/>
      <w:bookmarkEnd w:id="389"/>
      <w:bookmarkEnd w:id="390"/>
      <w:bookmarkEnd w:id="391"/>
    </w:p>
    <w:p w14:paraId="79D48F2C">
      <w:pPr>
        <w:pStyle w:val="120"/>
        <w:rPr>
          <w:color w:val="000000" w:themeColor="text1"/>
          <w14:textFill>
            <w14:solidFill>
              <w14:schemeClr w14:val="tx1"/>
            </w14:solidFill>
          </w14:textFill>
        </w:rPr>
      </w:pPr>
      <w:bookmarkStart w:id="392" w:name="_Toc439084084"/>
      <w:r>
        <w:rPr>
          <w:rFonts w:hint="eastAsia"/>
          <w:color w:val="000000" w:themeColor="text1"/>
          <w14:textFill>
            <w14:solidFill>
              <w14:schemeClr w14:val="tx1"/>
            </w14:solidFill>
          </w14:textFill>
        </w:rPr>
        <w:t>工可相关交通特征分析</w:t>
      </w:r>
      <w:bookmarkEnd w:id="392"/>
    </w:p>
    <w:p w14:paraId="659D6CAC">
      <w:pPr>
        <w:ind w:firstLine="480"/>
        <w:rPr>
          <w:color w:val="000000" w:themeColor="text1"/>
          <w14:textFill>
            <w14:solidFill>
              <w14:schemeClr w14:val="tx1"/>
            </w14:solidFill>
          </w14:textFill>
        </w:rPr>
      </w:pPr>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全线</w:t>
      </w:r>
      <w:r>
        <w:rPr>
          <w:color w:val="000000" w:themeColor="text1"/>
          <w14:textFill>
            <w14:solidFill>
              <w14:schemeClr w14:val="tx1"/>
            </w14:solidFill>
          </w14:textFill>
        </w:rPr>
        <w:t>计划在2026年</w:t>
      </w:r>
      <w:r>
        <w:rPr>
          <w:rFonts w:hint="eastAsia"/>
          <w:color w:val="000000" w:themeColor="text1"/>
          <w14:textFill>
            <w14:solidFill>
              <w14:schemeClr w14:val="tx1"/>
            </w14:solidFill>
          </w14:textFill>
        </w:rPr>
        <w:t>年底通车</w:t>
      </w:r>
      <w:r>
        <w:rPr>
          <w:color w:val="000000" w:themeColor="text1"/>
          <w14:textFill>
            <w14:solidFill>
              <w14:schemeClr w14:val="tx1"/>
            </w14:solidFill>
          </w14:textFill>
        </w:rPr>
        <w:t>，根据工可报告对本项目趋势交通量、诱增交通量的预测分析结果，本项目全线各特征年交通量预测如</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_Ref140573483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表3.8-1</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5E809F48">
      <w:pPr>
        <w:pStyle w:val="87"/>
        <w:spacing w:before="120"/>
        <w:rPr>
          <w:color w:val="000000" w:themeColor="text1"/>
          <w14:textFill>
            <w14:solidFill>
              <w14:schemeClr w14:val="tx1"/>
            </w14:solidFill>
          </w14:textFill>
        </w:rPr>
      </w:pPr>
      <w:bookmarkStart w:id="393" w:name="_Ref140573483"/>
      <w:r>
        <w:rPr>
          <w:rFonts w:hint="eastAsia"/>
          <w:color w:val="000000" w:themeColor="text1"/>
          <w14:textFill>
            <w14:solidFill>
              <w14:schemeClr w14:val="tx1"/>
            </w14:solidFill>
          </w14:textFill>
        </w:rPr>
        <w:t>工可</w:t>
      </w:r>
      <w:r>
        <w:rPr>
          <w:color w:val="000000" w:themeColor="text1"/>
          <w14:textFill>
            <w14:solidFill>
              <w14:schemeClr w14:val="tx1"/>
            </w14:solidFill>
          </w14:textFill>
        </w:rPr>
        <w:t>交通量预测结果</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单位：</w:t>
      </w:r>
      <w:bookmarkStart w:id="394" w:name="hmcheck_aa93dc31bdb9409b9b2565aab0143938"/>
      <w:r>
        <w:rPr>
          <w:rFonts w:hint="eastAsia"/>
          <w:color w:val="000000" w:themeColor="text1"/>
          <w:shd w:val="clear" w:fill="FFAFAA"/>
          <w14:textFill>
            <w14:solidFill>
              <w14:schemeClr w14:val="tx1"/>
            </w14:solidFill>
          </w14:textFill>
        </w:rPr>
        <w:t>pcu</w:t>
      </w:r>
      <w:bookmarkEnd w:id="394"/>
      <w:r>
        <w:rPr>
          <w:rFonts w:hint="eastAsia"/>
          <w:color w:val="000000" w:themeColor="text1"/>
          <w14:textFill>
            <w14:solidFill>
              <w14:schemeClr w14:val="tx1"/>
            </w14:solidFill>
          </w14:textFill>
        </w:rPr>
        <w:t>/d（标准小客车）</w:t>
      </w:r>
      <w:bookmarkEnd w:id="393"/>
    </w:p>
    <w:tbl>
      <w:tblPr>
        <w:tblStyle w:val="2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573"/>
        <w:gridCol w:w="1667"/>
        <w:gridCol w:w="1168"/>
        <w:gridCol w:w="1170"/>
        <w:gridCol w:w="1168"/>
        <w:gridCol w:w="1168"/>
        <w:gridCol w:w="1156"/>
      </w:tblGrid>
      <w:tr w14:paraId="5CDC73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97" w:hRule="atLeast"/>
          <w:tblHeader/>
          <w:jc w:val="center"/>
        </w:trPr>
        <w:tc>
          <w:tcPr>
            <w:tcW w:w="1786" w:type="pct"/>
            <w:gridSpan w:val="2"/>
            <w:tcBorders>
              <w:top w:val="single" w:color="000000" w:sz="12" w:space="0"/>
              <w:bottom w:val="single" w:color="000000" w:sz="4" w:space="0"/>
              <w:tl2br w:val="single" w:color="auto" w:sz="4" w:space="0"/>
            </w:tcBorders>
            <w:vAlign w:val="center"/>
          </w:tcPr>
          <w:p w14:paraId="0C04D559">
            <w:pPr>
              <w:pStyle w:val="105"/>
              <w:ind w:firstLine="1260" w:firstLineChars="600"/>
              <w:jc w:val="center"/>
              <w:rPr>
                <w:color w:val="000000" w:themeColor="text1"/>
                <w14:textFill>
                  <w14:solidFill>
                    <w14:schemeClr w14:val="tx1"/>
                  </w14:solidFill>
                </w14:textFill>
              </w:rPr>
            </w:pPr>
            <w:r>
              <w:rPr>
                <w:color w:val="000000" w:themeColor="text1"/>
                <w14:textFill>
                  <w14:solidFill>
                    <w14:schemeClr w14:val="tx1"/>
                  </w14:solidFill>
                </w14:textFill>
              </w:rPr>
              <w:t>特征年</w:t>
            </w:r>
          </w:p>
          <w:p w14:paraId="5101DE8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交通量</w:t>
            </w:r>
          </w:p>
        </w:tc>
        <w:tc>
          <w:tcPr>
            <w:tcW w:w="644" w:type="pct"/>
            <w:vAlign w:val="center"/>
          </w:tcPr>
          <w:p w14:paraId="63B0501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2025</w:t>
            </w:r>
            <w:r>
              <w:rPr>
                <w:rFonts w:hint="eastAsia"/>
                <w:color w:val="000000" w:themeColor="text1"/>
                <w14:textFill>
                  <w14:solidFill>
                    <w14:schemeClr w14:val="tx1"/>
                  </w14:solidFill>
                </w14:textFill>
              </w:rPr>
              <w:t>年</w:t>
            </w:r>
          </w:p>
        </w:tc>
        <w:tc>
          <w:tcPr>
            <w:tcW w:w="645" w:type="pct"/>
            <w:vAlign w:val="center"/>
          </w:tcPr>
          <w:p w14:paraId="13C15F5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年</w:t>
            </w:r>
          </w:p>
        </w:tc>
        <w:tc>
          <w:tcPr>
            <w:tcW w:w="644" w:type="pct"/>
            <w:vAlign w:val="center"/>
          </w:tcPr>
          <w:p w14:paraId="0190A05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年</w:t>
            </w:r>
          </w:p>
        </w:tc>
        <w:tc>
          <w:tcPr>
            <w:tcW w:w="644" w:type="pct"/>
            <w:vAlign w:val="center"/>
          </w:tcPr>
          <w:p w14:paraId="080159D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39</w:t>
            </w:r>
            <w:r>
              <w:rPr>
                <w:rFonts w:hint="eastAsia"/>
                <w:color w:val="000000" w:themeColor="text1"/>
                <w14:textFill>
                  <w14:solidFill>
                    <w14:schemeClr w14:val="tx1"/>
                  </w14:solidFill>
                </w14:textFill>
              </w:rPr>
              <w:t>年</w:t>
            </w:r>
          </w:p>
        </w:tc>
        <w:tc>
          <w:tcPr>
            <w:tcW w:w="637" w:type="pct"/>
            <w:vAlign w:val="center"/>
          </w:tcPr>
          <w:p w14:paraId="71EBCA8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044</w:t>
            </w:r>
            <w:r>
              <w:rPr>
                <w:rFonts w:hint="eastAsia"/>
                <w:color w:val="000000" w:themeColor="text1"/>
                <w14:textFill>
                  <w14:solidFill>
                    <w14:schemeClr w14:val="tx1"/>
                  </w14:solidFill>
                </w14:textFill>
              </w:rPr>
              <w:t>年</w:t>
            </w:r>
          </w:p>
        </w:tc>
      </w:tr>
      <w:tr w14:paraId="71ACAC3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70" w:hRule="atLeast"/>
          <w:tblHeader/>
          <w:jc w:val="center"/>
        </w:trPr>
        <w:tc>
          <w:tcPr>
            <w:tcW w:w="867" w:type="pct"/>
            <w:tcBorders>
              <w:top w:val="single" w:color="000000" w:sz="4" w:space="0"/>
            </w:tcBorders>
            <w:vAlign w:val="center"/>
          </w:tcPr>
          <w:p w14:paraId="042FA95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p>
        </w:tc>
        <w:tc>
          <w:tcPr>
            <w:tcW w:w="919" w:type="pct"/>
            <w:tcBorders>
              <w:top w:val="single" w:color="000000" w:sz="4" w:space="0"/>
            </w:tcBorders>
            <w:vAlign w:val="center"/>
          </w:tcPr>
          <w:p w14:paraId="3F63960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交通量</w:t>
            </w:r>
          </w:p>
        </w:tc>
        <w:tc>
          <w:tcPr>
            <w:tcW w:w="644" w:type="pct"/>
            <w:vAlign w:val="center"/>
          </w:tcPr>
          <w:p w14:paraId="2682670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5732</w:t>
            </w:r>
          </w:p>
        </w:tc>
        <w:tc>
          <w:tcPr>
            <w:tcW w:w="645" w:type="pct"/>
            <w:vAlign w:val="center"/>
          </w:tcPr>
          <w:p w14:paraId="036CC7F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6762</w:t>
            </w:r>
          </w:p>
        </w:tc>
        <w:tc>
          <w:tcPr>
            <w:tcW w:w="644" w:type="pct"/>
            <w:vAlign w:val="center"/>
          </w:tcPr>
          <w:p w14:paraId="37A8DA3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7298</w:t>
            </w:r>
          </w:p>
        </w:tc>
        <w:tc>
          <w:tcPr>
            <w:tcW w:w="644" w:type="pct"/>
            <w:vAlign w:val="center"/>
          </w:tcPr>
          <w:p w14:paraId="78B0EA3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7836</w:t>
            </w:r>
          </w:p>
        </w:tc>
        <w:tc>
          <w:tcPr>
            <w:tcW w:w="637" w:type="pct"/>
            <w:vAlign w:val="center"/>
          </w:tcPr>
          <w:p w14:paraId="5FE9A4C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8335</w:t>
            </w:r>
          </w:p>
        </w:tc>
      </w:tr>
    </w:tbl>
    <w:p w14:paraId="386F079E">
      <w:pPr>
        <w:pStyle w:val="124"/>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项目车流量预测采用</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工可</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报告中交通量预测结果，对于</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工可</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未提供交通量数据的预测年平均日交通量，本评价采取增长率法进行计算，预测结果见</w:t>
      </w:r>
      <w:r>
        <w:rPr>
          <w:snapToGrid w:val="0"/>
          <w:color w:val="000000" w:themeColor="text1"/>
          <w14:textFill>
            <w14:solidFill>
              <w14:schemeClr w14:val="tx1"/>
            </w14:solidFill>
          </w14:textFill>
        </w:rPr>
        <w:fldChar w:fldCharType="begin"/>
      </w:r>
      <w:r>
        <w:rPr>
          <w:snapToGrid w:val="0"/>
          <w:color w:val="000000" w:themeColor="text1"/>
          <w14:textFill>
            <w14:solidFill>
              <w14:schemeClr w14:val="tx1"/>
            </w14:solidFill>
          </w14:textFill>
        </w:rPr>
        <w:instrText xml:space="preserve"> </w:instrText>
      </w:r>
      <w:r>
        <w:rPr>
          <w:rFonts w:hint="eastAsia"/>
          <w:snapToGrid w:val="0"/>
          <w:color w:val="000000" w:themeColor="text1"/>
          <w14:textFill>
            <w14:solidFill>
              <w14:schemeClr w14:val="tx1"/>
            </w14:solidFill>
          </w14:textFill>
        </w:rPr>
        <w:instrText xml:space="preserve">REF _Ref140573493 \r \h</w:instrText>
      </w:r>
      <w:r>
        <w:rPr>
          <w:snapToGrid w:val="0"/>
          <w:color w:val="000000" w:themeColor="text1"/>
          <w14:textFill>
            <w14:solidFill>
              <w14:schemeClr w14:val="tx1"/>
            </w14:solidFill>
          </w14:textFill>
        </w:rPr>
        <w:instrText xml:space="preserve">  \* MERGEFORMAT </w:instrText>
      </w:r>
      <w:r>
        <w:rPr>
          <w:snapToGrid w:val="0"/>
          <w:color w:val="000000" w:themeColor="text1"/>
          <w14:textFill>
            <w14:solidFill>
              <w14:schemeClr w14:val="tx1"/>
            </w14:solidFill>
          </w14:textFill>
        </w:rPr>
        <w:fldChar w:fldCharType="separate"/>
      </w:r>
      <w:r>
        <w:rPr>
          <w:rFonts w:hint="eastAsia"/>
          <w:snapToGrid w:val="0"/>
          <w:color w:val="000000" w:themeColor="text1"/>
          <w14:textFill>
            <w14:solidFill>
              <w14:schemeClr w14:val="tx1"/>
            </w14:solidFill>
          </w14:textFill>
        </w:rPr>
        <w:t>表3.8-2</w:t>
      </w:r>
      <w:r>
        <w:rPr>
          <w:snapToGrid w:val="0"/>
          <w:color w:val="000000" w:themeColor="text1"/>
          <w14:textFill>
            <w14:solidFill>
              <w14:schemeClr w14:val="tx1"/>
            </w14:solidFill>
          </w14:textFill>
        </w:rPr>
        <w:fldChar w:fldCharType="end"/>
      </w:r>
      <w:r>
        <w:rPr>
          <w:rFonts w:hint="eastAsia"/>
          <w:snapToGrid w:val="0"/>
          <w:color w:val="000000" w:themeColor="text1"/>
          <w14:textFill>
            <w14:solidFill>
              <w14:schemeClr w14:val="tx1"/>
            </w14:solidFill>
          </w14:textFill>
        </w:rPr>
        <w:t>。</w:t>
      </w:r>
    </w:p>
    <w:p w14:paraId="64F75884">
      <w:pPr>
        <w:pStyle w:val="87"/>
        <w:spacing w:before="120"/>
        <w:rPr>
          <w:color w:val="000000" w:themeColor="text1"/>
          <w14:textFill>
            <w14:solidFill>
              <w14:schemeClr w14:val="tx1"/>
            </w14:solidFill>
          </w14:textFill>
        </w:rPr>
      </w:pPr>
      <w:bookmarkStart w:id="395" w:name="_Ref140573493"/>
      <w:r>
        <w:rPr>
          <w:rFonts w:hint="eastAsia"/>
          <w:color w:val="000000" w:themeColor="text1"/>
          <w14:textFill>
            <w14:solidFill>
              <w14:schemeClr w14:val="tx1"/>
            </w14:solidFill>
          </w14:textFill>
        </w:rPr>
        <w:t xml:space="preserve">公路预测年交通量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单位：</w:t>
      </w:r>
      <w:bookmarkStart w:id="396" w:name="hmcheck_a5f73f598ca34aa98b7cbf0eeb8944c6"/>
      <w:r>
        <w:rPr>
          <w:rFonts w:hint="eastAsia"/>
          <w:color w:val="000000" w:themeColor="text1"/>
          <w:shd w:val="clear" w:fill="FFAFAA"/>
          <w14:textFill>
            <w14:solidFill>
              <w14:schemeClr w14:val="tx1"/>
            </w14:solidFill>
          </w14:textFill>
        </w:rPr>
        <w:t>pcu</w:t>
      </w:r>
      <w:bookmarkEnd w:id="396"/>
      <w:r>
        <w:rPr>
          <w:rFonts w:hint="eastAsia"/>
          <w:color w:val="000000" w:themeColor="text1"/>
          <w14:textFill>
            <w14:solidFill>
              <w14:schemeClr w14:val="tx1"/>
            </w14:solidFill>
          </w14:textFill>
        </w:rPr>
        <w:t>/d（标准小客车）</w:t>
      </w:r>
      <w:bookmarkEnd w:id="395"/>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830"/>
        <w:gridCol w:w="1822"/>
        <w:gridCol w:w="1818"/>
        <w:gridCol w:w="1816"/>
      </w:tblGrid>
      <w:tr w14:paraId="41ABA9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jc w:val="center"/>
        </w:trPr>
        <w:tc>
          <w:tcPr>
            <w:tcW w:w="2062" w:type="pct"/>
            <w:tcBorders>
              <w:tl2br w:val="single" w:color="auto" w:sz="4" w:space="0"/>
            </w:tcBorders>
            <w:vAlign w:val="center"/>
          </w:tcPr>
          <w:p w14:paraId="7502133C">
            <w:pPr>
              <w:pStyle w:val="105"/>
              <w:ind w:firstLine="2520" w:firstLineChars="12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年份</w:t>
            </w:r>
          </w:p>
          <w:p w14:paraId="44DAAEC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w:t>
            </w:r>
          </w:p>
        </w:tc>
        <w:tc>
          <w:tcPr>
            <w:tcW w:w="981" w:type="pct"/>
            <w:vAlign w:val="center"/>
          </w:tcPr>
          <w:p w14:paraId="7388B9F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2027</w:t>
            </w:r>
            <w:r>
              <w:rPr>
                <w:rFonts w:hint="eastAsia"/>
                <w:color w:val="000000" w:themeColor="text1"/>
                <w14:textFill>
                  <w14:solidFill>
                    <w14:schemeClr w14:val="tx1"/>
                  </w14:solidFill>
                </w14:textFill>
              </w:rPr>
              <w:t>年</w:t>
            </w:r>
          </w:p>
        </w:tc>
        <w:tc>
          <w:tcPr>
            <w:tcW w:w="979" w:type="pct"/>
            <w:vAlign w:val="center"/>
          </w:tcPr>
          <w:p w14:paraId="040D25B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2033</w:t>
            </w:r>
            <w:r>
              <w:rPr>
                <w:rFonts w:hint="eastAsia"/>
                <w:color w:val="000000" w:themeColor="text1"/>
                <w14:textFill>
                  <w14:solidFill>
                    <w14:schemeClr w14:val="tx1"/>
                  </w14:solidFill>
                </w14:textFill>
              </w:rPr>
              <w:t>年</w:t>
            </w:r>
          </w:p>
        </w:tc>
        <w:tc>
          <w:tcPr>
            <w:tcW w:w="978" w:type="pct"/>
            <w:vAlign w:val="center"/>
          </w:tcPr>
          <w:p w14:paraId="5833E54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2041</w:t>
            </w:r>
            <w:r>
              <w:rPr>
                <w:rFonts w:hint="eastAsia"/>
                <w:color w:val="000000" w:themeColor="text1"/>
                <w14:textFill>
                  <w14:solidFill>
                    <w14:schemeClr w14:val="tx1"/>
                  </w14:solidFill>
                </w14:textFill>
              </w:rPr>
              <w:t>年</w:t>
            </w:r>
          </w:p>
        </w:tc>
      </w:tr>
      <w:tr w14:paraId="12022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62" w:type="pct"/>
            <w:vAlign w:val="center"/>
          </w:tcPr>
          <w:p w14:paraId="68548DF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全线交通量</w:t>
            </w:r>
          </w:p>
        </w:tc>
        <w:tc>
          <w:tcPr>
            <w:tcW w:w="981" w:type="pct"/>
            <w:vAlign w:val="center"/>
          </w:tcPr>
          <w:p w14:paraId="4EDC5EC1">
            <w:pPr>
              <w:pStyle w:val="105"/>
              <w:jc w:val="center"/>
              <w:rPr>
                <w:color w:val="000000" w:themeColor="text1"/>
                <w14:textFill>
                  <w14:solidFill>
                    <w14:schemeClr w14:val="tx1"/>
                  </w14:solidFill>
                </w14:textFill>
              </w:rPr>
            </w:pPr>
            <w:r>
              <w:rPr>
                <w:rFonts w:cs="Times New Roman"/>
                <w:color w:val="000000" w:themeColor="text1"/>
                <w:sz w:val="22"/>
                <w:szCs w:val="22"/>
                <w14:textFill>
                  <w14:solidFill>
                    <w14:schemeClr w14:val="tx1"/>
                  </w14:solidFill>
                </w14:textFill>
              </w:rPr>
              <w:t xml:space="preserve">6124 </w:t>
            </w:r>
          </w:p>
        </w:tc>
        <w:tc>
          <w:tcPr>
            <w:tcW w:w="979" w:type="pct"/>
            <w:vAlign w:val="center"/>
          </w:tcPr>
          <w:p w14:paraId="4547A1E7">
            <w:pPr>
              <w:pStyle w:val="105"/>
              <w:jc w:val="center"/>
              <w:rPr>
                <w:color w:val="000000" w:themeColor="text1"/>
                <w14:textFill>
                  <w14:solidFill>
                    <w14:schemeClr w14:val="tx1"/>
                  </w14:solidFill>
                </w14:textFill>
              </w:rPr>
            </w:pPr>
            <w:r>
              <w:rPr>
                <w:rFonts w:cs="Times New Roman"/>
                <w:color w:val="000000" w:themeColor="text1"/>
                <w:sz w:val="22"/>
                <w:szCs w:val="22"/>
                <w14:textFill>
                  <w14:solidFill>
                    <w14:schemeClr w14:val="tx1"/>
                  </w14:solidFill>
                </w14:textFill>
              </w:rPr>
              <w:t xml:space="preserve">7079 </w:t>
            </w:r>
          </w:p>
        </w:tc>
        <w:tc>
          <w:tcPr>
            <w:tcW w:w="978" w:type="pct"/>
            <w:vAlign w:val="center"/>
          </w:tcPr>
          <w:p w14:paraId="0840CF57">
            <w:pPr>
              <w:pStyle w:val="105"/>
              <w:jc w:val="center"/>
              <w:rPr>
                <w:color w:val="000000" w:themeColor="text1"/>
                <w14:textFill>
                  <w14:solidFill>
                    <w14:schemeClr w14:val="tx1"/>
                  </w14:solidFill>
                </w14:textFill>
              </w:rPr>
            </w:pPr>
            <w:r>
              <w:rPr>
                <w:rFonts w:cs="Times New Roman"/>
                <w:color w:val="000000" w:themeColor="text1"/>
                <w:sz w:val="22"/>
                <w:szCs w:val="22"/>
                <w14:textFill>
                  <w14:solidFill>
                    <w14:schemeClr w14:val="tx1"/>
                  </w14:solidFill>
                </w14:textFill>
              </w:rPr>
              <w:t xml:space="preserve">8032 </w:t>
            </w:r>
          </w:p>
        </w:tc>
      </w:tr>
    </w:tbl>
    <w:p w14:paraId="089477A0">
      <w:pPr>
        <w:pStyle w:val="120"/>
        <w:spacing w:before="120"/>
        <w:rPr>
          <w:color w:val="000000" w:themeColor="text1"/>
          <w14:textFill>
            <w14:solidFill>
              <w14:schemeClr w14:val="tx1"/>
            </w14:solidFill>
          </w14:textFill>
        </w:rPr>
      </w:pPr>
      <w:bookmarkStart w:id="397" w:name="_Toc439084085"/>
      <w:r>
        <w:rPr>
          <w:rFonts w:hint="eastAsia"/>
          <w:color w:val="000000" w:themeColor="text1"/>
          <w14:textFill>
            <w14:solidFill>
              <w14:schemeClr w14:val="tx1"/>
            </w14:solidFill>
          </w14:textFill>
        </w:rPr>
        <w:t>绝对交通量预测</w:t>
      </w:r>
      <w:bookmarkEnd w:id="397"/>
    </w:p>
    <w:p w14:paraId="70E3DB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根据交通运输部《关于调整公路交通情况调查车型分类折算系数的通知》厅规划字</w:t>
      </w:r>
      <w:bookmarkStart w:id="398" w:name="hmcheck_45b30845cd8d4808b11b9564f5e55c17"/>
      <w:r>
        <w:rPr>
          <w:rFonts w:hint="eastAsia"/>
          <w:color w:val="000000" w:themeColor="text1"/>
          <w:shd w:val="clear" w:fill="FFAFAA"/>
          <w14:textFill>
            <w14:solidFill>
              <w14:schemeClr w14:val="tx1"/>
            </w14:solidFill>
          </w14:textFill>
        </w:rPr>
        <w:t>[2010]</w:t>
      </w:r>
      <w:bookmarkEnd w:id="398"/>
      <w:r>
        <w:rPr>
          <w:rFonts w:hint="eastAsia"/>
          <w:color w:val="000000" w:themeColor="text1"/>
          <w14:textFill>
            <w14:solidFill>
              <w14:schemeClr w14:val="tx1"/>
            </w14:solidFill>
          </w14:textFill>
        </w:rPr>
        <w:t>205 号，工可车型折算系数见下表。</w:t>
      </w:r>
    </w:p>
    <w:p w14:paraId="2364EAF2">
      <w:pPr>
        <w:pStyle w:val="87"/>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工可阶段的折算系数</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657"/>
        <w:gridCol w:w="661"/>
        <w:gridCol w:w="656"/>
        <w:gridCol w:w="658"/>
        <w:gridCol w:w="874"/>
        <w:gridCol w:w="874"/>
        <w:gridCol w:w="874"/>
        <w:gridCol w:w="874"/>
        <w:gridCol w:w="868"/>
      </w:tblGrid>
      <w:tr w14:paraId="756AB69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26" w:type="dxa"/>
            <w:vAlign w:val="center"/>
          </w:tcPr>
          <w:p w14:paraId="3379936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车型</w:t>
            </w:r>
          </w:p>
        </w:tc>
        <w:tc>
          <w:tcPr>
            <w:tcW w:w="5254" w:type="dxa"/>
            <w:gridSpan w:val="7"/>
            <w:vAlign w:val="center"/>
          </w:tcPr>
          <w:p w14:paraId="261262A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汽车</w:t>
            </w:r>
          </w:p>
        </w:tc>
        <w:tc>
          <w:tcPr>
            <w:tcW w:w="874" w:type="dxa"/>
            <w:vAlign w:val="center"/>
          </w:tcPr>
          <w:p w14:paraId="03F8B27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摩托车</w:t>
            </w:r>
          </w:p>
        </w:tc>
        <w:tc>
          <w:tcPr>
            <w:tcW w:w="868" w:type="dxa"/>
            <w:vAlign w:val="center"/>
          </w:tcPr>
          <w:p w14:paraId="13D08B7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拖拉机</w:t>
            </w:r>
          </w:p>
        </w:tc>
      </w:tr>
      <w:tr w14:paraId="73E47A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26" w:type="dxa"/>
            <w:vAlign w:val="center"/>
          </w:tcPr>
          <w:p w14:paraId="5961760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一级分类</w:t>
            </w:r>
          </w:p>
        </w:tc>
        <w:tc>
          <w:tcPr>
            <w:tcW w:w="1318" w:type="dxa"/>
            <w:gridSpan w:val="2"/>
            <w:vAlign w:val="center"/>
          </w:tcPr>
          <w:p w14:paraId="51E4EBE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小型车</w:t>
            </w:r>
          </w:p>
        </w:tc>
        <w:tc>
          <w:tcPr>
            <w:tcW w:w="1314" w:type="dxa"/>
            <w:gridSpan w:val="2"/>
            <w:vAlign w:val="center"/>
          </w:tcPr>
          <w:p w14:paraId="70FEFD8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中型车</w:t>
            </w:r>
          </w:p>
        </w:tc>
        <w:tc>
          <w:tcPr>
            <w:tcW w:w="874" w:type="dxa"/>
            <w:vAlign w:val="center"/>
          </w:tcPr>
          <w:p w14:paraId="18EE005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大型车</w:t>
            </w:r>
          </w:p>
        </w:tc>
        <w:tc>
          <w:tcPr>
            <w:tcW w:w="1748" w:type="dxa"/>
            <w:gridSpan w:val="2"/>
            <w:vAlign w:val="center"/>
          </w:tcPr>
          <w:p w14:paraId="1BA73C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特大型车</w:t>
            </w:r>
          </w:p>
        </w:tc>
        <w:tc>
          <w:tcPr>
            <w:tcW w:w="874" w:type="dxa"/>
            <w:vMerge w:val="restart"/>
            <w:vAlign w:val="center"/>
          </w:tcPr>
          <w:p w14:paraId="022AA1B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摩托车</w:t>
            </w:r>
          </w:p>
        </w:tc>
        <w:tc>
          <w:tcPr>
            <w:tcW w:w="868" w:type="dxa"/>
            <w:vMerge w:val="restart"/>
            <w:vAlign w:val="center"/>
          </w:tcPr>
          <w:p w14:paraId="4B4D928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拖拉机</w:t>
            </w:r>
          </w:p>
        </w:tc>
      </w:tr>
      <w:tr w14:paraId="7F49026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26" w:type="dxa"/>
            <w:vAlign w:val="center"/>
          </w:tcPr>
          <w:p w14:paraId="4FDE3F4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二级分类</w:t>
            </w:r>
          </w:p>
        </w:tc>
        <w:tc>
          <w:tcPr>
            <w:tcW w:w="657" w:type="dxa"/>
            <w:vAlign w:val="center"/>
          </w:tcPr>
          <w:p w14:paraId="615A411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中小</w:t>
            </w:r>
          </w:p>
          <w:p w14:paraId="7BD681C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客车</w:t>
            </w:r>
          </w:p>
        </w:tc>
        <w:tc>
          <w:tcPr>
            <w:tcW w:w="661" w:type="dxa"/>
            <w:vAlign w:val="center"/>
          </w:tcPr>
          <w:p w14:paraId="223B642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小型</w:t>
            </w:r>
          </w:p>
          <w:p w14:paraId="1A7EEDF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货车</w:t>
            </w:r>
          </w:p>
        </w:tc>
        <w:tc>
          <w:tcPr>
            <w:tcW w:w="656" w:type="dxa"/>
            <w:vAlign w:val="center"/>
          </w:tcPr>
          <w:p w14:paraId="66D5FEB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w:t>
            </w:r>
          </w:p>
          <w:p w14:paraId="0076854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客车</w:t>
            </w:r>
          </w:p>
        </w:tc>
        <w:tc>
          <w:tcPr>
            <w:tcW w:w="658" w:type="dxa"/>
            <w:vAlign w:val="center"/>
          </w:tcPr>
          <w:p w14:paraId="16A5F8D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中型</w:t>
            </w:r>
          </w:p>
          <w:p w14:paraId="4A40A35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货车</w:t>
            </w:r>
          </w:p>
        </w:tc>
        <w:tc>
          <w:tcPr>
            <w:tcW w:w="874" w:type="dxa"/>
            <w:vAlign w:val="center"/>
          </w:tcPr>
          <w:p w14:paraId="78D5957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大型</w:t>
            </w:r>
          </w:p>
          <w:p w14:paraId="59EF81A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货车</w:t>
            </w:r>
          </w:p>
        </w:tc>
        <w:tc>
          <w:tcPr>
            <w:tcW w:w="874" w:type="dxa"/>
            <w:vAlign w:val="center"/>
          </w:tcPr>
          <w:p w14:paraId="457B5C6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特大型</w:t>
            </w:r>
          </w:p>
          <w:p w14:paraId="6FB8ACC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货车</w:t>
            </w:r>
          </w:p>
        </w:tc>
        <w:tc>
          <w:tcPr>
            <w:tcW w:w="874" w:type="dxa"/>
            <w:vAlign w:val="center"/>
          </w:tcPr>
          <w:p w14:paraId="4475E85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集装箱</w:t>
            </w:r>
          </w:p>
          <w:p w14:paraId="1941F69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w:t>
            </w:r>
          </w:p>
        </w:tc>
        <w:tc>
          <w:tcPr>
            <w:tcW w:w="874" w:type="dxa"/>
            <w:vMerge w:val="continue"/>
            <w:vAlign w:val="center"/>
          </w:tcPr>
          <w:p w14:paraId="75108C5B">
            <w:pPr>
              <w:pStyle w:val="105"/>
              <w:jc w:val="center"/>
              <w:rPr>
                <w:color w:val="000000" w:themeColor="text1"/>
                <w14:textFill>
                  <w14:solidFill>
                    <w14:schemeClr w14:val="tx1"/>
                  </w14:solidFill>
                </w14:textFill>
              </w:rPr>
            </w:pPr>
          </w:p>
        </w:tc>
        <w:tc>
          <w:tcPr>
            <w:tcW w:w="868" w:type="dxa"/>
            <w:vMerge w:val="continue"/>
            <w:vAlign w:val="center"/>
          </w:tcPr>
          <w:p w14:paraId="775E7DE4">
            <w:pPr>
              <w:pStyle w:val="105"/>
              <w:jc w:val="center"/>
              <w:rPr>
                <w:color w:val="000000" w:themeColor="text1"/>
                <w14:textFill>
                  <w14:solidFill>
                    <w14:schemeClr w14:val="tx1"/>
                  </w14:solidFill>
                </w14:textFill>
              </w:rPr>
            </w:pPr>
          </w:p>
        </w:tc>
      </w:tr>
      <w:tr w14:paraId="744C6A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526" w:type="dxa"/>
            <w:vAlign w:val="center"/>
          </w:tcPr>
          <w:p w14:paraId="5FBB796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参考折算系数</w:t>
            </w:r>
          </w:p>
        </w:tc>
        <w:tc>
          <w:tcPr>
            <w:tcW w:w="657" w:type="dxa"/>
            <w:vAlign w:val="center"/>
          </w:tcPr>
          <w:p w14:paraId="7DE6ED4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61" w:type="dxa"/>
            <w:vAlign w:val="center"/>
          </w:tcPr>
          <w:p w14:paraId="23927E8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56" w:type="dxa"/>
            <w:vAlign w:val="center"/>
          </w:tcPr>
          <w:p w14:paraId="24AE363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658" w:type="dxa"/>
            <w:vAlign w:val="center"/>
          </w:tcPr>
          <w:p w14:paraId="795DE99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874" w:type="dxa"/>
            <w:vAlign w:val="center"/>
          </w:tcPr>
          <w:p w14:paraId="674DC56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874" w:type="dxa"/>
            <w:vAlign w:val="center"/>
          </w:tcPr>
          <w:p w14:paraId="48C202A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74" w:type="dxa"/>
            <w:vAlign w:val="center"/>
          </w:tcPr>
          <w:p w14:paraId="09B0420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74" w:type="dxa"/>
            <w:vAlign w:val="center"/>
          </w:tcPr>
          <w:p w14:paraId="2B602A6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68" w:type="dxa"/>
            <w:vAlign w:val="center"/>
          </w:tcPr>
          <w:p w14:paraId="72277BD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r>
    </w:tbl>
    <w:p w14:paraId="54E1BBF1">
      <w:pPr>
        <w:pStyle w:val="124"/>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根据《环境影响评价技术导则-声环境》（HJ2.4-2021）附录B.2 公路（道路）交通运输噪声预测模式，车型分类表详见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_Ref152338391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表3.8-4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37EAFC13">
      <w:pPr>
        <w:pStyle w:val="124"/>
        <w:rPr>
          <w:color w:val="000000" w:themeColor="text1"/>
          <w14:textFill>
            <w14:solidFill>
              <w14:schemeClr w14:val="tx1"/>
            </w14:solidFill>
          </w14:textFill>
        </w:rPr>
      </w:pPr>
    </w:p>
    <w:p w14:paraId="090B3194">
      <w:pPr>
        <w:pStyle w:val="124"/>
        <w:rPr>
          <w:color w:val="000000" w:themeColor="text1"/>
          <w14:textFill>
            <w14:solidFill>
              <w14:schemeClr w14:val="tx1"/>
            </w14:solidFill>
          </w14:textFill>
        </w:rPr>
      </w:pPr>
    </w:p>
    <w:p w14:paraId="55DD8472">
      <w:pPr>
        <w:pStyle w:val="87"/>
        <w:spacing w:before="120"/>
        <w:rPr>
          <w:color w:val="000000" w:themeColor="text1"/>
          <w14:textFill>
            <w14:solidFill>
              <w14:schemeClr w14:val="tx1"/>
            </w14:solidFill>
          </w14:textFill>
        </w:rPr>
      </w:pPr>
      <w:bookmarkStart w:id="399" w:name="_Ref152338391"/>
      <w:r>
        <w:rPr>
          <w:rFonts w:hint="eastAsia"/>
          <w:color w:val="000000" w:themeColor="text1"/>
          <w14:textFill>
            <w14:solidFill>
              <w14:schemeClr w14:val="tx1"/>
            </w14:solidFill>
          </w14:textFill>
        </w:rPr>
        <w:t>车型分类表</w:t>
      </w:r>
      <w:bookmarkEnd w:id="399"/>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51"/>
        <w:gridCol w:w="1558"/>
        <w:gridCol w:w="1702"/>
        <w:gridCol w:w="4959"/>
      </w:tblGrid>
      <w:tr w14:paraId="1A6A29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469" w:type="pct"/>
            <w:vAlign w:val="center"/>
          </w:tcPr>
          <w:p w14:paraId="28DD97C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车型</w:t>
            </w:r>
          </w:p>
        </w:tc>
        <w:tc>
          <w:tcPr>
            <w:tcW w:w="859" w:type="pct"/>
            <w:vAlign w:val="center"/>
          </w:tcPr>
          <w:p w14:paraId="4FEAB73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汽车代表车型</w:t>
            </w:r>
          </w:p>
        </w:tc>
        <w:tc>
          <w:tcPr>
            <w:tcW w:w="938" w:type="pct"/>
            <w:vAlign w:val="center"/>
          </w:tcPr>
          <w:p w14:paraId="09DA4FB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车辆折算系数</w:t>
            </w:r>
          </w:p>
        </w:tc>
        <w:tc>
          <w:tcPr>
            <w:tcW w:w="2734" w:type="pct"/>
            <w:vAlign w:val="center"/>
          </w:tcPr>
          <w:p w14:paraId="0DAC338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车型划分标准</w:t>
            </w:r>
          </w:p>
        </w:tc>
      </w:tr>
      <w:tr w14:paraId="61DB26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469" w:type="pct"/>
            <w:vAlign w:val="center"/>
          </w:tcPr>
          <w:p w14:paraId="0190DB0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w:t>
            </w:r>
          </w:p>
        </w:tc>
        <w:tc>
          <w:tcPr>
            <w:tcW w:w="859" w:type="pct"/>
            <w:vAlign w:val="center"/>
          </w:tcPr>
          <w:p w14:paraId="5BDF1CE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小客车</w:t>
            </w:r>
          </w:p>
        </w:tc>
        <w:tc>
          <w:tcPr>
            <w:tcW w:w="938" w:type="pct"/>
            <w:vAlign w:val="center"/>
          </w:tcPr>
          <w:p w14:paraId="6D4D994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2734" w:type="pct"/>
            <w:vAlign w:val="center"/>
          </w:tcPr>
          <w:p w14:paraId="75E5C00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座位≤19座的客车和载质量≤2t货车</w:t>
            </w:r>
          </w:p>
        </w:tc>
      </w:tr>
      <w:tr w14:paraId="5E4A1E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469" w:type="pct"/>
            <w:vAlign w:val="center"/>
          </w:tcPr>
          <w:p w14:paraId="072DDE6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w:t>
            </w:r>
          </w:p>
        </w:tc>
        <w:tc>
          <w:tcPr>
            <w:tcW w:w="859" w:type="pct"/>
            <w:vAlign w:val="center"/>
          </w:tcPr>
          <w:p w14:paraId="408BACC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中型车</w:t>
            </w:r>
          </w:p>
        </w:tc>
        <w:tc>
          <w:tcPr>
            <w:tcW w:w="938" w:type="pct"/>
            <w:vAlign w:val="center"/>
          </w:tcPr>
          <w:p w14:paraId="3587D3A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2734" w:type="pct"/>
            <w:vAlign w:val="center"/>
          </w:tcPr>
          <w:p w14:paraId="3F1BBAB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座位＞19座的客车和2t＜载质量≤7t货车</w:t>
            </w:r>
          </w:p>
        </w:tc>
      </w:tr>
      <w:tr w14:paraId="4F2C754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469" w:type="pct"/>
            <w:vMerge w:val="restart"/>
            <w:vAlign w:val="center"/>
          </w:tcPr>
          <w:p w14:paraId="329FFC9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w:t>
            </w:r>
          </w:p>
        </w:tc>
        <w:tc>
          <w:tcPr>
            <w:tcW w:w="859" w:type="pct"/>
            <w:vAlign w:val="center"/>
          </w:tcPr>
          <w:p w14:paraId="11A0038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大型车</w:t>
            </w:r>
          </w:p>
        </w:tc>
        <w:tc>
          <w:tcPr>
            <w:tcW w:w="938" w:type="pct"/>
            <w:vAlign w:val="center"/>
          </w:tcPr>
          <w:p w14:paraId="5C5E64C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2734" w:type="pct"/>
            <w:vAlign w:val="center"/>
          </w:tcPr>
          <w:p w14:paraId="320DA29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7t＜载质量≤20t货车</w:t>
            </w:r>
          </w:p>
        </w:tc>
      </w:tr>
      <w:tr w14:paraId="3C99BA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469" w:type="pct"/>
            <w:vMerge w:val="continue"/>
            <w:vAlign w:val="center"/>
          </w:tcPr>
          <w:p w14:paraId="48D9BF5A">
            <w:pPr>
              <w:pStyle w:val="105"/>
              <w:jc w:val="center"/>
              <w:rPr>
                <w:color w:val="000000" w:themeColor="text1"/>
                <w14:textFill>
                  <w14:solidFill>
                    <w14:schemeClr w14:val="tx1"/>
                  </w14:solidFill>
                </w14:textFill>
              </w:rPr>
            </w:pPr>
          </w:p>
        </w:tc>
        <w:tc>
          <w:tcPr>
            <w:tcW w:w="859" w:type="pct"/>
            <w:vAlign w:val="center"/>
          </w:tcPr>
          <w:p w14:paraId="1DF3CE2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汽车列车</w:t>
            </w:r>
          </w:p>
        </w:tc>
        <w:tc>
          <w:tcPr>
            <w:tcW w:w="938" w:type="pct"/>
            <w:vAlign w:val="center"/>
          </w:tcPr>
          <w:p w14:paraId="5C47A7D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2734" w:type="pct"/>
            <w:vAlign w:val="center"/>
          </w:tcPr>
          <w:p w14:paraId="684DC8E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载质量＞20t的货车</w:t>
            </w:r>
          </w:p>
        </w:tc>
      </w:tr>
    </w:tbl>
    <w:p w14:paraId="0E863861">
      <w:pPr>
        <w:pStyle w:val="851"/>
        <w:spacing w:before="120"/>
        <w:ind w:firstLine="480"/>
        <w:rPr>
          <w:color w:val="000000" w:themeColor="text1"/>
          <w14:textFill>
            <w14:solidFill>
              <w14:schemeClr w14:val="tx1"/>
            </w14:solidFill>
          </w14:textFill>
        </w:rPr>
      </w:pPr>
      <w:bookmarkStart w:id="400" w:name="hmcheck_a4a78e982bf94ff88e5624cfa6ede3d5"/>
      <w:bookmarkStart w:id="401" w:name="_Toc2911"/>
      <w:r>
        <w:rPr>
          <w:rFonts w:hint="eastAsia"/>
          <w:color w:val="000000" w:themeColor="text1"/>
          <w:shd w:val="clear" w:fill="FFAFAA"/>
          <w14:textFill>
            <w14:solidFill>
              <w14:schemeClr w14:val="tx1"/>
            </w14:solidFill>
          </w14:textFill>
        </w:rPr>
        <w:t>依据工</w:t>
      </w:r>
      <w:bookmarkEnd w:id="400"/>
      <w:r>
        <w:rPr>
          <w:rFonts w:hint="eastAsia"/>
          <w:color w:val="000000" w:themeColor="text1"/>
          <w14:textFill>
            <w14:solidFill>
              <w14:schemeClr w14:val="tx1"/>
            </w14:solidFill>
          </w14:textFill>
        </w:rPr>
        <w:t>可预测的车型比例构成结合车型增长率，核算项目各预测年份车型比，详见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_Ref190253234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表3.8-5</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，车流量的昼夜比为：</w:t>
      </w:r>
      <w:r>
        <w:rPr>
          <w:color w:val="000000" w:themeColor="text1"/>
          <w14:textFill>
            <w14:solidFill>
              <w14:schemeClr w14:val="tx1"/>
            </w14:solidFill>
          </w14:textFill>
        </w:rPr>
        <w:t>92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（昼间</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；夜间</w:t>
      </w:r>
      <w:r>
        <w:rPr>
          <w:color w:val="000000" w:themeColor="text1"/>
          <w14:textFill>
            <w14:solidFill>
              <w14:schemeClr w14:val="tx1"/>
            </w14:solidFill>
          </w14:textFill>
        </w:rPr>
        <w:t>22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）。本评价以</w:t>
      </w:r>
      <w:r>
        <w:rPr>
          <w:color w:val="000000" w:themeColor="text1"/>
          <w14:textFill>
            <w14:solidFill>
              <w14:schemeClr w14:val="tx1"/>
            </w14:solidFill>
          </w14:textFill>
        </w:rPr>
        <w:t>2027</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2033</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2041</w:t>
      </w:r>
      <w:r>
        <w:rPr>
          <w:rFonts w:hint="eastAsia"/>
          <w:color w:val="000000" w:themeColor="text1"/>
          <w14:textFill>
            <w14:solidFill>
              <w14:schemeClr w14:val="tx1"/>
            </w14:solidFill>
          </w14:textFill>
        </w:rPr>
        <w:t>年作为预测年限，计算本项目各设计年限的车流量，预测结果见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_Ref140586589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表3.8-6</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79AB7B62">
      <w:pPr>
        <w:pStyle w:val="87"/>
        <w:spacing w:before="120"/>
        <w:rPr>
          <w:color w:val="000000" w:themeColor="text1"/>
          <w14:textFill>
            <w14:solidFill>
              <w14:schemeClr w14:val="tx1"/>
            </w14:solidFill>
          </w14:textFill>
        </w:rPr>
      </w:pPr>
      <w:bookmarkStart w:id="402" w:name="_Ref190253234"/>
      <w:r>
        <w:rPr>
          <w:color w:val="000000" w:themeColor="text1"/>
          <w14:textFill>
            <w14:solidFill>
              <w14:schemeClr w14:val="tx1"/>
            </w14:solidFill>
          </w14:textFill>
        </w:rPr>
        <w:t>车型比例预测表</w:t>
      </w:r>
      <w:bookmarkEnd w:id="402"/>
    </w:p>
    <w:tbl>
      <w:tblPr>
        <w:tblStyle w:val="2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380"/>
        <w:gridCol w:w="1921"/>
        <w:gridCol w:w="1923"/>
        <w:gridCol w:w="1923"/>
        <w:gridCol w:w="1923"/>
      </w:tblGrid>
      <w:tr w14:paraId="6070F5B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761" w:type="pct"/>
            <w:vAlign w:val="center"/>
          </w:tcPr>
          <w:p w14:paraId="454D7A89">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车型</w:t>
            </w:r>
          </w:p>
        </w:tc>
        <w:tc>
          <w:tcPr>
            <w:tcW w:w="1059" w:type="pct"/>
            <w:vAlign w:val="center"/>
          </w:tcPr>
          <w:p w14:paraId="3EA4794E">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小型车</w:t>
            </w:r>
          </w:p>
        </w:tc>
        <w:tc>
          <w:tcPr>
            <w:tcW w:w="1060" w:type="pct"/>
            <w:vAlign w:val="center"/>
          </w:tcPr>
          <w:p w14:paraId="21BB7324">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中型车</w:t>
            </w:r>
          </w:p>
        </w:tc>
        <w:tc>
          <w:tcPr>
            <w:tcW w:w="1060" w:type="pct"/>
            <w:vAlign w:val="center"/>
          </w:tcPr>
          <w:p w14:paraId="25CB975A">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大型车</w:t>
            </w:r>
          </w:p>
        </w:tc>
        <w:tc>
          <w:tcPr>
            <w:tcW w:w="1060" w:type="pct"/>
            <w:vAlign w:val="center"/>
          </w:tcPr>
          <w:p w14:paraId="403F3EB4">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汽车列车</w:t>
            </w:r>
          </w:p>
        </w:tc>
      </w:tr>
      <w:tr w14:paraId="10E79B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761" w:type="pct"/>
            <w:vAlign w:val="center"/>
          </w:tcPr>
          <w:p w14:paraId="23C1A949">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2027</w:t>
            </w:r>
            <w:r>
              <w:rPr>
                <w:rFonts w:hint="eastAsia"/>
                <w:color w:val="000000" w:themeColor="text1"/>
                <w14:textFill>
                  <w14:solidFill>
                    <w14:schemeClr w14:val="tx1"/>
                  </w14:solidFill>
                </w14:textFill>
              </w:rPr>
              <w:t>年</w:t>
            </w:r>
          </w:p>
        </w:tc>
        <w:tc>
          <w:tcPr>
            <w:tcW w:w="1059" w:type="pct"/>
            <w:vAlign w:val="bottom"/>
          </w:tcPr>
          <w:p w14:paraId="07214398">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84.94%</w:t>
            </w:r>
          </w:p>
        </w:tc>
        <w:tc>
          <w:tcPr>
            <w:tcW w:w="1060" w:type="pct"/>
            <w:vAlign w:val="bottom"/>
          </w:tcPr>
          <w:p w14:paraId="42081C50">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7.76%</w:t>
            </w:r>
          </w:p>
        </w:tc>
        <w:tc>
          <w:tcPr>
            <w:tcW w:w="1060" w:type="pct"/>
            <w:vAlign w:val="bottom"/>
          </w:tcPr>
          <w:p w14:paraId="0A9798FB">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3.85%</w:t>
            </w:r>
          </w:p>
        </w:tc>
        <w:tc>
          <w:tcPr>
            <w:tcW w:w="1060" w:type="pct"/>
            <w:vAlign w:val="bottom"/>
          </w:tcPr>
          <w:p w14:paraId="123ECE73">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3.45%</w:t>
            </w:r>
          </w:p>
        </w:tc>
      </w:tr>
      <w:tr w14:paraId="160A41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761" w:type="pct"/>
            <w:vAlign w:val="center"/>
          </w:tcPr>
          <w:p w14:paraId="226FE8D1">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2033</w:t>
            </w:r>
            <w:r>
              <w:rPr>
                <w:rFonts w:hint="eastAsia"/>
                <w:color w:val="000000" w:themeColor="text1"/>
                <w14:textFill>
                  <w14:solidFill>
                    <w14:schemeClr w14:val="tx1"/>
                  </w14:solidFill>
                </w14:textFill>
              </w:rPr>
              <w:t>年</w:t>
            </w:r>
          </w:p>
        </w:tc>
        <w:tc>
          <w:tcPr>
            <w:tcW w:w="1059" w:type="pct"/>
            <w:vAlign w:val="bottom"/>
          </w:tcPr>
          <w:p w14:paraId="642F0DAA">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86.50%</w:t>
            </w:r>
          </w:p>
        </w:tc>
        <w:tc>
          <w:tcPr>
            <w:tcW w:w="1060" w:type="pct"/>
            <w:vAlign w:val="bottom"/>
          </w:tcPr>
          <w:p w14:paraId="2CBF2380">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6.80%</w:t>
            </w:r>
          </w:p>
        </w:tc>
        <w:tc>
          <w:tcPr>
            <w:tcW w:w="1060" w:type="pct"/>
            <w:vAlign w:val="bottom"/>
          </w:tcPr>
          <w:p w14:paraId="52505A16">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3.13%</w:t>
            </w:r>
          </w:p>
        </w:tc>
        <w:tc>
          <w:tcPr>
            <w:tcW w:w="1060" w:type="pct"/>
            <w:vAlign w:val="bottom"/>
          </w:tcPr>
          <w:p w14:paraId="49ED277E">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3.57%</w:t>
            </w:r>
          </w:p>
        </w:tc>
      </w:tr>
      <w:tr w14:paraId="350A20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761" w:type="pct"/>
            <w:vAlign w:val="center"/>
          </w:tcPr>
          <w:p w14:paraId="3E3243D3">
            <w:pPr>
              <w:pStyle w:val="105"/>
              <w:ind w:firstLine="420"/>
              <w:jc w:val="center"/>
              <w:rPr>
                <w:color w:val="000000" w:themeColor="text1"/>
                <w14:textFill>
                  <w14:solidFill>
                    <w14:schemeClr w14:val="tx1"/>
                  </w14:solidFill>
                </w14:textFill>
              </w:rPr>
            </w:pPr>
            <w:r>
              <w:rPr>
                <w:color w:val="000000" w:themeColor="text1"/>
                <w14:textFill>
                  <w14:solidFill>
                    <w14:schemeClr w14:val="tx1"/>
                  </w14:solidFill>
                </w14:textFill>
              </w:rPr>
              <w:t>2041</w:t>
            </w:r>
            <w:r>
              <w:rPr>
                <w:rFonts w:hint="eastAsia"/>
                <w:color w:val="000000" w:themeColor="text1"/>
                <w14:textFill>
                  <w14:solidFill>
                    <w14:schemeClr w14:val="tx1"/>
                  </w14:solidFill>
                </w14:textFill>
              </w:rPr>
              <w:t>年</w:t>
            </w:r>
          </w:p>
        </w:tc>
        <w:tc>
          <w:tcPr>
            <w:tcW w:w="1059" w:type="pct"/>
            <w:vAlign w:val="bottom"/>
          </w:tcPr>
          <w:p w14:paraId="0C1354C3">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88.97%</w:t>
            </w:r>
          </w:p>
        </w:tc>
        <w:tc>
          <w:tcPr>
            <w:tcW w:w="1060" w:type="pct"/>
            <w:vAlign w:val="bottom"/>
          </w:tcPr>
          <w:p w14:paraId="6B890027">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5.28%</w:t>
            </w:r>
          </w:p>
        </w:tc>
        <w:tc>
          <w:tcPr>
            <w:tcW w:w="1060" w:type="pct"/>
            <w:vAlign w:val="bottom"/>
          </w:tcPr>
          <w:p w14:paraId="2F9C0FED">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1.99%</w:t>
            </w:r>
          </w:p>
        </w:tc>
        <w:tc>
          <w:tcPr>
            <w:tcW w:w="1060" w:type="pct"/>
            <w:vAlign w:val="bottom"/>
          </w:tcPr>
          <w:p w14:paraId="062F105D">
            <w:pPr>
              <w:pStyle w:val="105"/>
              <w:ind w:firstLine="420"/>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3.76%</w:t>
            </w:r>
          </w:p>
        </w:tc>
      </w:tr>
    </w:tbl>
    <w:p w14:paraId="138DDEEB">
      <w:pPr>
        <w:pStyle w:val="87"/>
        <w:spacing w:before="120"/>
        <w:rPr>
          <w:color w:val="000000" w:themeColor="text1"/>
          <w14:textFill>
            <w14:solidFill>
              <w14:schemeClr w14:val="tx1"/>
            </w14:solidFill>
          </w14:textFill>
        </w:rPr>
      </w:pPr>
      <w:bookmarkStart w:id="403" w:name="_Ref140586589"/>
      <w:r>
        <w:rPr>
          <w:rFonts w:hint="eastAsia"/>
          <w:color w:val="000000" w:themeColor="text1"/>
          <w14:textFill>
            <w14:solidFill>
              <w14:schemeClr w14:val="tx1"/>
            </w14:solidFill>
          </w14:textFill>
        </w:rPr>
        <w:t>项目各段</w:t>
      </w:r>
      <w:r>
        <w:rPr>
          <w:color w:val="000000" w:themeColor="text1"/>
          <w14:textFill>
            <w14:solidFill>
              <w14:schemeClr w14:val="tx1"/>
            </w14:solidFill>
          </w14:textFill>
        </w:rPr>
        <w:t>各规划年各时段</w:t>
      </w:r>
      <w:r>
        <w:rPr>
          <w:rFonts w:hint="eastAsia"/>
          <w:color w:val="000000" w:themeColor="text1"/>
          <w14:textFill>
            <w14:solidFill>
              <w14:schemeClr w14:val="tx1"/>
            </w14:solidFill>
          </w14:textFill>
        </w:rPr>
        <w:t xml:space="preserve">车流量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单位：</w:t>
      </w:r>
      <w:r>
        <w:rPr>
          <w:color w:val="000000" w:themeColor="text1"/>
          <w14:textFill>
            <w14:solidFill>
              <w14:schemeClr w14:val="tx1"/>
            </w14:solidFill>
          </w14:textFill>
        </w:rPr>
        <w:t>辆/</w:t>
      </w:r>
      <w:r>
        <w:rPr>
          <w:rFonts w:hint="eastAsia"/>
          <w:color w:val="000000" w:themeColor="text1"/>
          <w14:textFill>
            <w14:solidFill>
              <w14:schemeClr w14:val="tx1"/>
            </w14:solidFill>
          </w14:textFill>
        </w:rPr>
        <w:t>h</w:t>
      </w:r>
      <w:bookmarkEnd w:id="403"/>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3"/>
        <w:gridCol w:w="1061"/>
        <w:gridCol w:w="797"/>
        <w:gridCol w:w="797"/>
        <w:gridCol w:w="797"/>
        <w:gridCol w:w="797"/>
        <w:gridCol w:w="797"/>
        <w:gridCol w:w="797"/>
        <w:gridCol w:w="797"/>
        <w:gridCol w:w="797"/>
        <w:gridCol w:w="786"/>
      </w:tblGrid>
      <w:tr w14:paraId="030427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0" w:hRule="atLeast"/>
        </w:trPr>
        <w:tc>
          <w:tcPr>
            <w:tcW w:w="573" w:type="pct"/>
            <w:vMerge w:val="restart"/>
            <w:vAlign w:val="center"/>
          </w:tcPr>
          <w:p w14:paraId="3CA6F94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w:t>
            </w:r>
          </w:p>
          <w:p w14:paraId="66B1D1F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段</w:t>
            </w:r>
          </w:p>
        </w:tc>
        <w:tc>
          <w:tcPr>
            <w:tcW w:w="572" w:type="pct"/>
            <w:vMerge w:val="restart"/>
            <w:vAlign w:val="center"/>
          </w:tcPr>
          <w:p w14:paraId="63622DB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车型</w:t>
            </w:r>
          </w:p>
        </w:tc>
        <w:tc>
          <w:tcPr>
            <w:tcW w:w="1287" w:type="pct"/>
            <w:gridSpan w:val="3"/>
            <w:vAlign w:val="center"/>
          </w:tcPr>
          <w:p w14:paraId="5F12B44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2027</w:t>
            </w:r>
            <w:r>
              <w:rPr>
                <w:rFonts w:hint="eastAsia"/>
                <w:color w:val="000000" w:themeColor="text1"/>
                <w14:textFill>
                  <w14:solidFill>
                    <w14:schemeClr w14:val="tx1"/>
                  </w14:solidFill>
                </w14:textFill>
              </w:rPr>
              <w:t>年</w:t>
            </w:r>
          </w:p>
        </w:tc>
        <w:tc>
          <w:tcPr>
            <w:tcW w:w="1287" w:type="pct"/>
            <w:gridSpan w:val="3"/>
            <w:vAlign w:val="center"/>
          </w:tcPr>
          <w:p w14:paraId="18BCA09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2033</w:t>
            </w:r>
            <w:r>
              <w:rPr>
                <w:rFonts w:hint="eastAsia"/>
                <w:color w:val="000000" w:themeColor="text1"/>
                <w14:textFill>
                  <w14:solidFill>
                    <w14:schemeClr w14:val="tx1"/>
                  </w14:solidFill>
                </w14:textFill>
              </w:rPr>
              <w:t>年</w:t>
            </w:r>
          </w:p>
        </w:tc>
        <w:tc>
          <w:tcPr>
            <w:tcW w:w="1282" w:type="pct"/>
            <w:gridSpan w:val="3"/>
            <w:vAlign w:val="center"/>
          </w:tcPr>
          <w:p w14:paraId="2E5EBF6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w:t>
            </w:r>
            <w:r>
              <w:rPr>
                <w:color w:val="000000" w:themeColor="text1"/>
                <w14:textFill>
                  <w14:solidFill>
                    <w14:schemeClr w14:val="tx1"/>
                  </w14:solidFill>
                </w14:textFill>
              </w:rPr>
              <w:t>41</w:t>
            </w:r>
            <w:r>
              <w:rPr>
                <w:rFonts w:hint="eastAsia"/>
                <w:color w:val="000000" w:themeColor="text1"/>
                <w14:textFill>
                  <w14:solidFill>
                    <w14:schemeClr w14:val="tx1"/>
                  </w14:solidFill>
                </w14:textFill>
              </w:rPr>
              <w:t>年</w:t>
            </w:r>
          </w:p>
        </w:tc>
      </w:tr>
      <w:tr w14:paraId="7543C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70" w:hRule="atLeast"/>
        </w:trPr>
        <w:tc>
          <w:tcPr>
            <w:tcW w:w="573" w:type="pct"/>
            <w:vMerge w:val="continue"/>
            <w:vAlign w:val="center"/>
          </w:tcPr>
          <w:p w14:paraId="7576F33D">
            <w:pPr>
              <w:pStyle w:val="105"/>
              <w:jc w:val="center"/>
              <w:rPr>
                <w:color w:val="000000" w:themeColor="text1"/>
                <w14:textFill>
                  <w14:solidFill>
                    <w14:schemeClr w14:val="tx1"/>
                  </w14:solidFill>
                </w14:textFill>
              </w:rPr>
            </w:pPr>
          </w:p>
        </w:tc>
        <w:tc>
          <w:tcPr>
            <w:tcW w:w="572" w:type="pct"/>
            <w:vMerge w:val="continue"/>
            <w:vAlign w:val="center"/>
          </w:tcPr>
          <w:p w14:paraId="0D3630B4">
            <w:pPr>
              <w:pStyle w:val="105"/>
              <w:jc w:val="center"/>
              <w:rPr>
                <w:color w:val="000000" w:themeColor="text1"/>
                <w14:textFill>
                  <w14:solidFill>
                    <w14:schemeClr w14:val="tx1"/>
                  </w14:solidFill>
                </w14:textFill>
              </w:rPr>
            </w:pPr>
          </w:p>
        </w:tc>
        <w:tc>
          <w:tcPr>
            <w:tcW w:w="429" w:type="pct"/>
            <w:vAlign w:val="center"/>
          </w:tcPr>
          <w:p w14:paraId="490008E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429" w:type="pct"/>
            <w:vAlign w:val="center"/>
          </w:tcPr>
          <w:p w14:paraId="74C7C62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429" w:type="pct"/>
            <w:vAlign w:val="center"/>
          </w:tcPr>
          <w:p w14:paraId="7542160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日均</w:t>
            </w:r>
          </w:p>
        </w:tc>
        <w:tc>
          <w:tcPr>
            <w:tcW w:w="429" w:type="pct"/>
            <w:vAlign w:val="center"/>
          </w:tcPr>
          <w:p w14:paraId="6723653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429" w:type="pct"/>
            <w:vAlign w:val="center"/>
          </w:tcPr>
          <w:p w14:paraId="292ABB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429" w:type="pct"/>
            <w:vAlign w:val="center"/>
          </w:tcPr>
          <w:p w14:paraId="20D3B48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日均</w:t>
            </w:r>
          </w:p>
        </w:tc>
        <w:tc>
          <w:tcPr>
            <w:tcW w:w="429" w:type="pct"/>
            <w:vAlign w:val="center"/>
          </w:tcPr>
          <w:p w14:paraId="3784E26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429" w:type="pct"/>
            <w:vAlign w:val="center"/>
          </w:tcPr>
          <w:p w14:paraId="1FAD4DA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424" w:type="pct"/>
            <w:vAlign w:val="center"/>
          </w:tcPr>
          <w:p w14:paraId="4300430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日均</w:t>
            </w:r>
          </w:p>
        </w:tc>
      </w:tr>
      <w:tr w14:paraId="4E11B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573" w:type="pct"/>
            <w:vMerge w:val="restart"/>
            <w:vAlign w:val="center"/>
          </w:tcPr>
          <w:p w14:paraId="3C5A874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全线</w:t>
            </w:r>
          </w:p>
        </w:tc>
        <w:tc>
          <w:tcPr>
            <w:tcW w:w="572" w:type="pct"/>
            <w:vAlign w:val="center"/>
          </w:tcPr>
          <w:p w14:paraId="415817C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w:t>
            </w:r>
            <w:r>
              <w:rPr>
                <w:color w:val="000000" w:themeColor="text1"/>
                <w14:textFill>
                  <w14:solidFill>
                    <w14:schemeClr w14:val="tx1"/>
                  </w14:solidFill>
                </w14:textFill>
              </w:rPr>
              <w:t>型</w:t>
            </w:r>
            <w:r>
              <w:rPr>
                <w:rFonts w:hint="eastAsia"/>
                <w:color w:val="000000" w:themeColor="text1"/>
                <w14:textFill>
                  <w14:solidFill>
                    <w14:schemeClr w14:val="tx1"/>
                  </w14:solidFill>
                </w14:textFill>
              </w:rPr>
              <w:t>车</w:t>
            </w:r>
          </w:p>
        </w:tc>
        <w:tc>
          <w:tcPr>
            <w:tcW w:w="429" w:type="pct"/>
            <w:vAlign w:val="center"/>
          </w:tcPr>
          <w:p w14:paraId="0916311E">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249</w:t>
            </w:r>
          </w:p>
        </w:tc>
        <w:tc>
          <w:tcPr>
            <w:tcW w:w="429" w:type="pct"/>
            <w:vAlign w:val="center"/>
          </w:tcPr>
          <w:p w14:paraId="609B430F">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43</w:t>
            </w:r>
          </w:p>
        </w:tc>
        <w:tc>
          <w:tcPr>
            <w:tcW w:w="429" w:type="pct"/>
            <w:vAlign w:val="center"/>
          </w:tcPr>
          <w:p w14:paraId="44625B01">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181</w:t>
            </w:r>
          </w:p>
        </w:tc>
        <w:tc>
          <w:tcPr>
            <w:tcW w:w="429" w:type="pct"/>
            <w:vAlign w:val="center"/>
          </w:tcPr>
          <w:p w14:paraId="26BA236E">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296</w:t>
            </w:r>
          </w:p>
        </w:tc>
        <w:tc>
          <w:tcPr>
            <w:tcW w:w="429" w:type="pct"/>
            <w:vAlign w:val="center"/>
          </w:tcPr>
          <w:p w14:paraId="6AF369EA">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52</w:t>
            </w:r>
          </w:p>
        </w:tc>
        <w:tc>
          <w:tcPr>
            <w:tcW w:w="429" w:type="pct"/>
            <w:vAlign w:val="center"/>
          </w:tcPr>
          <w:p w14:paraId="3A2C9CAD">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215</w:t>
            </w:r>
          </w:p>
        </w:tc>
        <w:tc>
          <w:tcPr>
            <w:tcW w:w="429" w:type="pct"/>
            <w:vAlign w:val="center"/>
          </w:tcPr>
          <w:p w14:paraId="32717BD0">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351</w:t>
            </w:r>
          </w:p>
        </w:tc>
        <w:tc>
          <w:tcPr>
            <w:tcW w:w="429" w:type="pct"/>
            <w:vAlign w:val="center"/>
          </w:tcPr>
          <w:p w14:paraId="6501E22D">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61</w:t>
            </w:r>
          </w:p>
        </w:tc>
        <w:tc>
          <w:tcPr>
            <w:tcW w:w="424" w:type="pct"/>
            <w:vAlign w:val="center"/>
          </w:tcPr>
          <w:p w14:paraId="0F335A17">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255</w:t>
            </w:r>
          </w:p>
        </w:tc>
      </w:tr>
      <w:tr w14:paraId="2A786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573" w:type="pct"/>
            <w:vMerge w:val="continue"/>
            <w:vAlign w:val="center"/>
          </w:tcPr>
          <w:p w14:paraId="1609A9C9">
            <w:pPr>
              <w:pStyle w:val="105"/>
              <w:jc w:val="center"/>
              <w:rPr>
                <w:color w:val="000000" w:themeColor="text1"/>
                <w14:textFill>
                  <w14:solidFill>
                    <w14:schemeClr w14:val="tx1"/>
                  </w14:solidFill>
                </w14:textFill>
              </w:rPr>
            </w:pPr>
          </w:p>
        </w:tc>
        <w:tc>
          <w:tcPr>
            <w:tcW w:w="572" w:type="pct"/>
            <w:vAlign w:val="center"/>
          </w:tcPr>
          <w:p w14:paraId="42935A3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w:t>
            </w:r>
            <w:r>
              <w:rPr>
                <w:color w:val="000000" w:themeColor="text1"/>
                <w14:textFill>
                  <w14:solidFill>
                    <w14:schemeClr w14:val="tx1"/>
                  </w14:solidFill>
                </w14:textFill>
              </w:rPr>
              <w:t>型</w:t>
            </w:r>
            <w:r>
              <w:rPr>
                <w:rFonts w:hint="eastAsia"/>
                <w:color w:val="000000" w:themeColor="text1"/>
                <w14:textFill>
                  <w14:solidFill>
                    <w14:schemeClr w14:val="tx1"/>
                  </w14:solidFill>
                </w14:textFill>
              </w:rPr>
              <w:t>车</w:t>
            </w:r>
          </w:p>
        </w:tc>
        <w:tc>
          <w:tcPr>
            <w:tcW w:w="429" w:type="pct"/>
            <w:vAlign w:val="center"/>
          </w:tcPr>
          <w:p w14:paraId="1C302693">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23</w:t>
            </w:r>
          </w:p>
        </w:tc>
        <w:tc>
          <w:tcPr>
            <w:tcW w:w="429" w:type="pct"/>
            <w:vAlign w:val="center"/>
          </w:tcPr>
          <w:p w14:paraId="2956E2B0">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4</w:t>
            </w:r>
          </w:p>
        </w:tc>
        <w:tc>
          <w:tcPr>
            <w:tcW w:w="429" w:type="pct"/>
            <w:vAlign w:val="center"/>
          </w:tcPr>
          <w:p w14:paraId="53E889BF">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16</w:t>
            </w:r>
          </w:p>
        </w:tc>
        <w:tc>
          <w:tcPr>
            <w:tcW w:w="429" w:type="pct"/>
            <w:vAlign w:val="center"/>
          </w:tcPr>
          <w:p w14:paraId="5794F4F9">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23</w:t>
            </w:r>
          </w:p>
        </w:tc>
        <w:tc>
          <w:tcPr>
            <w:tcW w:w="429" w:type="pct"/>
            <w:vAlign w:val="center"/>
          </w:tcPr>
          <w:p w14:paraId="223E5D00">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4</w:t>
            </w:r>
          </w:p>
        </w:tc>
        <w:tc>
          <w:tcPr>
            <w:tcW w:w="429" w:type="pct"/>
            <w:vAlign w:val="center"/>
          </w:tcPr>
          <w:p w14:paraId="4591A7CE">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17</w:t>
            </w:r>
          </w:p>
        </w:tc>
        <w:tc>
          <w:tcPr>
            <w:tcW w:w="429" w:type="pct"/>
            <w:vAlign w:val="center"/>
          </w:tcPr>
          <w:p w14:paraId="08EE3F00">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21</w:t>
            </w:r>
          </w:p>
        </w:tc>
        <w:tc>
          <w:tcPr>
            <w:tcW w:w="429" w:type="pct"/>
            <w:vAlign w:val="center"/>
          </w:tcPr>
          <w:p w14:paraId="157FE89A">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4</w:t>
            </w:r>
          </w:p>
        </w:tc>
        <w:tc>
          <w:tcPr>
            <w:tcW w:w="424" w:type="pct"/>
            <w:vAlign w:val="center"/>
          </w:tcPr>
          <w:p w14:paraId="3740DD1A">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15</w:t>
            </w:r>
          </w:p>
        </w:tc>
      </w:tr>
      <w:tr w14:paraId="7130D3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573" w:type="pct"/>
            <w:vMerge w:val="continue"/>
            <w:vAlign w:val="center"/>
          </w:tcPr>
          <w:p w14:paraId="2464E476">
            <w:pPr>
              <w:pStyle w:val="105"/>
              <w:jc w:val="center"/>
              <w:rPr>
                <w:color w:val="000000" w:themeColor="text1"/>
                <w14:textFill>
                  <w14:solidFill>
                    <w14:schemeClr w14:val="tx1"/>
                  </w14:solidFill>
                </w14:textFill>
              </w:rPr>
            </w:pPr>
          </w:p>
        </w:tc>
        <w:tc>
          <w:tcPr>
            <w:tcW w:w="572" w:type="pct"/>
            <w:vAlign w:val="center"/>
          </w:tcPr>
          <w:p w14:paraId="77E2503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w:t>
            </w:r>
            <w:r>
              <w:rPr>
                <w:color w:val="000000" w:themeColor="text1"/>
                <w14:textFill>
                  <w14:solidFill>
                    <w14:schemeClr w14:val="tx1"/>
                  </w14:solidFill>
                </w14:textFill>
              </w:rPr>
              <w:t>型</w:t>
            </w:r>
            <w:r>
              <w:rPr>
                <w:rFonts w:hint="eastAsia"/>
                <w:color w:val="000000" w:themeColor="text1"/>
                <w14:textFill>
                  <w14:solidFill>
                    <w14:schemeClr w14:val="tx1"/>
                  </w14:solidFill>
                </w14:textFill>
              </w:rPr>
              <w:t>车</w:t>
            </w:r>
          </w:p>
        </w:tc>
        <w:tc>
          <w:tcPr>
            <w:tcW w:w="429" w:type="pct"/>
            <w:vAlign w:val="center"/>
          </w:tcPr>
          <w:p w14:paraId="7E0DAC70">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21</w:t>
            </w:r>
          </w:p>
        </w:tc>
        <w:tc>
          <w:tcPr>
            <w:tcW w:w="429" w:type="pct"/>
            <w:vAlign w:val="center"/>
          </w:tcPr>
          <w:p w14:paraId="22D7EF5A">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4</w:t>
            </w:r>
          </w:p>
        </w:tc>
        <w:tc>
          <w:tcPr>
            <w:tcW w:w="429" w:type="pct"/>
            <w:vAlign w:val="center"/>
          </w:tcPr>
          <w:p w14:paraId="12E9FCAB">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16</w:t>
            </w:r>
          </w:p>
        </w:tc>
        <w:tc>
          <w:tcPr>
            <w:tcW w:w="429" w:type="pct"/>
            <w:vAlign w:val="center"/>
          </w:tcPr>
          <w:p w14:paraId="64BDF762">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23</w:t>
            </w:r>
          </w:p>
        </w:tc>
        <w:tc>
          <w:tcPr>
            <w:tcW w:w="429" w:type="pct"/>
            <w:vAlign w:val="center"/>
          </w:tcPr>
          <w:p w14:paraId="22B7624D">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4</w:t>
            </w:r>
          </w:p>
        </w:tc>
        <w:tc>
          <w:tcPr>
            <w:tcW w:w="429" w:type="pct"/>
            <w:vAlign w:val="center"/>
          </w:tcPr>
          <w:p w14:paraId="752D4C30">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17</w:t>
            </w:r>
          </w:p>
        </w:tc>
        <w:tc>
          <w:tcPr>
            <w:tcW w:w="429" w:type="pct"/>
            <w:vAlign w:val="center"/>
          </w:tcPr>
          <w:p w14:paraId="2286B197">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23</w:t>
            </w:r>
          </w:p>
        </w:tc>
        <w:tc>
          <w:tcPr>
            <w:tcW w:w="429" w:type="pct"/>
            <w:vAlign w:val="center"/>
          </w:tcPr>
          <w:p w14:paraId="0B6FF4FD">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4</w:t>
            </w:r>
          </w:p>
        </w:tc>
        <w:tc>
          <w:tcPr>
            <w:tcW w:w="424" w:type="pct"/>
            <w:vAlign w:val="center"/>
          </w:tcPr>
          <w:p w14:paraId="3ACFD9F8">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16</w:t>
            </w:r>
          </w:p>
        </w:tc>
      </w:tr>
      <w:tr w14:paraId="75729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2" w:hRule="atLeast"/>
        </w:trPr>
        <w:tc>
          <w:tcPr>
            <w:tcW w:w="573" w:type="pct"/>
            <w:vMerge w:val="continue"/>
            <w:vAlign w:val="center"/>
          </w:tcPr>
          <w:p w14:paraId="45740C97">
            <w:pPr>
              <w:pStyle w:val="105"/>
              <w:jc w:val="center"/>
              <w:rPr>
                <w:color w:val="000000" w:themeColor="text1"/>
                <w14:textFill>
                  <w14:solidFill>
                    <w14:schemeClr w14:val="tx1"/>
                  </w14:solidFill>
                </w14:textFill>
              </w:rPr>
            </w:pPr>
          </w:p>
        </w:tc>
        <w:tc>
          <w:tcPr>
            <w:tcW w:w="572" w:type="pct"/>
            <w:vAlign w:val="center"/>
          </w:tcPr>
          <w:p w14:paraId="2DDAF77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429" w:type="pct"/>
            <w:vAlign w:val="center"/>
          </w:tcPr>
          <w:p w14:paraId="1E6A3D24">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293</w:t>
            </w:r>
          </w:p>
        </w:tc>
        <w:tc>
          <w:tcPr>
            <w:tcW w:w="429" w:type="pct"/>
            <w:vAlign w:val="center"/>
          </w:tcPr>
          <w:p w14:paraId="0317B713">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51</w:t>
            </w:r>
          </w:p>
        </w:tc>
        <w:tc>
          <w:tcPr>
            <w:tcW w:w="429" w:type="pct"/>
            <w:vAlign w:val="center"/>
          </w:tcPr>
          <w:p w14:paraId="5F8FB784">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213</w:t>
            </w:r>
          </w:p>
        </w:tc>
        <w:tc>
          <w:tcPr>
            <w:tcW w:w="429" w:type="pct"/>
            <w:vAlign w:val="center"/>
          </w:tcPr>
          <w:p w14:paraId="3AB7D4A1">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343</w:t>
            </w:r>
          </w:p>
        </w:tc>
        <w:tc>
          <w:tcPr>
            <w:tcW w:w="429" w:type="pct"/>
            <w:vAlign w:val="center"/>
          </w:tcPr>
          <w:p w14:paraId="438ED4A3">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60</w:t>
            </w:r>
          </w:p>
        </w:tc>
        <w:tc>
          <w:tcPr>
            <w:tcW w:w="429" w:type="pct"/>
            <w:vAlign w:val="center"/>
          </w:tcPr>
          <w:p w14:paraId="0C2126AF">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248</w:t>
            </w:r>
          </w:p>
        </w:tc>
        <w:tc>
          <w:tcPr>
            <w:tcW w:w="429" w:type="pct"/>
            <w:vAlign w:val="center"/>
          </w:tcPr>
          <w:p w14:paraId="77E05EC1">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395</w:t>
            </w:r>
          </w:p>
        </w:tc>
        <w:tc>
          <w:tcPr>
            <w:tcW w:w="429" w:type="pct"/>
            <w:vAlign w:val="center"/>
          </w:tcPr>
          <w:p w14:paraId="1D23EE0C">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69</w:t>
            </w:r>
          </w:p>
        </w:tc>
        <w:tc>
          <w:tcPr>
            <w:tcW w:w="424" w:type="pct"/>
            <w:vAlign w:val="center"/>
          </w:tcPr>
          <w:p w14:paraId="5279A20F">
            <w:pPr>
              <w:pStyle w:val="105"/>
              <w:jc w:val="center"/>
              <w:rPr>
                <w:color w:val="000000" w:themeColor="text1"/>
                <w:sz w:val="18"/>
                <w:szCs w:val="18"/>
                <w14:textFill>
                  <w14:solidFill>
                    <w14:schemeClr w14:val="tx1"/>
                  </w14:solidFill>
                </w14:textFill>
              </w:rPr>
            </w:pPr>
            <w:r>
              <w:rPr>
                <w:rFonts w:cs="Times New Roman"/>
                <w:color w:val="000000" w:themeColor="text1"/>
                <w:sz w:val="22"/>
                <w:szCs w:val="22"/>
                <w14:textFill>
                  <w14:solidFill>
                    <w14:schemeClr w14:val="tx1"/>
                  </w14:solidFill>
                </w14:textFill>
              </w:rPr>
              <w:t>286</w:t>
            </w:r>
          </w:p>
        </w:tc>
      </w:tr>
      <w:bookmarkEnd w:id="401"/>
    </w:tbl>
    <w:p w14:paraId="75F10D3A">
      <w:pPr>
        <w:pStyle w:val="116"/>
        <w:rPr>
          <w:color w:val="000000" w:themeColor="text1"/>
          <w14:textFill>
            <w14:solidFill>
              <w14:schemeClr w14:val="tx1"/>
            </w14:solidFill>
          </w14:textFill>
        </w:rPr>
      </w:pPr>
      <w:bookmarkStart w:id="404" w:name="_Toc193912373"/>
      <w:bookmarkStart w:id="405" w:name="_Toc159405466"/>
      <w:r>
        <w:rPr>
          <w:rFonts w:hint="eastAsia"/>
          <w:color w:val="000000" w:themeColor="text1"/>
          <w14:textFill>
            <w14:solidFill>
              <w14:schemeClr w14:val="tx1"/>
            </w14:solidFill>
          </w14:textFill>
        </w:rPr>
        <w:t>工程环境影响及污染源强分析</w:t>
      </w:r>
      <w:bookmarkEnd w:id="404"/>
      <w:bookmarkEnd w:id="405"/>
    </w:p>
    <w:p w14:paraId="73D6307B">
      <w:pPr>
        <w:pStyle w:val="120"/>
        <w:rPr>
          <w:color w:val="000000" w:themeColor="text1"/>
          <w14:textFill>
            <w14:solidFill>
              <w14:schemeClr w14:val="tx1"/>
            </w14:solidFill>
          </w14:textFill>
        </w:rPr>
      </w:pPr>
      <w:bookmarkStart w:id="406" w:name="_Hlk143418729"/>
      <w:r>
        <w:rPr>
          <w:rFonts w:hint="eastAsia"/>
          <w:color w:val="000000" w:themeColor="text1"/>
          <w14:textFill>
            <w14:solidFill>
              <w14:schemeClr w14:val="tx1"/>
            </w14:solidFill>
          </w14:textFill>
        </w:rPr>
        <w:t>施工期污染源分析</w:t>
      </w:r>
    </w:p>
    <w:p w14:paraId="1DBDA38B">
      <w:pPr>
        <w:pStyle w:val="118"/>
        <w:rPr>
          <w:color w:val="000000" w:themeColor="text1"/>
          <w14:textFill>
            <w14:solidFill>
              <w14:schemeClr w14:val="tx1"/>
            </w14:solidFill>
          </w14:textFill>
        </w:rPr>
      </w:pPr>
      <w:bookmarkStart w:id="407" w:name="_Toc439084120"/>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废水</w:t>
      </w:r>
      <w:bookmarkEnd w:id="407"/>
    </w:p>
    <w:p w14:paraId="4B161B4A">
      <w:pPr>
        <w:ind w:firstLine="480"/>
        <w:rPr>
          <w:color w:val="000000" w:themeColor="text1"/>
          <w14:textFill>
            <w14:solidFill>
              <w14:schemeClr w14:val="tx1"/>
            </w14:solidFill>
          </w14:textFill>
        </w:rPr>
      </w:pPr>
      <w:r>
        <w:rPr>
          <w:color w:val="000000" w:themeColor="text1"/>
          <w14:textFill>
            <w14:solidFill>
              <w14:schemeClr w14:val="tx1"/>
            </w14:solidFill>
          </w14:textFill>
        </w:rPr>
        <w:t>（1）施工生活污水</w:t>
      </w:r>
    </w:p>
    <w:p w14:paraId="3978013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本项目施工期沿线拟设置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个施工场地，主要作为</w:t>
      </w:r>
      <w:r>
        <w:rPr>
          <w:color w:val="000000" w:themeColor="text1"/>
          <w14:textFill>
            <w14:solidFill>
              <w14:schemeClr w14:val="tx1"/>
            </w14:solidFill>
          </w14:textFill>
        </w:rPr>
        <w:t>建筑材料堆放、钢筋加工、</w:t>
      </w:r>
      <w:r>
        <w:rPr>
          <w:rFonts w:hint="eastAsia"/>
          <w:color w:val="000000" w:themeColor="text1"/>
          <w14:textFill>
            <w14:solidFill>
              <w14:schemeClr w14:val="tx1"/>
            </w14:solidFill>
          </w14:textFill>
        </w:rPr>
        <w:t>水稳</w:t>
      </w:r>
      <w:r>
        <w:rPr>
          <w:color w:val="000000" w:themeColor="text1"/>
          <w14:textFill>
            <w14:solidFill>
              <w14:schemeClr w14:val="tx1"/>
            </w14:solidFill>
          </w14:textFill>
        </w:rPr>
        <w:t>搅拌站</w:t>
      </w:r>
      <w:r>
        <w:rPr>
          <w:rFonts w:hint="eastAsia"/>
          <w:color w:val="000000" w:themeColor="text1"/>
          <w14:textFill>
            <w14:solidFill>
              <w14:schemeClr w14:val="tx1"/>
            </w14:solidFill>
          </w14:textFill>
        </w:rPr>
        <w:t>及小型构件预制场、施工临时值班房</w:t>
      </w:r>
      <w:r>
        <w:rPr>
          <w:color w:val="000000" w:themeColor="text1"/>
          <w:spacing w:val="8"/>
          <w14:textFill>
            <w14:solidFill>
              <w14:schemeClr w14:val="tx1"/>
            </w14:solidFill>
          </w14:textFill>
        </w:rPr>
        <w:t>等</w:t>
      </w:r>
      <w:r>
        <w:rPr>
          <w:rFonts w:hint="eastAsia"/>
          <w:color w:val="000000" w:themeColor="text1"/>
          <w14:textFill>
            <w14:solidFill>
              <w14:schemeClr w14:val="tx1"/>
            </w14:solidFill>
          </w14:textFill>
        </w:rPr>
        <w:t>，项目施工地点距离周边主城区、镇区较近，施工现场不设置集中生活区，施工人员就近租用当地的民房，施工期生活污水利用当地居民排水系统处理。</w:t>
      </w:r>
      <w:r>
        <w:rPr>
          <w:color w:val="000000" w:themeColor="text1"/>
          <w14:textFill>
            <w14:solidFill>
              <w14:schemeClr w14:val="tx1"/>
            </w14:solidFill>
          </w14:textFill>
        </w:rPr>
        <w:t>施工期平均人数为150人，</w:t>
      </w:r>
      <w:r>
        <w:rPr>
          <w:rFonts w:hint="eastAsia"/>
          <w:color w:val="000000" w:themeColor="text1"/>
          <w14:textFill>
            <w14:solidFill>
              <w14:schemeClr w14:val="tx1"/>
            </w14:solidFill>
          </w14:textFill>
        </w:rPr>
        <w:t>施工期每人每天平均用水量按1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0L/人·d，污水产生量按用水量的80%计，施工期间生活污水产生量为</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/d，污水中主要污染因子为SS、COD、NH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-N，浓度分别为</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00mg/L、</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00mg/L和</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5mg/L。项目施工场地设有办公区，</w:t>
      </w:r>
      <w:bookmarkStart w:id="408" w:name="hmcheck_f728adc66e7243e399334606728fb973"/>
      <w:r>
        <w:rPr>
          <w:rFonts w:hint="eastAsia"/>
          <w:color w:val="000000" w:themeColor="text1"/>
          <w:shd w:val="clear" w:fill="FFAFAA"/>
          <w14:textFill>
            <w14:solidFill>
              <w14:schemeClr w14:val="tx1"/>
            </w14:solidFill>
          </w14:textFill>
        </w:rPr>
        <w:t>常驻</w:t>
      </w:r>
      <w:bookmarkEnd w:id="408"/>
      <w:r>
        <w:rPr>
          <w:rFonts w:hint="eastAsia"/>
          <w:color w:val="000000" w:themeColor="text1"/>
          <w14:textFill>
            <w14:solidFill>
              <w14:schemeClr w14:val="tx1"/>
            </w14:solidFill>
          </w14:textFill>
        </w:rPr>
        <w:t>人员约</w:t>
      </w:r>
      <w:r>
        <w:rPr>
          <w:color w:val="000000" w:themeColor="text1"/>
          <w14:textFill>
            <w14:solidFill>
              <w14:schemeClr w14:val="tx1"/>
            </w14:solidFill>
          </w14:textFill>
        </w:rPr>
        <w:t>20</w:t>
      </w:r>
      <w:bookmarkStart w:id="409" w:name="hmcheck_f1809b4e24e8441094baaa4925a9a26e"/>
      <w:r>
        <w:rPr>
          <w:color w:val="000000" w:themeColor="text1"/>
          <w:shd w:val="clear" w:fill="FFAFAA"/>
          <w14:textFill>
            <w14:solidFill>
              <w14:schemeClr w14:val="tx1"/>
            </w14:solidFill>
          </w14:textFill>
        </w:rPr>
        <w:t>~</w:t>
      </w:r>
      <w:bookmarkEnd w:id="409"/>
      <w:r>
        <w:rPr>
          <w:color w:val="000000" w:themeColor="text1"/>
          <w14:textFill>
            <w14:solidFill>
              <w14:schemeClr w14:val="tx1"/>
            </w14:solidFill>
          </w14:textFill>
        </w:rPr>
        <w:t>30</w:t>
      </w:r>
      <w:r>
        <w:rPr>
          <w:rFonts w:hint="eastAsia"/>
          <w:color w:val="000000" w:themeColor="text1"/>
          <w14:textFill>
            <w14:solidFill>
              <w14:schemeClr w14:val="tx1"/>
            </w14:solidFill>
          </w14:textFill>
        </w:rPr>
        <w:t>人，</w:t>
      </w:r>
      <w:r>
        <w:rPr>
          <w:color w:val="000000" w:themeColor="text1"/>
          <w14:textFill>
            <w14:solidFill>
              <w14:schemeClr w14:val="tx1"/>
            </w14:solidFill>
          </w14:textFill>
        </w:rPr>
        <w:t>生活污水产生量为3.0t/d</w:t>
      </w:r>
      <w:r>
        <w:rPr>
          <w:rFonts w:hint="eastAsia"/>
          <w:color w:val="000000" w:themeColor="text1"/>
          <w14:textFill>
            <w14:solidFill>
              <w14:schemeClr w14:val="tx1"/>
            </w14:solidFill>
          </w14:textFill>
        </w:rPr>
        <w:t>，配套一体化临时化粪池，生活污水经临时化粪池处理后，委托当地村民清运用于肥田，不外排。</w:t>
      </w:r>
    </w:p>
    <w:p w14:paraId="4591E231">
      <w:pPr>
        <w:ind w:firstLine="480"/>
        <w:rPr>
          <w:color w:val="000000" w:themeColor="text1"/>
          <w14:textFill>
            <w14:solidFill>
              <w14:schemeClr w14:val="tx1"/>
            </w14:solidFill>
          </w14:textFill>
        </w:rPr>
      </w:pPr>
      <w:r>
        <w:rPr>
          <w:color w:val="000000" w:themeColor="text1"/>
          <w14:textFill>
            <w14:solidFill>
              <w14:schemeClr w14:val="tx1"/>
            </w14:solidFill>
          </w14:textFill>
        </w:rPr>
        <w:t>（2）施工生产废水</w:t>
      </w:r>
    </w:p>
    <w:p w14:paraId="381E1686">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本项目施工期施工生产废水主要来自汽车机械设备冲洗含油废水及水泥混凝土浇筑养护用水等。其中水泥混凝土浇筑养护用水大多被吸收或蒸发，故其废水排放污染可忽略不计。</w:t>
      </w:r>
    </w:p>
    <w:p w14:paraId="1C9F72C5">
      <w:pPr>
        <w:ind w:firstLine="480"/>
        <w:rPr>
          <w:color w:val="000000" w:themeColor="text1"/>
          <w14:textFill>
            <w14:solidFill>
              <w14:schemeClr w14:val="tx1"/>
            </w14:solidFill>
          </w14:textFill>
        </w:rPr>
      </w:pPr>
      <w:r>
        <w:rPr>
          <w:color w:val="000000" w:themeColor="text1"/>
          <w14:textFill>
            <w14:solidFill>
              <w14:schemeClr w14:val="tx1"/>
            </w14:solidFill>
          </w14:textFill>
        </w:rPr>
        <w:t>机械设备冲洗含油废水</w:t>
      </w:r>
      <w:r>
        <w:rPr>
          <w:rFonts w:hint="eastAsia"/>
          <w:color w:val="000000" w:themeColor="text1"/>
          <w14:textFill>
            <w14:solidFill>
              <w14:schemeClr w14:val="tx1"/>
            </w14:solidFill>
          </w14:textFill>
        </w:rPr>
        <w:t>：在施工期间对施工机械和车辆每天进行一次冲洗，施工高峰期每天冲洗的施工机械和车辆以</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0辆（台）计，平均每次每辆（台）的冲洗废水量约为0.</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，冲洗废水的产生量为</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/d。主要污染物为SS和石油类，其中SS浓度可达3000mg/L，石油类可达20mg/L。施工机械冲洗废水隔油沉淀后回用或用于施工场地抑尘洒水、混凝土路面养护用水，不外排。</w:t>
      </w:r>
    </w:p>
    <w:p w14:paraId="2FFE8E4B">
      <w:pPr>
        <w:ind w:firstLine="480"/>
        <w:rPr>
          <w:color w:val="000000" w:themeColor="text1"/>
          <w14:textFill>
            <w14:solidFill>
              <w14:schemeClr w14:val="tx1"/>
            </w14:solidFill>
          </w14:textFill>
        </w:rPr>
      </w:pPr>
      <w:bookmarkStart w:id="410" w:name="_Hlk143419203"/>
      <w:bookmarkStart w:id="411" w:name="_Hlk142923917"/>
      <w:r>
        <w:rPr>
          <w:rFonts w:hint="eastAsia"/>
          <w:color w:val="000000" w:themeColor="text1"/>
          <w14:textFill>
            <w14:solidFill>
              <w14:schemeClr w14:val="tx1"/>
            </w14:solidFill>
          </w14:textFill>
        </w:rPr>
        <w:t>混凝土废水</w:t>
      </w:r>
      <w:bookmarkEnd w:id="410"/>
      <w:r>
        <w:rPr>
          <w:rFonts w:hint="eastAsia"/>
          <w:color w:val="000000" w:themeColor="text1"/>
          <w14:textFill>
            <w14:solidFill>
              <w14:schemeClr w14:val="tx1"/>
            </w14:solidFill>
          </w14:textFill>
        </w:rPr>
        <w:t>：预制场和水稳</w:t>
      </w:r>
      <w:bookmarkStart w:id="412" w:name="hmcheck_d5ad174cb8364232bcd1195d3e83d059"/>
      <w:r>
        <w:rPr>
          <w:rFonts w:hint="eastAsia"/>
          <w:color w:val="000000" w:themeColor="text1"/>
          <w:shd w:val="clear" w:fill="FFAFAA"/>
          <w14:textFill>
            <w14:solidFill>
              <w14:schemeClr w14:val="tx1"/>
            </w14:solidFill>
          </w14:textFill>
        </w:rPr>
        <w:t>拌合站</w:t>
      </w:r>
      <w:bookmarkEnd w:id="412"/>
      <w:r>
        <w:rPr>
          <w:rFonts w:hint="eastAsia"/>
          <w:color w:val="000000" w:themeColor="text1"/>
          <w14:textFill>
            <w14:solidFill>
              <w14:schemeClr w14:val="tx1"/>
            </w14:solidFill>
          </w14:textFill>
        </w:rPr>
        <w:t>用于制作小型构件所需的各种规格的预制构件和路面工程基层水泥稳定碎石的</w:t>
      </w:r>
      <w:bookmarkStart w:id="413" w:name="hmcheck_0d658bdaf3d14a2ab498e3902f819aa0"/>
      <w:r>
        <w:rPr>
          <w:rFonts w:hint="eastAsia"/>
          <w:color w:val="000000" w:themeColor="text1"/>
          <w:shd w:val="clear" w:fill="FFAFAA"/>
          <w14:textFill>
            <w14:solidFill>
              <w14:schemeClr w14:val="tx1"/>
            </w14:solidFill>
          </w14:textFill>
        </w:rPr>
        <w:t>拌和</w:t>
      </w:r>
      <w:bookmarkEnd w:id="413"/>
      <w:r>
        <w:rPr>
          <w:rFonts w:hint="eastAsia"/>
          <w:color w:val="000000" w:themeColor="text1"/>
          <w14:textFill>
            <w14:solidFill>
              <w14:schemeClr w14:val="tx1"/>
            </w14:solidFill>
          </w14:textFill>
        </w:rPr>
        <w:t>，在搅拌混凝土的生产过程及制作构件时会有废水产生，其中以混凝土转筒和料罐冲洗废水为主，混凝土生产废水的排放具有悬浮物浓度高、水量小、间歇性集中排放等特点。根据有关资料，污水产生量约3.0m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/次，主要污染物为SS，浓度可达到3000～5000mg/L，pH值在12左右，应处理达标后回用于场地洒水降尘，不外排。</w:t>
      </w:r>
    </w:p>
    <w:p w14:paraId="76506FC4">
      <w:pPr>
        <w:ind w:firstLine="480"/>
        <w:rPr>
          <w:color w:val="000000" w:themeColor="text1"/>
          <w14:textFill>
            <w14:solidFill>
              <w14:schemeClr w14:val="tx1"/>
            </w14:solidFill>
          </w14:textFill>
        </w:rPr>
      </w:pPr>
      <w:bookmarkStart w:id="414" w:name="_Hlk142923622"/>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桥梁施工废水</w:t>
      </w:r>
    </w:p>
    <w:p w14:paraId="485C0B2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工程主线全线设大埔大桥1</w:t>
      </w:r>
      <w:r>
        <w:rPr>
          <w:color w:val="000000" w:themeColor="text1"/>
          <w14:textFill>
            <w14:solidFill>
              <w14:schemeClr w14:val="tx1"/>
            </w14:solidFill>
          </w14:textFill>
        </w:rPr>
        <w:t>座</w:t>
      </w:r>
      <w:r>
        <w:rPr>
          <w:rFonts w:hint="eastAsia"/>
          <w:color w:val="000000" w:themeColor="text1"/>
          <w14:textFill>
            <w14:solidFill>
              <w14:schemeClr w14:val="tx1"/>
            </w14:solidFill>
          </w14:textFill>
        </w:rPr>
        <w:t>和枝钟中桥</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座（大埔大桥在改河后桥梁基础不涉水，枝钟中桥含涉水桥墩）。桥梁上部结构分别采用预制小箱梁、</w:t>
      </w:r>
      <w:r>
        <w:rPr>
          <w:color w:val="000000" w:themeColor="text1"/>
          <w14:textFill>
            <w14:solidFill>
              <w14:schemeClr w14:val="tx1"/>
            </w14:solidFill>
          </w14:textFill>
        </w:rPr>
        <w:t>PC简支预制空心板</w:t>
      </w:r>
      <w:r>
        <w:rPr>
          <w:rFonts w:hint="eastAsia"/>
          <w:color w:val="000000" w:themeColor="text1"/>
          <w14:textFill>
            <w14:solidFill>
              <w14:schemeClr w14:val="tx1"/>
            </w14:solidFill>
          </w14:textFill>
        </w:rPr>
        <w:t>，下部采用柱墩桩基础、</w:t>
      </w:r>
      <w:r>
        <w:rPr>
          <w:color w:val="000000" w:themeColor="text1"/>
          <w14:textFill>
            <w14:solidFill>
              <w14:schemeClr w14:val="tx1"/>
            </w14:solidFill>
          </w14:textFill>
        </w:rPr>
        <w:t>U台柱台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桥梁基础施工产生的</w:t>
      </w:r>
      <w:r>
        <w:rPr>
          <w:rFonts w:hint="eastAsia"/>
          <w:color w:val="000000" w:themeColor="text1"/>
          <w14:textFill>
            <w14:solidFill>
              <w14:schemeClr w14:val="tx1"/>
            </w14:solidFill>
          </w14:textFill>
        </w:rPr>
        <w:t>钻孔泥浆</w:t>
      </w:r>
      <w:r>
        <w:rPr>
          <w:color w:val="000000" w:themeColor="text1"/>
          <w14:textFill>
            <w14:solidFill>
              <w14:schemeClr w14:val="tx1"/>
            </w14:solidFill>
          </w14:textFill>
        </w:rPr>
        <w:t>、废渣等将会对水体环境造成短暂影响。</w:t>
      </w:r>
      <w:r>
        <w:rPr>
          <w:rFonts w:hint="eastAsia"/>
          <w:color w:val="000000" w:themeColor="text1"/>
          <w14:textFill>
            <w14:solidFill>
              <w14:schemeClr w14:val="tx1"/>
            </w14:solidFill>
          </w14:textFill>
        </w:rPr>
        <w:t>涉水桥墩</w:t>
      </w:r>
      <w:r>
        <w:rPr>
          <w:color w:val="000000" w:themeColor="text1"/>
          <w14:textFill>
            <w14:solidFill>
              <w14:schemeClr w14:val="tx1"/>
            </w14:solidFill>
          </w14:textFill>
        </w:rPr>
        <w:t>施工时在围堰内进行，对地表水体可能产生的影响主要来自</w:t>
      </w:r>
      <w:r>
        <w:rPr>
          <w:rFonts w:hint="eastAsia"/>
          <w:color w:val="000000" w:themeColor="text1"/>
          <w14:textFill>
            <w14:solidFill>
              <w14:schemeClr w14:val="tx1"/>
            </w14:solidFill>
          </w14:textFill>
        </w:rPr>
        <w:t>桥梁基础开挖，</w:t>
      </w:r>
      <w:r>
        <w:rPr>
          <w:color w:val="000000" w:themeColor="text1"/>
          <w14:textFill>
            <w14:solidFill>
              <w14:schemeClr w14:val="tx1"/>
            </w14:solidFill>
          </w14:textFill>
        </w:rPr>
        <w:t>桩基钻孔、清孔、灌注过程中溢漏的泥浆，其主要污染物为SS。泥浆</w:t>
      </w:r>
      <w:bookmarkStart w:id="415" w:name="hmcheck_c25b1ecbe61a4061a6a7bd09a45a1ec5"/>
      <w:r>
        <w:rPr>
          <w:rFonts w:hint="eastAsia"/>
          <w:color w:val="000000" w:themeColor="text1"/>
          <w:shd w:val="clear" w:fill="FFAFAA"/>
          <w14:textFill>
            <w14:solidFill>
              <w14:schemeClr w14:val="tx1"/>
            </w14:solidFill>
          </w14:textFill>
        </w:rPr>
        <w:t>经</w:t>
      </w:r>
      <w:r>
        <w:rPr>
          <w:color w:val="000000" w:themeColor="text1"/>
          <w:shd w:val="clear" w:fill="FFAFAA"/>
          <w14:textFill>
            <w14:solidFill>
              <w14:schemeClr w14:val="tx1"/>
            </w14:solidFill>
          </w14:textFill>
        </w:rPr>
        <w:t>泵</w:t>
      </w:r>
      <w:bookmarkEnd w:id="415"/>
      <w:r>
        <w:rPr>
          <w:color w:val="000000" w:themeColor="text1"/>
          <w14:textFill>
            <w14:solidFill>
              <w14:schemeClr w14:val="tx1"/>
            </w14:solidFill>
          </w14:textFill>
        </w:rPr>
        <w:t>抽至设置于岸边</w:t>
      </w:r>
      <w:r>
        <w:rPr>
          <w:rFonts w:hint="eastAsia"/>
          <w:color w:val="000000" w:themeColor="text1"/>
          <w14:textFill>
            <w14:solidFill>
              <w14:schemeClr w14:val="tx1"/>
            </w14:solidFill>
          </w14:textFill>
        </w:rPr>
        <w:t>路基内的泥浆循环池</w:t>
      </w:r>
      <w:r>
        <w:rPr>
          <w:color w:val="000000" w:themeColor="text1"/>
          <w14:textFill>
            <w14:solidFill>
              <w14:schemeClr w14:val="tx1"/>
            </w14:solidFill>
          </w14:textFill>
        </w:rPr>
        <w:t>内，经沉淀后上清液回用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沉淀下来的底泥进入干化池干化后</w:t>
      </w:r>
      <w:r>
        <w:rPr>
          <w:rFonts w:hint="eastAsia"/>
          <w:color w:val="000000" w:themeColor="text1"/>
          <w14:textFill>
            <w14:solidFill>
              <w14:schemeClr w14:val="tx1"/>
            </w14:solidFill>
          </w14:textFill>
        </w:rPr>
        <w:t>与沉渣一起清运至线路填方区做填方利用。施工结束后少量剩余泥浆经pH调节为中性后作为废物收集在泥浆坑中，经沉淀后，少量泥浆废水经中和、沉淀处理后用于周边路基开挖场地洒水抑尘，不排放。</w:t>
      </w:r>
    </w:p>
    <w:p w14:paraId="608D41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另外，桥梁</w:t>
      </w:r>
      <w:r>
        <w:rPr>
          <w:color w:val="000000" w:themeColor="text1"/>
          <w14:textFill>
            <w14:solidFill>
              <w14:schemeClr w14:val="tx1"/>
            </w14:solidFill>
          </w14:textFill>
        </w:rPr>
        <w:t>施工需要在</w:t>
      </w:r>
      <w:r>
        <w:rPr>
          <w:rFonts w:hint="eastAsia"/>
          <w:color w:val="000000" w:themeColor="text1"/>
          <w14:textFill>
            <w14:solidFill>
              <w14:schemeClr w14:val="tx1"/>
            </w14:solidFill>
          </w14:textFill>
        </w:rPr>
        <w:t>围堰围护</w:t>
      </w:r>
      <w:r>
        <w:rPr>
          <w:color w:val="000000" w:themeColor="text1"/>
          <w14:textFill>
            <w14:solidFill>
              <w14:schemeClr w14:val="tx1"/>
            </w14:solidFill>
          </w14:textFill>
        </w:rPr>
        <w:t>下进行，围堰</w:t>
      </w:r>
      <w:r>
        <w:rPr>
          <w:rFonts w:hint="eastAsia"/>
          <w:color w:val="000000" w:themeColor="text1"/>
          <w14:textFill>
            <w14:solidFill>
              <w14:schemeClr w14:val="tx1"/>
            </w14:solidFill>
          </w14:textFill>
        </w:rPr>
        <w:t>可有效阻隔围堰内外水体的交换，施工过程泥沙入河量很低，最大影响范围一般在作业点周围150m范围内。</w:t>
      </w:r>
    </w:p>
    <w:bookmarkEnd w:id="414"/>
    <w:p w14:paraId="24177F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（4）改河涵洞施工</w:t>
      </w:r>
    </w:p>
    <w:p w14:paraId="18FEC00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本工程沿线涉及5处改河，1处改渠，及若干处涵洞建设，改河、改渠及涉水涵洞</w:t>
      </w:r>
      <w:r>
        <w:rPr>
          <w:color w:val="000000" w:themeColor="text1"/>
          <w14:textFill>
            <w14:solidFill>
              <w14:schemeClr w14:val="tx1"/>
            </w14:solidFill>
          </w14:textFill>
        </w:rPr>
        <w:t>施工需要在围堰</w:t>
      </w:r>
      <w:r>
        <w:rPr>
          <w:rFonts w:hint="eastAsia"/>
          <w:color w:val="000000" w:themeColor="text1"/>
          <w14:textFill>
            <w14:solidFill>
              <w14:schemeClr w14:val="tx1"/>
            </w14:solidFill>
          </w14:textFill>
        </w:rPr>
        <w:t>、导流围护</w:t>
      </w:r>
      <w:r>
        <w:rPr>
          <w:color w:val="000000" w:themeColor="text1"/>
          <w14:textFill>
            <w14:solidFill>
              <w14:schemeClr w14:val="tx1"/>
            </w14:solidFill>
          </w14:textFill>
        </w:rPr>
        <w:t>下进行，围堰</w:t>
      </w:r>
      <w:r>
        <w:rPr>
          <w:rFonts w:hint="eastAsia"/>
          <w:color w:val="000000" w:themeColor="text1"/>
          <w14:textFill>
            <w14:solidFill>
              <w14:schemeClr w14:val="tx1"/>
            </w14:solidFill>
          </w14:textFill>
        </w:rPr>
        <w:t>导流</w:t>
      </w:r>
      <w:r>
        <w:rPr>
          <w:color w:val="000000" w:themeColor="text1"/>
          <w14:textFill>
            <w14:solidFill>
              <w14:schemeClr w14:val="tx1"/>
            </w14:solidFill>
          </w14:textFill>
        </w:rPr>
        <w:t>过程扰动水体，使少部分悬浮物扩散，使附近水体变浑浊。</w:t>
      </w:r>
      <w:r>
        <w:rPr>
          <w:rFonts w:hint="eastAsia"/>
          <w:color w:val="000000" w:themeColor="text1"/>
          <w14:textFill>
            <w14:solidFill>
              <w14:schemeClr w14:val="tx1"/>
            </w14:solidFill>
          </w14:textFill>
        </w:rPr>
        <w:t>同时围堰修筑及拆除期间，短暂扰动水体，浑浊水流入水体会引起局部河段悬浮物浓度增加。</w:t>
      </w:r>
    </w:p>
    <w:bookmarkEnd w:id="411"/>
    <w:p w14:paraId="199C58A8">
      <w:pPr>
        <w:ind w:firstLine="480"/>
        <w:rPr>
          <w:color w:val="000000" w:themeColor="text1"/>
          <w14:textFill>
            <w14:solidFill>
              <w14:schemeClr w14:val="tx1"/>
            </w14:solidFill>
          </w14:textFill>
        </w:rPr>
      </w:pPr>
      <w:r>
        <w:rPr>
          <w:color w:val="000000" w:themeColor="text1"/>
          <w14:textFill>
            <w14:solidFill>
              <w14:schemeClr w14:val="tx1"/>
            </w14:solidFill>
          </w14:textFill>
        </w:rPr>
        <w:t>（5）雨水径流</w:t>
      </w:r>
    </w:p>
    <w:p w14:paraId="712476DF">
      <w:pPr>
        <w:ind w:firstLine="480"/>
        <w:rPr>
          <w:color w:val="000000" w:themeColor="text1"/>
          <w14:textFill>
            <w14:solidFill>
              <w14:schemeClr w14:val="tx1"/>
            </w14:solidFill>
          </w14:textFill>
        </w:rPr>
      </w:pPr>
      <w:r>
        <w:rPr>
          <w:color w:val="000000" w:themeColor="text1"/>
          <w14:textFill>
            <w14:solidFill>
              <w14:schemeClr w14:val="tx1"/>
            </w14:solidFill>
          </w14:textFill>
        </w:rPr>
        <w:t>雨水冲刷施工现场，雨水径流中含有大量悬浮物，需要采取一定的防范措施，减少雨水径流造成的水土流失，而污染附近水体。</w:t>
      </w:r>
    </w:p>
    <w:p w14:paraId="09BB7987">
      <w:pPr>
        <w:pStyle w:val="87"/>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废水污染源</w:t>
      </w:r>
    </w:p>
    <w:tbl>
      <w:tblPr>
        <w:tblStyle w:val="53"/>
        <w:tblW w:w="4925"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70"/>
        <w:gridCol w:w="1453"/>
        <w:gridCol w:w="1451"/>
        <w:gridCol w:w="5373"/>
      </w:tblGrid>
      <w:tr w14:paraId="4F07C2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6" w:hRule="atLeast"/>
        </w:trPr>
        <w:tc>
          <w:tcPr>
            <w:tcW w:w="1270" w:type="pct"/>
            <w:gridSpan w:val="2"/>
            <w:shd w:val="clear" w:color="auto" w:fill="auto"/>
            <w:vAlign w:val="center"/>
          </w:tcPr>
          <w:p w14:paraId="140F859F">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污染源</w:t>
            </w:r>
          </w:p>
        </w:tc>
        <w:tc>
          <w:tcPr>
            <w:tcW w:w="793" w:type="pct"/>
            <w:shd w:val="clear" w:color="auto" w:fill="auto"/>
            <w:vAlign w:val="center"/>
          </w:tcPr>
          <w:p w14:paraId="437B0876">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主要污染因子</w:t>
            </w:r>
          </w:p>
        </w:tc>
        <w:tc>
          <w:tcPr>
            <w:tcW w:w="2937" w:type="pct"/>
            <w:shd w:val="clear" w:color="auto" w:fill="auto"/>
            <w:vAlign w:val="center"/>
          </w:tcPr>
          <w:p w14:paraId="58ADEF58">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采取的环保措施</w:t>
            </w:r>
          </w:p>
        </w:tc>
      </w:tr>
      <w:tr w14:paraId="08F82A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trPr>
        <w:tc>
          <w:tcPr>
            <w:tcW w:w="476" w:type="pct"/>
            <w:shd w:val="clear" w:color="auto" w:fill="auto"/>
            <w:vAlign w:val="center"/>
          </w:tcPr>
          <w:p w14:paraId="392C06C1">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生活污水</w:t>
            </w:r>
          </w:p>
        </w:tc>
        <w:tc>
          <w:tcPr>
            <w:tcW w:w="794" w:type="pct"/>
            <w:shd w:val="clear" w:color="auto" w:fill="auto"/>
            <w:vAlign w:val="center"/>
          </w:tcPr>
          <w:p w14:paraId="622F0B0D">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施工沿线、</w:t>
            </w:r>
            <w:r>
              <w:rPr>
                <w:color w:val="000000" w:themeColor="text1"/>
                <w:sz w:val="20"/>
                <w:szCs w:val="24"/>
                <w14:textFill>
                  <w14:solidFill>
                    <w14:schemeClr w14:val="tx1"/>
                  </w14:solidFill>
                </w14:textFill>
              </w:rPr>
              <w:t>施工场地</w:t>
            </w:r>
          </w:p>
        </w:tc>
        <w:tc>
          <w:tcPr>
            <w:tcW w:w="793" w:type="pct"/>
            <w:shd w:val="clear" w:color="auto" w:fill="auto"/>
            <w:vAlign w:val="center"/>
          </w:tcPr>
          <w:p w14:paraId="0C43E6EC">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COD、</w:t>
            </w:r>
            <w:r>
              <w:rPr>
                <w:rFonts w:hint="eastAsia"/>
                <w:color w:val="000000" w:themeColor="text1"/>
                <w:sz w:val="20"/>
                <w:szCs w:val="24"/>
                <w14:textFill>
                  <w14:solidFill>
                    <w14:schemeClr w14:val="tx1"/>
                  </w14:solidFill>
                </w14:textFill>
              </w:rPr>
              <w:t>S</w:t>
            </w:r>
            <w:r>
              <w:rPr>
                <w:color w:val="000000" w:themeColor="text1"/>
                <w:sz w:val="20"/>
                <w:szCs w:val="24"/>
                <w14:textFill>
                  <w14:solidFill>
                    <w14:schemeClr w14:val="tx1"/>
                  </w14:solidFill>
                </w14:textFill>
              </w:rPr>
              <w:t>S</w:t>
            </w:r>
            <w:r>
              <w:rPr>
                <w:rFonts w:hint="eastAsia"/>
                <w:color w:val="000000" w:themeColor="text1"/>
                <w:sz w:val="20"/>
                <w:szCs w:val="24"/>
                <w14:textFill>
                  <w14:solidFill>
                    <w14:schemeClr w14:val="tx1"/>
                  </w14:solidFill>
                </w14:textFill>
              </w:rPr>
              <w:t>、</w:t>
            </w:r>
            <w:r>
              <w:rPr>
                <w:color w:val="000000" w:themeColor="text1"/>
                <w:sz w:val="20"/>
                <w:szCs w:val="24"/>
                <w14:textFill>
                  <w14:solidFill>
                    <w14:schemeClr w14:val="tx1"/>
                  </w14:solidFill>
                </w14:textFill>
              </w:rPr>
              <w:t>BOD</w:t>
            </w:r>
            <w:r>
              <w:rPr>
                <w:color w:val="000000" w:themeColor="text1"/>
                <w:sz w:val="20"/>
                <w:szCs w:val="24"/>
                <w:vertAlign w:val="subscript"/>
                <w14:textFill>
                  <w14:solidFill>
                    <w14:schemeClr w14:val="tx1"/>
                  </w14:solidFill>
                </w14:textFill>
              </w:rPr>
              <w:t>5</w:t>
            </w:r>
            <w:r>
              <w:rPr>
                <w:color w:val="000000" w:themeColor="text1"/>
                <w:sz w:val="20"/>
                <w:szCs w:val="24"/>
                <w14:textFill>
                  <w14:solidFill>
                    <w14:schemeClr w14:val="tx1"/>
                  </w14:solidFill>
                </w14:textFill>
              </w:rPr>
              <w:t>、NH</w:t>
            </w:r>
            <w:r>
              <w:rPr>
                <w:color w:val="000000" w:themeColor="text1"/>
                <w:sz w:val="20"/>
                <w:szCs w:val="24"/>
                <w:vertAlign w:val="subscript"/>
                <w14:textFill>
                  <w14:solidFill>
                    <w14:schemeClr w14:val="tx1"/>
                  </w14:solidFill>
                </w14:textFill>
              </w:rPr>
              <w:t>3</w:t>
            </w:r>
            <w:r>
              <w:rPr>
                <w:color w:val="000000" w:themeColor="text1"/>
                <w:sz w:val="20"/>
                <w:szCs w:val="24"/>
                <w14:textFill>
                  <w14:solidFill>
                    <w14:schemeClr w14:val="tx1"/>
                  </w14:solidFill>
                </w14:textFill>
              </w:rPr>
              <w:t>-N</w:t>
            </w:r>
          </w:p>
        </w:tc>
        <w:tc>
          <w:tcPr>
            <w:tcW w:w="2937" w:type="pct"/>
            <w:shd w:val="clear" w:color="auto" w:fill="auto"/>
            <w:vAlign w:val="center"/>
          </w:tcPr>
          <w:p w14:paraId="4D4045AB">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生活污水依托当地污水处理设施及排放系统</w:t>
            </w:r>
            <w:r>
              <w:rPr>
                <w:rFonts w:hint="eastAsia"/>
                <w:color w:val="000000" w:themeColor="text1"/>
                <w:sz w:val="20"/>
                <w:szCs w:val="24"/>
                <w14:textFill>
                  <w14:solidFill>
                    <w14:schemeClr w14:val="tx1"/>
                  </w14:solidFill>
                </w14:textFill>
              </w:rPr>
              <w:t>；施工场地的办公区和临时值班房的生活污水需建设一体化临时化粪池集中处理后，用于肥田。</w:t>
            </w:r>
          </w:p>
        </w:tc>
      </w:tr>
      <w:tr w14:paraId="1C94FB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2" w:hRule="atLeast"/>
        </w:trPr>
        <w:tc>
          <w:tcPr>
            <w:tcW w:w="476" w:type="pct"/>
            <w:vMerge w:val="restart"/>
            <w:shd w:val="clear" w:color="auto" w:fill="auto"/>
            <w:vAlign w:val="center"/>
          </w:tcPr>
          <w:p w14:paraId="0567A178">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生产废水</w:t>
            </w:r>
          </w:p>
        </w:tc>
        <w:tc>
          <w:tcPr>
            <w:tcW w:w="794" w:type="pct"/>
            <w:shd w:val="clear" w:color="auto" w:fill="auto"/>
            <w:vAlign w:val="center"/>
          </w:tcPr>
          <w:p w14:paraId="5CA89419">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机械设备冲洗含油废水</w:t>
            </w:r>
          </w:p>
        </w:tc>
        <w:tc>
          <w:tcPr>
            <w:tcW w:w="793" w:type="pct"/>
            <w:shd w:val="clear" w:color="auto" w:fill="auto"/>
            <w:vAlign w:val="center"/>
          </w:tcPr>
          <w:p w14:paraId="0C0EE071">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SS、石油类</w:t>
            </w:r>
          </w:p>
        </w:tc>
        <w:tc>
          <w:tcPr>
            <w:tcW w:w="2937" w:type="pct"/>
            <w:shd w:val="clear" w:color="auto" w:fill="auto"/>
            <w:vAlign w:val="center"/>
          </w:tcPr>
          <w:p w14:paraId="110751F9">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施工机械冲洗废水隔油沉淀后回用或用于施工场地抑尘洒水、混凝土路面养护用水，不外排。</w:t>
            </w:r>
          </w:p>
        </w:tc>
      </w:tr>
      <w:tr w14:paraId="63653A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2" w:hRule="atLeast"/>
        </w:trPr>
        <w:tc>
          <w:tcPr>
            <w:tcW w:w="476" w:type="pct"/>
            <w:vMerge w:val="continue"/>
            <w:shd w:val="clear" w:color="auto" w:fill="auto"/>
            <w:vAlign w:val="center"/>
          </w:tcPr>
          <w:p w14:paraId="63D6E205">
            <w:pPr>
              <w:pStyle w:val="105"/>
              <w:rPr>
                <w:color w:val="000000" w:themeColor="text1"/>
                <w:sz w:val="20"/>
                <w:szCs w:val="24"/>
                <w14:textFill>
                  <w14:solidFill>
                    <w14:schemeClr w14:val="tx1"/>
                  </w14:solidFill>
                </w14:textFill>
              </w:rPr>
            </w:pPr>
          </w:p>
        </w:tc>
        <w:tc>
          <w:tcPr>
            <w:tcW w:w="794" w:type="pct"/>
            <w:shd w:val="clear" w:color="auto" w:fill="auto"/>
            <w:vAlign w:val="center"/>
          </w:tcPr>
          <w:p w14:paraId="45A0018F">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混凝土浇筑冲洗废水</w:t>
            </w:r>
          </w:p>
        </w:tc>
        <w:tc>
          <w:tcPr>
            <w:tcW w:w="793" w:type="pct"/>
            <w:shd w:val="clear" w:color="auto" w:fill="auto"/>
            <w:vAlign w:val="center"/>
          </w:tcPr>
          <w:p w14:paraId="5FC2F906">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SS</w:t>
            </w:r>
          </w:p>
        </w:tc>
        <w:tc>
          <w:tcPr>
            <w:tcW w:w="2937" w:type="pct"/>
            <w:shd w:val="clear" w:color="auto" w:fill="auto"/>
            <w:vAlign w:val="center"/>
          </w:tcPr>
          <w:p w14:paraId="298BADB5">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在施工场地内设置沉淀池，</w:t>
            </w:r>
            <w:r>
              <w:rPr>
                <w:color w:val="000000" w:themeColor="text1"/>
                <w:sz w:val="20"/>
                <w:szCs w:val="24"/>
                <w14:textFill>
                  <w14:solidFill>
                    <w14:schemeClr w14:val="tx1"/>
                  </w14:solidFill>
                </w14:textFill>
              </w:rPr>
              <w:t>沉淀后回用</w:t>
            </w:r>
          </w:p>
        </w:tc>
      </w:tr>
      <w:tr w14:paraId="037FC9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2" w:hRule="atLeast"/>
        </w:trPr>
        <w:tc>
          <w:tcPr>
            <w:tcW w:w="476" w:type="pct"/>
            <w:vMerge w:val="restart"/>
            <w:shd w:val="clear" w:color="auto" w:fill="auto"/>
            <w:vAlign w:val="center"/>
          </w:tcPr>
          <w:p w14:paraId="39396D98">
            <w:pPr>
              <w:pStyle w:val="105"/>
              <w:rPr>
                <w:color w:val="000000" w:themeColor="text1"/>
                <w:sz w:val="20"/>
                <w:szCs w:val="24"/>
                <w14:textFill>
                  <w14:solidFill>
                    <w14:schemeClr w14:val="tx1"/>
                  </w14:solidFill>
                </w14:textFill>
              </w:rPr>
            </w:pPr>
            <w:r>
              <w:rPr>
                <w:color w:val="000000" w:themeColor="text1"/>
                <w14:textFill>
                  <w14:solidFill>
                    <w14:schemeClr w14:val="tx1"/>
                  </w14:solidFill>
                </w14:textFill>
              </w:rPr>
              <w:t>桥梁施工废水</w:t>
            </w:r>
          </w:p>
        </w:tc>
        <w:tc>
          <w:tcPr>
            <w:tcW w:w="794" w:type="pct"/>
            <w:shd w:val="clear" w:color="auto" w:fill="auto"/>
            <w:vAlign w:val="center"/>
          </w:tcPr>
          <w:p w14:paraId="7634AB64">
            <w:pPr>
              <w:pStyle w:val="105"/>
              <w:rPr>
                <w:color w:val="000000" w:themeColor="text1"/>
                <w:sz w:val="20"/>
                <w:szCs w:val="24"/>
                <w14:textFill>
                  <w14:solidFill>
                    <w14:schemeClr w14:val="tx1"/>
                  </w14:solidFill>
                </w14:textFill>
              </w:rPr>
            </w:pPr>
            <w:r>
              <w:rPr>
                <w:color w:val="000000" w:themeColor="text1"/>
                <w14:textFill>
                  <w14:solidFill>
                    <w14:schemeClr w14:val="tx1"/>
                  </w14:solidFill>
                </w14:textFill>
              </w:rPr>
              <w:t>泥浆</w:t>
            </w:r>
          </w:p>
        </w:tc>
        <w:tc>
          <w:tcPr>
            <w:tcW w:w="793" w:type="pct"/>
            <w:shd w:val="clear" w:color="auto" w:fill="auto"/>
            <w:vAlign w:val="center"/>
          </w:tcPr>
          <w:p w14:paraId="548308DE">
            <w:pPr>
              <w:pStyle w:val="105"/>
              <w:rPr>
                <w:color w:val="000000" w:themeColor="text1"/>
                <w:sz w:val="20"/>
                <w:szCs w:val="24"/>
                <w14:textFill>
                  <w14:solidFill>
                    <w14:schemeClr w14:val="tx1"/>
                  </w14:solidFill>
                </w14:textFill>
              </w:rPr>
            </w:pPr>
            <w:r>
              <w:rPr>
                <w:rFonts w:hint="eastAsia"/>
                <w:color w:val="000000" w:themeColor="text1"/>
                <w14:textFill>
                  <w14:solidFill>
                    <w14:schemeClr w14:val="tx1"/>
                  </w14:solidFill>
                </w14:textFill>
              </w:rPr>
              <w:t>泥浆废水</w:t>
            </w:r>
          </w:p>
        </w:tc>
        <w:tc>
          <w:tcPr>
            <w:tcW w:w="2937" w:type="pct"/>
            <w:shd w:val="clear" w:color="auto" w:fill="auto"/>
            <w:vAlign w:val="center"/>
          </w:tcPr>
          <w:p w14:paraId="04143987">
            <w:pPr>
              <w:pStyle w:val="105"/>
              <w:rPr>
                <w:color w:val="000000" w:themeColor="text1"/>
                <w:sz w:val="20"/>
                <w:szCs w:val="24"/>
                <w14:textFill>
                  <w14:solidFill>
                    <w14:schemeClr w14:val="tx1"/>
                  </w14:solidFill>
                </w14:textFill>
              </w:rPr>
            </w:pPr>
            <w:r>
              <w:rPr>
                <w:color w:val="000000" w:themeColor="text1"/>
                <w14:textFill>
                  <w14:solidFill>
                    <w14:schemeClr w14:val="tx1"/>
                  </w14:solidFill>
                </w14:textFill>
              </w:rPr>
              <w:t>泥浆</w:t>
            </w:r>
            <w:bookmarkStart w:id="416" w:name="hmcheck_66f10bb3bc4d452cb39b7c0eeacbfbf8"/>
            <w:r>
              <w:rPr>
                <w:rFonts w:hint="eastAsia"/>
                <w:color w:val="000000" w:themeColor="text1"/>
                <w:shd w:val="clear" w:fill="FFAFAA"/>
                <w14:textFill>
                  <w14:solidFill>
                    <w14:schemeClr w14:val="tx1"/>
                  </w14:solidFill>
                </w14:textFill>
              </w:rPr>
              <w:t>经</w:t>
            </w:r>
            <w:r>
              <w:rPr>
                <w:color w:val="000000" w:themeColor="text1"/>
                <w:shd w:val="clear" w:fill="FFAFAA"/>
                <w14:textFill>
                  <w14:solidFill>
                    <w14:schemeClr w14:val="tx1"/>
                  </w14:solidFill>
                </w14:textFill>
              </w:rPr>
              <w:t>泵</w:t>
            </w:r>
            <w:bookmarkEnd w:id="416"/>
            <w:r>
              <w:rPr>
                <w:color w:val="000000" w:themeColor="text1"/>
                <w14:textFill>
                  <w14:solidFill>
                    <w14:schemeClr w14:val="tx1"/>
                  </w14:solidFill>
                </w14:textFill>
              </w:rPr>
              <w:t>抽至设置于岸边</w:t>
            </w:r>
            <w:r>
              <w:rPr>
                <w:rFonts w:hint="eastAsia"/>
                <w:color w:val="000000" w:themeColor="text1"/>
                <w14:textFill>
                  <w14:solidFill>
                    <w14:schemeClr w14:val="tx1"/>
                  </w14:solidFill>
                </w14:textFill>
              </w:rPr>
              <w:t>路基泥浆</w:t>
            </w:r>
            <w:r>
              <w:rPr>
                <w:color w:val="000000" w:themeColor="text1"/>
                <w14:textFill>
                  <w14:solidFill>
                    <w14:schemeClr w14:val="tx1"/>
                  </w14:solidFill>
                </w14:textFill>
              </w:rPr>
              <w:t>沉淀池内，经沉淀后上清液回用</w:t>
            </w:r>
            <w:r>
              <w:rPr>
                <w:rFonts w:hint="eastAsia"/>
                <w:color w:val="000000" w:themeColor="text1"/>
                <w14:textFill>
                  <w14:solidFill>
                    <w14:schemeClr w14:val="tx1"/>
                  </w14:solidFill>
                </w14:textFill>
              </w:rPr>
              <w:t>，施工结束后少量泥浆废水经中和、沉淀处理后用于周边管沟开挖场地洒水抑尘，不排放。</w:t>
            </w:r>
          </w:p>
        </w:tc>
      </w:tr>
      <w:tr w14:paraId="1A1A60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2" w:hRule="atLeast"/>
        </w:trPr>
        <w:tc>
          <w:tcPr>
            <w:tcW w:w="476" w:type="pct"/>
            <w:vMerge w:val="continue"/>
            <w:shd w:val="clear" w:color="auto" w:fill="auto"/>
            <w:vAlign w:val="center"/>
          </w:tcPr>
          <w:p w14:paraId="3BA3CC59">
            <w:pPr>
              <w:pStyle w:val="105"/>
              <w:rPr>
                <w:color w:val="000000" w:themeColor="text1"/>
                <w:sz w:val="20"/>
                <w:szCs w:val="24"/>
                <w14:textFill>
                  <w14:solidFill>
                    <w14:schemeClr w14:val="tx1"/>
                  </w14:solidFill>
                </w14:textFill>
              </w:rPr>
            </w:pPr>
          </w:p>
        </w:tc>
        <w:tc>
          <w:tcPr>
            <w:tcW w:w="794" w:type="pct"/>
            <w:shd w:val="clear" w:color="auto" w:fill="auto"/>
            <w:vAlign w:val="center"/>
          </w:tcPr>
          <w:p w14:paraId="74732E55">
            <w:pPr>
              <w:pStyle w:val="105"/>
              <w:rPr>
                <w:color w:val="000000" w:themeColor="text1"/>
                <w:sz w:val="20"/>
                <w:szCs w:val="24"/>
                <w14:textFill>
                  <w14:solidFill>
                    <w14:schemeClr w14:val="tx1"/>
                  </w14:solidFill>
                </w14:textFill>
              </w:rPr>
            </w:pPr>
            <w:r>
              <w:rPr>
                <w:rFonts w:hint="eastAsia"/>
                <w:color w:val="000000" w:themeColor="text1"/>
                <w14:textFill>
                  <w14:solidFill>
                    <w14:schemeClr w14:val="tx1"/>
                  </w14:solidFill>
                </w14:textFill>
              </w:rPr>
              <w:t>桥梁基础</w:t>
            </w:r>
          </w:p>
        </w:tc>
        <w:tc>
          <w:tcPr>
            <w:tcW w:w="793" w:type="pct"/>
            <w:shd w:val="clear" w:color="auto" w:fill="auto"/>
            <w:vAlign w:val="center"/>
          </w:tcPr>
          <w:p w14:paraId="02CA6C4C">
            <w:pPr>
              <w:pStyle w:val="105"/>
              <w:rPr>
                <w:color w:val="000000" w:themeColor="text1"/>
                <w:sz w:val="20"/>
                <w:szCs w:val="24"/>
                <w14:textFill>
                  <w14:solidFill>
                    <w14:schemeClr w14:val="tx1"/>
                  </w14:solidFill>
                </w14:textFill>
              </w:rPr>
            </w:pPr>
            <w:r>
              <w:rPr>
                <w:color w:val="000000" w:themeColor="text1"/>
                <w14:textFill>
                  <w14:solidFill>
                    <w14:schemeClr w14:val="tx1"/>
                  </w14:solidFill>
                </w14:textFill>
              </w:rPr>
              <w:t>SS</w:t>
            </w:r>
          </w:p>
        </w:tc>
        <w:tc>
          <w:tcPr>
            <w:tcW w:w="2937" w:type="pct"/>
            <w:shd w:val="clear" w:color="auto" w:fill="auto"/>
            <w:vAlign w:val="center"/>
          </w:tcPr>
          <w:p w14:paraId="66ED9F31">
            <w:pPr>
              <w:pStyle w:val="105"/>
              <w:rPr>
                <w:color w:val="000000" w:themeColor="text1"/>
                <w:sz w:val="20"/>
                <w:szCs w:val="24"/>
                <w14:textFill>
                  <w14:solidFill>
                    <w14:schemeClr w14:val="tx1"/>
                  </w14:solidFill>
                </w14:textFill>
              </w:rPr>
            </w:pPr>
            <w:r>
              <w:rPr>
                <w:rFonts w:hint="eastAsia"/>
                <w:color w:val="000000" w:themeColor="text1"/>
                <w14:textFill>
                  <w14:solidFill>
                    <w14:schemeClr w14:val="tx1"/>
                  </w14:solidFill>
                </w14:textFill>
              </w:rPr>
              <w:t>围堰施工</w:t>
            </w:r>
          </w:p>
        </w:tc>
      </w:tr>
      <w:tr w14:paraId="1C4931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2" w:hRule="atLeast"/>
        </w:trPr>
        <w:tc>
          <w:tcPr>
            <w:tcW w:w="476" w:type="pct"/>
            <w:shd w:val="clear" w:color="auto" w:fill="auto"/>
            <w:vAlign w:val="center"/>
          </w:tcPr>
          <w:p w14:paraId="3EFA99C2">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改河改渠、涵洞涉水施工</w:t>
            </w:r>
          </w:p>
        </w:tc>
        <w:tc>
          <w:tcPr>
            <w:tcW w:w="794" w:type="pct"/>
            <w:shd w:val="clear" w:color="auto" w:fill="auto"/>
            <w:vAlign w:val="center"/>
          </w:tcPr>
          <w:p w14:paraId="51F84299">
            <w:pPr>
              <w:pStyle w:val="105"/>
              <w:rPr>
                <w:color w:val="000000" w:themeColor="text1"/>
                <w14:textFill>
                  <w14:solidFill>
                    <w14:schemeClr w14:val="tx1"/>
                  </w14:solidFill>
                </w14:textFill>
              </w:rPr>
            </w:pPr>
            <w:r>
              <w:rPr>
                <w:rFonts w:hint="eastAsia"/>
                <w:color w:val="000000" w:themeColor="text1"/>
                <w:sz w:val="20"/>
                <w:szCs w:val="24"/>
                <w14:textFill>
                  <w14:solidFill>
                    <w14:schemeClr w14:val="tx1"/>
                  </w14:solidFill>
                </w14:textFill>
              </w:rPr>
              <w:t>涉水施工</w:t>
            </w:r>
          </w:p>
        </w:tc>
        <w:tc>
          <w:tcPr>
            <w:tcW w:w="793" w:type="pct"/>
            <w:shd w:val="clear" w:color="auto" w:fill="auto"/>
            <w:vAlign w:val="center"/>
          </w:tcPr>
          <w:p w14:paraId="58EE8860">
            <w:pPr>
              <w:pStyle w:val="105"/>
              <w:rPr>
                <w:color w:val="000000" w:themeColor="text1"/>
                <w14:textFill>
                  <w14:solidFill>
                    <w14:schemeClr w14:val="tx1"/>
                  </w14:solidFill>
                </w14:textFill>
              </w:rPr>
            </w:pPr>
            <w:r>
              <w:rPr>
                <w:color w:val="000000" w:themeColor="text1"/>
                <w14:textFill>
                  <w14:solidFill>
                    <w14:schemeClr w14:val="tx1"/>
                  </w14:solidFill>
                </w14:textFill>
              </w:rPr>
              <w:t>SS</w:t>
            </w:r>
          </w:p>
        </w:tc>
        <w:tc>
          <w:tcPr>
            <w:tcW w:w="2937" w:type="pct"/>
            <w:shd w:val="clear" w:color="auto" w:fill="auto"/>
            <w:vAlign w:val="center"/>
          </w:tcPr>
          <w:p w14:paraId="14C7B8A1">
            <w:pPr>
              <w:pStyle w:val="105"/>
              <w:rPr>
                <w:color w:val="000000" w:themeColor="text1"/>
                <w14:textFill>
                  <w14:solidFill>
                    <w14:schemeClr w14:val="tx1"/>
                  </w14:solidFill>
                </w14:textFill>
              </w:rPr>
            </w:pPr>
            <w:r>
              <w:rPr>
                <w:color w:val="000000" w:themeColor="text1"/>
                <w14:textFill>
                  <w14:solidFill>
                    <w14:schemeClr w14:val="tx1"/>
                  </w14:solidFill>
                </w14:textFill>
              </w:rPr>
              <w:t>围堰</w:t>
            </w:r>
            <w:r>
              <w:rPr>
                <w:rFonts w:hint="eastAsia"/>
                <w:color w:val="000000" w:themeColor="text1"/>
                <w14:textFill>
                  <w14:solidFill>
                    <w14:schemeClr w14:val="tx1"/>
                  </w14:solidFill>
                </w14:textFill>
              </w:rPr>
              <w:t>导流</w:t>
            </w:r>
            <w:r>
              <w:rPr>
                <w:color w:val="000000" w:themeColor="text1"/>
                <w14:textFill>
                  <w14:solidFill>
                    <w14:schemeClr w14:val="tx1"/>
                  </w14:solidFill>
                </w14:textFill>
              </w:rPr>
              <w:t>过程扰动水体，使少部分悬浮物扩散，使附近水体变浑浊。</w:t>
            </w:r>
          </w:p>
        </w:tc>
      </w:tr>
      <w:tr w14:paraId="196722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9" w:hRule="atLeast"/>
        </w:trPr>
        <w:tc>
          <w:tcPr>
            <w:tcW w:w="476" w:type="pct"/>
            <w:shd w:val="clear" w:color="auto" w:fill="auto"/>
            <w:vAlign w:val="center"/>
          </w:tcPr>
          <w:p w14:paraId="2778D4E9">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全线施工地表扰动</w:t>
            </w:r>
          </w:p>
        </w:tc>
        <w:tc>
          <w:tcPr>
            <w:tcW w:w="794" w:type="pct"/>
            <w:shd w:val="clear" w:color="auto" w:fill="auto"/>
            <w:vAlign w:val="center"/>
          </w:tcPr>
          <w:p w14:paraId="3473F4DB">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雨水径流</w:t>
            </w:r>
          </w:p>
        </w:tc>
        <w:tc>
          <w:tcPr>
            <w:tcW w:w="793" w:type="pct"/>
            <w:shd w:val="clear" w:color="auto" w:fill="auto"/>
            <w:vAlign w:val="center"/>
          </w:tcPr>
          <w:p w14:paraId="5BF6F040">
            <w:pPr>
              <w:pStyle w:val="105"/>
              <w:rPr>
                <w:color w:val="000000" w:themeColor="text1"/>
                <w:sz w:val="20"/>
                <w:szCs w:val="24"/>
                <w14:textFill>
                  <w14:solidFill>
                    <w14:schemeClr w14:val="tx1"/>
                  </w14:solidFill>
                </w14:textFill>
              </w:rPr>
            </w:pPr>
            <w:r>
              <w:rPr>
                <w:color w:val="000000" w:themeColor="text1"/>
                <w:sz w:val="20"/>
                <w:szCs w:val="24"/>
                <w14:textFill>
                  <w14:solidFill>
                    <w14:schemeClr w14:val="tx1"/>
                  </w14:solidFill>
                </w14:textFill>
              </w:rPr>
              <w:t>SS</w:t>
            </w:r>
          </w:p>
        </w:tc>
        <w:tc>
          <w:tcPr>
            <w:tcW w:w="2937" w:type="pct"/>
            <w:shd w:val="clear" w:color="auto" w:fill="auto"/>
            <w:vAlign w:val="center"/>
          </w:tcPr>
          <w:p w14:paraId="67AD21CB">
            <w:pPr>
              <w:pStyle w:val="105"/>
              <w:rPr>
                <w:color w:val="000000" w:themeColor="text1"/>
                <w:sz w:val="20"/>
                <w:szCs w:val="24"/>
                <w14:textFill>
                  <w14:solidFill>
                    <w14:schemeClr w14:val="tx1"/>
                  </w14:solidFill>
                </w14:textFill>
              </w:rPr>
            </w:pPr>
            <w:r>
              <w:rPr>
                <w:rFonts w:hint="eastAsia"/>
                <w:color w:val="000000" w:themeColor="text1"/>
                <w:sz w:val="20"/>
                <w:szCs w:val="24"/>
                <w14:textFill>
                  <w14:solidFill>
                    <w14:schemeClr w14:val="tx1"/>
                  </w14:solidFill>
                </w14:textFill>
              </w:rPr>
              <w:t>在主体工程区挖填边坡坡脚、施工便道沿线、施工场地和表土临时堆场周围增设临时排水沟，用于施工期间 排导地表水，并在排水沟出口处设置沉沙池，沉淀泥沙，雨水经沉沙池沉淀后排入 沿线溪沟，最终排入迳江河道。</w:t>
            </w:r>
          </w:p>
        </w:tc>
      </w:tr>
      <w:bookmarkEnd w:id="406"/>
    </w:tbl>
    <w:p w14:paraId="4F77E58C">
      <w:pPr>
        <w:pStyle w:val="118"/>
        <w:spacing w:before="24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施工期废气</w:t>
      </w:r>
    </w:p>
    <w:p w14:paraId="25BBDF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本项目各类施工场地的主要废气为：</w:t>
      </w:r>
    </w:p>
    <w:p w14:paraId="6303865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①沥青路面摊铺产生的沥青烟：主要废气污染物为粉尘、非甲烷总烃、沥青烟、恶臭等。</w:t>
      </w:r>
    </w:p>
    <w:p w14:paraId="7A8DE2F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粉尘：在公路施工过程中，沥青路面摊铺，建筑物拆除，材料的装卸、运输和堆放，土石方的开挖和回填等作业过程，上述各环节在受风力的作用下将会对施工现场及周围环境产生粉尘、扬尘污染。另外，运输车辆行驶将产生道路二次扬尘污染。</w:t>
      </w:r>
    </w:p>
    <w:p w14:paraId="5428D0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设备车辆燃油废气</w:t>
      </w:r>
      <w:r>
        <w:rPr>
          <w:rFonts w:hint="eastAsia"/>
          <w:color w:val="000000" w:themeColor="text1"/>
          <w14:textFill>
            <w14:solidFill>
              <w14:schemeClr w14:val="tx1"/>
            </w14:solidFill>
          </w14:textFill>
        </w:rPr>
        <w:t>。</w:t>
      </w:r>
    </w:p>
    <w:p w14:paraId="3A79260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）沥青路面摊铺废气</w:t>
      </w:r>
    </w:p>
    <w:p w14:paraId="1343F8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沥青烟气主要出现在沥青熬炼、搅拌和铺设过程中，以熬炼时排放量最大，沥青烟气的主要污染物以THC、TSP和苯并（α）芘为主。本项目不设沥青</w:t>
      </w:r>
      <w:bookmarkStart w:id="417" w:name="hmcheck_66a3d784a2a2413cb5f098093083b5fc"/>
      <w:r>
        <w:rPr>
          <w:rFonts w:hint="eastAsia"/>
          <w:color w:val="000000" w:themeColor="text1"/>
          <w:shd w:val="clear" w:fill="FFAFAA"/>
          <w14:textFill>
            <w14:solidFill>
              <w14:schemeClr w14:val="tx1"/>
            </w14:solidFill>
          </w14:textFill>
        </w:rPr>
        <w:t>拌和</w:t>
      </w:r>
      <w:bookmarkEnd w:id="417"/>
      <w:r>
        <w:rPr>
          <w:rFonts w:hint="eastAsia"/>
          <w:color w:val="000000" w:themeColor="text1"/>
          <w14:textFill>
            <w14:solidFill>
              <w14:schemeClr w14:val="tx1"/>
            </w14:solidFill>
          </w14:textFill>
        </w:rPr>
        <w:t>站，采用商品沥青，因此只有在摊铺过程中会产生少量沥青烟雾，主要污染物为 THC（烃类）、酚和苯并（a）芘以及异味气体。类比同类工程，在沥青摊铺施工点下风向50m外苯并[a]芘浓度低于0.00001mg/m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，酚在下风向60m左右≤0.01mg/m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，THC浓度在60m左右≤0.16mg/m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。其污染影响范围一般在周边外 50m 之内以及在距离下风向 100m 左右。因此，铺浇沥青混凝土路面前，应及时通知附近村民等环境空气敏感对象。</w:t>
      </w:r>
    </w:p>
    <w:p w14:paraId="71A562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）扬尘</w:t>
      </w:r>
    </w:p>
    <w:p w14:paraId="4E72860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施工过程扬尘主要来自运输扬尘，水稳</w:t>
      </w:r>
      <w:bookmarkStart w:id="418" w:name="hmcheck_c4d3fe6c84534814bbe6b1c276a49713"/>
      <w:r>
        <w:rPr>
          <w:rFonts w:hint="eastAsia"/>
          <w:color w:val="000000" w:themeColor="text1"/>
          <w:shd w:val="clear" w:fill="FFAFAA"/>
          <w14:textFill>
            <w14:solidFill>
              <w14:schemeClr w14:val="tx1"/>
            </w14:solidFill>
          </w14:textFill>
        </w:rPr>
        <w:t>拌合站</w:t>
      </w:r>
      <w:bookmarkEnd w:id="418"/>
      <w:r>
        <w:rPr>
          <w:rFonts w:hint="eastAsia"/>
          <w:color w:val="000000" w:themeColor="text1"/>
          <w14:textFill>
            <w14:solidFill>
              <w14:schemeClr w14:val="tx1"/>
            </w14:solidFill>
          </w14:textFill>
        </w:rPr>
        <w:t>及施工作业点扬尘，材料的运输和堆放分离扬尘。</w:t>
      </w:r>
    </w:p>
    <w:p w14:paraId="73A9C95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作业点扬尘：施工作业点扬尘主要为路基挖填平整、碎石、砂土层铺设、取土产生的扬尘。公路建设一般为多点施工，因此施工粉尘呈多点或面源性质，为无组织排放，在时间和空间上较零散，这些扬尘的排放源为无组织排放的面源，其源强与扬尘颗粒物的粒径大小、比重以及环境风速、湿度等因素有关。风速越大、颗粒越小，沙土的含水率越小，扬尘的产生量就越大。一般情况下施工扬尘的影响范围在200m以内。在扬尘点下风向0～50m为较重污染带、50～100m为污染带、100～200m为轻污染带，200m以外对大气影响甚微。</w:t>
      </w:r>
    </w:p>
    <w:p w14:paraId="19EEE9C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②施工场地扬尘：本项目施工搅拌均采用站拌形式，并配有除尘设施，根据类似工程实际调查资料，</w:t>
      </w:r>
      <w:bookmarkStart w:id="419" w:name="hmcheck_a6438c3cd6ec4883a40311c6fc76d662"/>
      <w:r>
        <w:rPr>
          <w:rFonts w:hint="eastAsia"/>
          <w:color w:val="000000" w:themeColor="text1"/>
          <w:shd w:val="clear" w:fill="B2E9BC"/>
          <w:lang w:eastAsia="zh-CN"/>
          <w14:textFill>
            <w14:solidFill>
              <w14:schemeClr w14:val="tx1"/>
            </w14:solidFill>
          </w14:textFill>
        </w:rPr>
        <w:t>水稳拌合站</w:t>
      </w:r>
      <w:bookmarkEnd w:id="419"/>
      <w:r>
        <w:rPr>
          <w:rFonts w:hint="eastAsia"/>
          <w:color w:val="000000" w:themeColor="text1"/>
          <w14:textFill>
            <w14:solidFill>
              <w14:schemeClr w14:val="tx1"/>
            </w14:solidFill>
          </w14:textFill>
        </w:rPr>
        <w:t>下风向50m处TSP浓度为8.90mg/m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；下风向100m处TSP为1.65mg/m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；下风向150m处符合环境空气质量二级标准；其他作业环节产生的TSP污染可控制在200m范围内，因此施工粉尘的影响范围为距污染源下风向200m的范围内。</w:t>
      </w:r>
    </w:p>
    <w:p w14:paraId="6D0552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③施工期砂石、粉状材料堆放</w:t>
      </w:r>
    </w:p>
    <w:p w14:paraId="7AB2FB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砂石料和粉状物料堆存过程中在大风天气下极易起尘，使得堆存场所下风向环境空气中悬浮颗粒物浓度增加，从而对堆存场所下风向环境空气质量造成一定的影响。根据已有资料分析，在大风天气下砂石料和粉状物料起尘对下风向环境空气质量的影响范围约在300m内。</w:t>
      </w:r>
    </w:p>
    <w:p w14:paraId="7E15886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w:t>
      </w:r>
      <w:bookmarkStart w:id="420" w:name="_Hlk89352008"/>
      <w:r>
        <w:rPr>
          <w:rFonts w:hint="eastAsia"/>
          <w:color w:val="000000" w:themeColor="text1"/>
          <w14:textFill>
            <w14:solidFill>
              <w14:schemeClr w14:val="tx1"/>
            </w14:solidFill>
          </w14:textFill>
        </w:rPr>
        <w:t>运输</w:t>
      </w:r>
      <w:r>
        <w:rPr>
          <w:color w:val="000000" w:themeColor="text1"/>
          <w14:textFill>
            <w14:solidFill>
              <w14:schemeClr w14:val="tx1"/>
            </w14:solidFill>
          </w14:textFill>
        </w:rPr>
        <w:t>扬尘</w:t>
      </w:r>
      <w:bookmarkEnd w:id="420"/>
    </w:p>
    <w:p w14:paraId="4DD763FF">
      <w:pPr>
        <w:ind w:firstLine="480"/>
        <w:rPr>
          <w:color w:val="000000" w:themeColor="text1"/>
          <w14:textFill>
            <w14:solidFill>
              <w14:schemeClr w14:val="tx1"/>
            </w14:solidFill>
          </w14:textFill>
        </w:rPr>
      </w:pPr>
      <w:bookmarkStart w:id="421" w:name="_Hlk143421249"/>
      <w:r>
        <w:rPr>
          <w:rFonts w:hint="eastAsia"/>
          <w:color w:val="000000" w:themeColor="text1"/>
          <w14:textFill>
            <w14:solidFill>
              <w14:schemeClr w14:val="tx1"/>
            </w14:solidFill>
          </w14:textFill>
        </w:rPr>
        <w:t>汽车运输也会产生扬尘污染，其扬尘量、粒径大小等与多种因素相关，如路面状况、车辆行驶速度、载重量和天气情况等。其中风速、风向等天气状况直接影响扬尘的传输方向和距离。</w:t>
      </w: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某</w:t>
      </w:r>
      <w:r>
        <w:rPr>
          <w:color w:val="000000" w:themeColor="text1"/>
          <w14:textFill>
            <w14:solidFill>
              <w14:schemeClr w14:val="tx1"/>
            </w14:solidFill>
          </w14:textFill>
        </w:rPr>
        <w:t>施工现场汽车运输引起的扬尘现场检测数据，</w:t>
      </w:r>
      <w:r>
        <w:rPr>
          <w:rFonts w:hint="eastAsia"/>
          <w:color w:val="000000" w:themeColor="text1"/>
          <w14:textFill>
            <w14:solidFill>
              <w14:schemeClr w14:val="tx1"/>
            </w14:solidFill>
          </w14:textFill>
        </w:rPr>
        <w:t>测定时风速2.6m/s，</w:t>
      </w:r>
      <w:r>
        <w:rPr>
          <w:color w:val="000000" w:themeColor="text1"/>
          <w14:textFill>
            <w14:solidFill>
              <w14:schemeClr w14:val="tx1"/>
            </w14:solidFill>
          </w14:textFill>
        </w:rPr>
        <w:t>灰土运输车辆下风向50m处TSP的浓度为11.625mg/m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；下风向100m处TSP的浓度为9.69mg/m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；下风向150m处TSP的浓度为5.093mg/m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，超过环境空气质量二级标准。鉴于</w:t>
      </w:r>
      <w:r>
        <w:rPr>
          <w:rFonts w:hint="eastAsia"/>
          <w:color w:val="000000" w:themeColor="text1"/>
          <w14:textFill>
            <w14:solidFill>
              <w14:schemeClr w14:val="tx1"/>
            </w14:solidFill>
          </w14:textFill>
        </w:rPr>
        <w:t>项目局部路段</w:t>
      </w:r>
      <w:r>
        <w:rPr>
          <w:color w:val="000000" w:themeColor="text1"/>
          <w14:textFill>
            <w14:solidFill>
              <w14:schemeClr w14:val="tx1"/>
            </w14:solidFill>
          </w14:textFill>
        </w:rPr>
        <w:t>两侧居民点较多，应加强对施工期的</w:t>
      </w:r>
      <w:r>
        <w:rPr>
          <w:rFonts w:hint="eastAsia"/>
          <w:color w:val="000000" w:themeColor="text1"/>
          <w14:textFill>
            <w14:solidFill>
              <w14:schemeClr w14:val="tx1"/>
            </w14:solidFill>
          </w14:textFill>
        </w:rPr>
        <w:t>环境空气监测</w:t>
      </w:r>
      <w:r>
        <w:rPr>
          <w:color w:val="000000" w:themeColor="text1"/>
          <w14:textFill>
            <w14:solidFill>
              <w14:schemeClr w14:val="tx1"/>
            </w14:solidFill>
          </w14:textFill>
        </w:rPr>
        <w:t>和运输道路的车辆管理工作，减轻道路扬尘造成的空气污染。</w:t>
      </w:r>
    </w:p>
    <w:bookmarkEnd w:id="421"/>
    <w:p w14:paraId="4D04AC5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（3）施工机械尾气</w:t>
      </w:r>
    </w:p>
    <w:p w14:paraId="6AF72E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施工机械、车辆尾气主要来源各类建材、土石方运输车辆以及燃油压路机（路面平整）、燃油推土机（路基处理）等施工机械运行过程</w:t>
      </w:r>
      <w:bookmarkStart w:id="422" w:name="_Hlk143421333"/>
      <w:r>
        <w:rPr>
          <w:rFonts w:hint="eastAsia"/>
          <w:color w:val="000000" w:themeColor="text1"/>
          <w14:textFill>
            <w14:solidFill>
              <w14:schemeClr w14:val="tx1"/>
            </w14:solidFill>
          </w14:textFill>
        </w:rPr>
        <w:t>，主要污染物有NO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、THC等。据类比分析，施工废气污染物影响距离为施工场所下风向</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0m左右。</w:t>
      </w:r>
    </w:p>
    <w:bookmarkEnd w:id="422"/>
    <w:p w14:paraId="2353BB76">
      <w:pPr>
        <w:pStyle w:val="118"/>
        <w:rPr>
          <w:color w:val="000000" w:themeColor="text1"/>
          <w14:textFill>
            <w14:solidFill>
              <w14:schemeClr w14:val="tx1"/>
            </w14:solidFill>
          </w14:textFill>
        </w:rPr>
      </w:pPr>
      <w:bookmarkStart w:id="423" w:name="_Hlk143421354"/>
      <w:r>
        <w:rPr>
          <w:rFonts w:hint="eastAsia"/>
          <w:color w:val="000000" w:themeColor="text1"/>
          <w14:textFill>
            <w14:solidFill>
              <w14:schemeClr w14:val="tx1"/>
            </w14:solidFill>
          </w14:textFill>
        </w:rPr>
        <w:t>施工期噪声</w:t>
      </w:r>
    </w:p>
    <w:p w14:paraId="587862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（1）施工场地噪声源</w:t>
      </w:r>
    </w:p>
    <w:p w14:paraId="6AFB04F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噪声来自各种施工作业，主要有筑路机械噪声、车辆运输噪声以及现场处理噪声。在施工现场，随着工程进展，采用不同的机械设备。如在路基阶段采用挖掘机、推土机、平土机和大吨位的装载汽车等；在路面工程中有压路机、摊铺机等。根据地勘结合施工组织设计，本项目K4+860~K5+020段存在大量石方开挖，该路段临近古厝和电塔，为</w:t>
      </w:r>
      <w:bookmarkStart w:id="424" w:name="hmcheck_675c06e1aa9d4f588b4f9c54018b5c01"/>
      <w:r>
        <w:rPr>
          <w:rFonts w:hint="eastAsia"/>
          <w:color w:val="000000" w:themeColor="text1"/>
          <w:shd w:val="clear" w:fill="FFAFAA"/>
          <w14:textFill>
            <w14:solidFill>
              <w14:schemeClr w14:val="tx1"/>
            </w14:solidFill>
          </w14:textFill>
        </w:rPr>
        <w:t>最大程度的减少</w:t>
      </w:r>
      <w:bookmarkEnd w:id="424"/>
      <w:r>
        <w:rPr>
          <w:rFonts w:hint="eastAsia"/>
          <w:color w:val="000000" w:themeColor="text1"/>
          <w14:textFill>
            <w14:solidFill>
              <w14:schemeClr w14:val="tx1"/>
            </w14:solidFill>
          </w14:textFill>
        </w:rPr>
        <w:t>对敏感点的扰动，石方开挖采用机械裂解。不同施工阶段使用的设备和产生的噪声大小、影响范围都不同。机械噪声与设备本身的功率、工作状态等因素有关。根据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附录</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，公路工程机械噪声测试值，施工各阶段平均噪声</w:t>
      </w:r>
      <w:bookmarkStart w:id="425" w:name="hmcheck_df713f2d6523479bafda03948c19fe17"/>
      <w:r>
        <w:rPr>
          <w:rFonts w:hint="eastAsia"/>
          <w:color w:val="000000" w:themeColor="text1"/>
          <w:shd w:val="clear" w:fill="FFAFAA"/>
          <w14:textFill>
            <w14:solidFill>
              <w14:schemeClr w14:val="tx1"/>
            </w14:solidFill>
          </w14:textFill>
        </w:rPr>
        <w:t>值见</w:t>
      </w:r>
      <w:bookmarkEnd w:id="425"/>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_Ref141255741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表3.9-2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。施工期噪声污染源主要由施工作业机械产生，其特点具有间歇性、高强度和不固定性。</w:t>
      </w:r>
    </w:p>
    <w:p w14:paraId="100597D1">
      <w:pPr>
        <w:ind w:firstLine="480"/>
        <w:rPr>
          <w:color w:val="000000" w:themeColor="text1"/>
          <w14:textFill>
            <w14:solidFill>
              <w14:schemeClr w14:val="tx1"/>
            </w14:solidFill>
          </w14:textFill>
        </w:rPr>
      </w:pPr>
    </w:p>
    <w:p w14:paraId="05F1992F">
      <w:pPr>
        <w:pStyle w:val="87"/>
        <w:spacing w:before="120"/>
        <w:rPr>
          <w:color w:val="000000" w:themeColor="text1"/>
          <w14:textFill>
            <w14:solidFill>
              <w14:schemeClr w14:val="tx1"/>
            </w14:solidFill>
          </w14:textFill>
        </w:rPr>
      </w:pPr>
      <w:bookmarkStart w:id="426" w:name="_Ref141255741"/>
      <w:r>
        <w:rPr>
          <w:color w:val="000000" w:themeColor="text1"/>
          <w14:textFill>
            <w14:solidFill>
              <w14:schemeClr w14:val="tx1"/>
            </w14:solidFill>
          </w14:textFill>
        </w:rPr>
        <w:t>公路施工机械噪声测试声级</w:t>
      </w:r>
      <w:bookmarkEnd w:id="426"/>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921"/>
        <w:gridCol w:w="3713"/>
        <w:gridCol w:w="2652"/>
      </w:tblGrid>
      <w:tr w14:paraId="63127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73" w:type="pct"/>
            <w:vAlign w:val="center"/>
          </w:tcPr>
          <w:p w14:paraId="7D3D67A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机械类型</w:t>
            </w:r>
          </w:p>
        </w:tc>
        <w:tc>
          <w:tcPr>
            <w:tcW w:w="1999" w:type="pct"/>
            <w:vAlign w:val="center"/>
          </w:tcPr>
          <w:p w14:paraId="1B80362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测点距施工机械距离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tc>
        <w:tc>
          <w:tcPr>
            <w:tcW w:w="1428" w:type="pct"/>
            <w:vAlign w:val="center"/>
          </w:tcPr>
          <w:p w14:paraId="1D63431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最大声级（dB）</w:t>
            </w:r>
          </w:p>
        </w:tc>
      </w:tr>
      <w:tr w14:paraId="6E0CE9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73" w:type="pct"/>
            <w:vAlign w:val="center"/>
          </w:tcPr>
          <w:p w14:paraId="6E79360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液压挖掘机</w:t>
            </w:r>
          </w:p>
        </w:tc>
        <w:tc>
          <w:tcPr>
            <w:tcW w:w="1999" w:type="pct"/>
            <w:vAlign w:val="center"/>
          </w:tcPr>
          <w:p w14:paraId="3DF15FA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28" w:type="pct"/>
            <w:vAlign w:val="center"/>
          </w:tcPr>
          <w:p w14:paraId="41F700F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w:t>
            </w:r>
          </w:p>
        </w:tc>
      </w:tr>
      <w:tr w14:paraId="388CA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73" w:type="pct"/>
            <w:vAlign w:val="center"/>
          </w:tcPr>
          <w:p w14:paraId="6D8F732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推土机</w:t>
            </w:r>
          </w:p>
        </w:tc>
        <w:tc>
          <w:tcPr>
            <w:tcW w:w="1999" w:type="pct"/>
            <w:vAlign w:val="center"/>
          </w:tcPr>
          <w:p w14:paraId="4FC7716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28" w:type="pct"/>
            <w:vAlign w:val="center"/>
          </w:tcPr>
          <w:p w14:paraId="0FD7A89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88</w:t>
            </w:r>
          </w:p>
        </w:tc>
      </w:tr>
      <w:tr w14:paraId="4C5C06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573" w:type="pct"/>
            <w:vAlign w:val="center"/>
          </w:tcPr>
          <w:p w14:paraId="7791B9D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移动式发电机</w:t>
            </w:r>
          </w:p>
        </w:tc>
        <w:tc>
          <w:tcPr>
            <w:tcW w:w="1999" w:type="pct"/>
            <w:vAlign w:val="center"/>
          </w:tcPr>
          <w:p w14:paraId="3007059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5C902CF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02</w:t>
            </w:r>
          </w:p>
        </w:tc>
      </w:tr>
      <w:tr w14:paraId="48CE0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387E405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平地机</w:t>
            </w:r>
          </w:p>
        </w:tc>
        <w:tc>
          <w:tcPr>
            <w:tcW w:w="1999" w:type="pct"/>
            <w:vAlign w:val="center"/>
          </w:tcPr>
          <w:p w14:paraId="3B73FDA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28" w:type="pct"/>
            <w:vAlign w:val="center"/>
          </w:tcPr>
          <w:p w14:paraId="7082564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w:t>
            </w:r>
          </w:p>
        </w:tc>
      </w:tr>
      <w:tr w14:paraId="2FC5DD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2BD72F8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振动式压路机</w:t>
            </w:r>
          </w:p>
        </w:tc>
        <w:tc>
          <w:tcPr>
            <w:tcW w:w="1999" w:type="pct"/>
            <w:vAlign w:val="center"/>
          </w:tcPr>
          <w:p w14:paraId="292E503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28" w:type="pct"/>
            <w:vAlign w:val="center"/>
          </w:tcPr>
          <w:p w14:paraId="674E320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w:t>
            </w:r>
          </w:p>
        </w:tc>
      </w:tr>
      <w:tr w14:paraId="6AE005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2B1AC1B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轮式压路机</w:t>
            </w:r>
          </w:p>
        </w:tc>
        <w:tc>
          <w:tcPr>
            <w:tcW w:w="1999" w:type="pct"/>
            <w:vAlign w:val="center"/>
          </w:tcPr>
          <w:p w14:paraId="724798A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28" w:type="pct"/>
            <w:vAlign w:val="center"/>
          </w:tcPr>
          <w:p w14:paraId="7905ECC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w:t>
            </w:r>
          </w:p>
        </w:tc>
      </w:tr>
      <w:tr w14:paraId="0DDCB2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5B087CA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振动夯锤</w:t>
            </w:r>
          </w:p>
        </w:tc>
        <w:tc>
          <w:tcPr>
            <w:tcW w:w="1999" w:type="pct"/>
            <w:vAlign w:val="center"/>
          </w:tcPr>
          <w:p w14:paraId="0C80E8D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1CF55CA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100</w:t>
            </w:r>
          </w:p>
        </w:tc>
      </w:tr>
      <w:tr w14:paraId="653B04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3C0CED9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风镐</w:t>
            </w:r>
          </w:p>
        </w:tc>
        <w:tc>
          <w:tcPr>
            <w:tcW w:w="1999" w:type="pct"/>
            <w:vAlign w:val="center"/>
          </w:tcPr>
          <w:p w14:paraId="371EB0E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5C83A86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2</w:t>
            </w:r>
          </w:p>
        </w:tc>
      </w:tr>
      <w:tr w14:paraId="44953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550A2FF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混凝土输送泵</w:t>
            </w:r>
          </w:p>
        </w:tc>
        <w:tc>
          <w:tcPr>
            <w:tcW w:w="1999" w:type="pct"/>
            <w:vAlign w:val="center"/>
          </w:tcPr>
          <w:p w14:paraId="01733FD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32238DF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5</w:t>
            </w:r>
          </w:p>
        </w:tc>
      </w:tr>
      <w:tr w14:paraId="11790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3A6E9E4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商砼搅拌车</w:t>
            </w:r>
          </w:p>
        </w:tc>
        <w:tc>
          <w:tcPr>
            <w:tcW w:w="1999" w:type="pct"/>
            <w:vAlign w:val="center"/>
          </w:tcPr>
          <w:p w14:paraId="3262667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3B0C8E0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0</w:t>
            </w:r>
          </w:p>
        </w:tc>
      </w:tr>
      <w:tr w14:paraId="144F57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56025AD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混凝土振捣器</w:t>
            </w:r>
          </w:p>
        </w:tc>
        <w:tc>
          <w:tcPr>
            <w:tcW w:w="1999" w:type="pct"/>
            <w:vAlign w:val="center"/>
          </w:tcPr>
          <w:p w14:paraId="5056777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4F07235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88</w:t>
            </w:r>
          </w:p>
        </w:tc>
      </w:tr>
      <w:tr w14:paraId="11B635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42BDFEE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沥青混凝土搅拌机</w:t>
            </w:r>
          </w:p>
        </w:tc>
        <w:tc>
          <w:tcPr>
            <w:tcW w:w="1999" w:type="pct"/>
            <w:vAlign w:val="center"/>
          </w:tcPr>
          <w:p w14:paraId="6EFA853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428" w:type="pct"/>
            <w:vAlign w:val="center"/>
          </w:tcPr>
          <w:p w14:paraId="143EF9F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w:t>
            </w:r>
          </w:p>
        </w:tc>
      </w:tr>
      <w:tr w14:paraId="3B1A0C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71D28B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摊铺机</w:t>
            </w:r>
          </w:p>
        </w:tc>
        <w:tc>
          <w:tcPr>
            <w:tcW w:w="1999" w:type="pct"/>
            <w:vAlign w:val="center"/>
          </w:tcPr>
          <w:p w14:paraId="3625267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28" w:type="pct"/>
            <w:vAlign w:val="center"/>
          </w:tcPr>
          <w:p w14:paraId="574BC76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87</w:t>
            </w:r>
          </w:p>
        </w:tc>
      </w:tr>
      <w:tr w14:paraId="215A3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2AE8846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发电机组</w:t>
            </w:r>
          </w:p>
        </w:tc>
        <w:tc>
          <w:tcPr>
            <w:tcW w:w="1999" w:type="pct"/>
            <w:vAlign w:val="center"/>
          </w:tcPr>
          <w:p w14:paraId="46C9474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428" w:type="pct"/>
            <w:vAlign w:val="center"/>
          </w:tcPr>
          <w:p w14:paraId="7C48BB9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98</w:t>
            </w:r>
          </w:p>
        </w:tc>
      </w:tr>
      <w:tr w14:paraId="14C45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31E6CD4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空压机</w:t>
            </w:r>
          </w:p>
        </w:tc>
        <w:tc>
          <w:tcPr>
            <w:tcW w:w="1999" w:type="pct"/>
            <w:vAlign w:val="center"/>
          </w:tcPr>
          <w:p w14:paraId="1E55587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446C99B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9</w:t>
            </w:r>
            <w:r>
              <w:rPr>
                <w:color w:val="000000" w:themeColor="text1"/>
                <w14:textFill>
                  <w14:solidFill>
                    <w14:schemeClr w14:val="tx1"/>
                  </w14:solidFill>
                </w14:textFill>
              </w:rPr>
              <w:t>2</w:t>
            </w:r>
          </w:p>
        </w:tc>
      </w:tr>
      <w:tr w14:paraId="314785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573" w:type="pct"/>
            <w:vAlign w:val="center"/>
          </w:tcPr>
          <w:p w14:paraId="15C23AD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液压岩石劈裂机</w:t>
            </w:r>
          </w:p>
        </w:tc>
        <w:tc>
          <w:tcPr>
            <w:tcW w:w="1999" w:type="pct"/>
            <w:vAlign w:val="center"/>
          </w:tcPr>
          <w:p w14:paraId="68A851A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1428" w:type="pct"/>
            <w:vAlign w:val="center"/>
          </w:tcPr>
          <w:p w14:paraId="323C0AD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w:t>
            </w:r>
          </w:p>
        </w:tc>
      </w:tr>
      <w:bookmarkEnd w:id="423"/>
    </w:tbl>
    <w:p w14:paraId="63BCBB39">
      <w:pPr>
        <w:pStyle w:val="851"/>
        <w:spacing w:before="12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）车辆运输噪声源</w:t>
      </w:r>
    </w:p>
    <w:p w14:paraId="136190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期各类建材、土石方运输车辆在运输路线上往返时会产生噪声对周边敏感点产生影响。本项目渣土运送主要利用卡车，根据《环境噪声与振动控制工程技术导则》（HJ2034-2013）。卡车行驶过程噪声源强为82-90dB（A）。</w:t>
      </w:r>
    </w:p>
    <w:p w14:paraId="7DEC74F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施工期固废</w:t>
      </w:r>
    </w:p>
    <w:p w14:paraId="1DCB30AF">
      <w:pPr>
        <w:ind w:firstLine="480"/>
        <w:rPr>
          <w:color w:val="000000" w:themeColor="text1"/>
          <w14:textFill>
            <w14:solidFill>
              <w14:schemeClr w14:val="tx1"/>
            </w14:solidFill>
          </w14:textFill>
        </w:rPr>
      </w:pPr>
      <w:bookmarkStart w:id="427" w:name="_Hlk143425882"/>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施工期产生的固体废物主要为施工人员生活垃圾</w:t>
      </w:r>
      <w:r>
        <w:rPr>
          <w:rFonts w:hint="eastAsia"/>
          <w:color w:val="000000" w:themeColor="text1"/>
          <w14:textFill>
            <w14:solidFill>
              <w14:schemeClr w14:val="tx1"/>
            </w14:solidFill>
          </w14:textFill>
        </w:rPr>
        <w:t>、施工场地的</w:t>
      </w:r>
      <w:r>
        <w:rPr>
          <w:color w:val="000000" w:themeColor="text1"/>
          <w14:textFill>
            <w14:solidFill>
              <w14:schemeClr w14:val="tx1"/>
            </w14:solidFill>
          </w14:textFill>
        </w:rPr>
        <w:t>建筑</w:t>
      </w:r>
      <w:r>
        <w:rPr>
          <w:rFonts w:hint="eastAsia"/>
          <w:color w:val="000000" w:themeColor="text1"/>
          <w14:textFill>
            <w14:solidFill>
              <w14:schemeClr w14:val="tx1"/>
            </w14:solidFill>
          </w14:textFill>
        </w:rPr>
        <w:t>垃圾</w:t>
      </w:r>
      <w:r>
        <w:rPr>
          <w:color w:val="000000" w:themeColor="text1"/>
          <w14:textFill>
            <w14:solidFill>
              <w14:schemeClr w14:val="tx1"/>
            </w14:solidFill>
          </w14:textFill>
        </w:rPr>
        <w:t>、施工过程中产生的</w:t>
      </w:r>
      <w:r>
        <w:rPr>
          <w:rFonts w:hint="eastAsia"/>
          <w:color w:val="000000" w:themeColor="text1"/>
          <w14:textFill>
            <w14:solidFill>
              <w14:schemeClr w14:val="tx1"/>
            </w14:solidFill>
          </w14:textFill>
        </w:rPr>
        <w:t>土石方</w:t>
      </w:r>
      <w:r>
        <w:rPr>
          <w:color w:val="000000" w:themeColor="text1"/>
          <w14:textFill>
            <w14:solidFill>
              <w14:schemeClr w14:val="tx1"/>
            </w14:solidFill>
          </w14:textFill>
        </w:rPr>
        <w:t>以及拆迁建筑垃圾等。</w:t>
      </w:r>
    </w:p>
    <w:p w14:paraId="70AB63B7">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）施工人员生活垃圾</w:t>
      </w:r>
      <w:r>
        <w:rPr>
          <w:rFonts w:hint="eastAsia"/>
          <w:color w:val="000000" w:themeColor="text1"/>
          <w14:textFill>
            <w14:solidFill>
              <w14:schemeClr w14:val="tx1"/>
            </w14:solidFill>
          </w14:textFill>
        </w:rPr>
        <w:t>：本工程施工高峰期施工人员约</w:t>
      </w:r>
      <w:r>
        <w:rPr>
          <w:color w:val="000000" w:themeColor="text1"/>
          <w14:textFill>
            <w14:solidFill>
              <w14:schemeClr w14:val="tx1"/>
            </w14:solidFill>
          </w14:textFill>
        </w:rPr>
        <w:t>150</w:t>
      </w:r>
      <w:r>
        <w:rPr>
          <w:rFonts w:hint="eastAsia"/>
          <w:color w:val="000000" w:themeColor="text1"/>
          <w14:textFill>
            <w14:solidFill>
              <w14:schemeClr w14:val="tx1"/>
            </w14:solidFill>
          </w14:textFill>
        </w:rPr>
        <w:t>人，</w:t>
      </w:r>
      <w:r>
        <w:rPr>
          <w:color w:val="000000" w:themeColor="text1"/>
          <w14:textFill>
            <w14:solidFill>
              <w14:schemeClr w14:val="tx1"/>
            </w14:solidFill>
          </w14:textFill>
        </w:rPr>
        <w:t>按施工人员人均生活垃圾产生量</w:t>
      </w:r>
      <w:r>
        <w:rPr>
          <w:rFonts w:hint="eastAsia"/>
          <w:color w:val="000000" w:themeColor="text1"/>
          <w14:textFill>
            <w14:solidFill>
              <w14:schemeClr w14:val="tx1"/>
            </w14:solidFill>
          </w14:textFill>
        </w:rPr>
        <w:t>1.0k</w:t>
      </w:r>
      <w:r>
        <w:rPr>
          <w:color w:val="000000" w:themeColor="text1"/>
          <w14:textFill>
            <w14:solidFill>
              <w14:schemeClr w14:val="tx1"/>
            </w14:solidFill>
          </w14:textFill>
        </w:rPr>
        <w:t>g/人•d计，施工期高峰日均生活垃圾产生量为0.15t/d</w:t>
      </w:r>
      <w:r>
        <w:rPr>
          <w:rFonts w:hint="eastAsia"/>
          <w:color w:val="000000" w:themeColor="text1"/>
          <w14:textFill>
            <w14:solidFill>
              <w14:schemeClr w14:val="tx1"/>
            </w14:solidFill>
          </w14:textFill>
        </w:rPr>
        <w:t>，据此</w:t>
      </w:r>
      <w:r>
        <w:rPr>
          <w:color w:val="000000" w:themeColor="text1"/>
          <w14:textFill>
            <w14:solidFill>
              <w14:schemeClr w14:val="tx1"/>
            </w14:solidFill>
          </w14:textFill>
        </w:rPr>
        <w:t>可估算项目</w:t>
      </w:r>
      <w:r>
        <w:rPr>
          <w:rFonts w:hint="eastAsia"/>
          <w:color w:val="000000" w:themeColor="text1"/>
          <w14:textFill>
            <w14:solidFill>
              <w14:schemeClr w14:val="tx1"/>
            </w14:solidFill>
          </w14:textFill>
        </w:rPr>
        <w:t>施工期</w:t>
      </w:r>
      <w:r>
        <w:rPr>
          <w:color w:val="000000" w:themeColor="text1"/>
          <w14:textFill>
            <w14:solidFill>
              <w14:schemeClr w14:val="tx1"/>
            </w14:solidFill>
          </w14:textFill>
        </w:rPr>
        <w:t>内（18</w:t>
      </w:r>
      <w:r>
        <w:rPr>
          <w:rFonts w:hint="eastAsia"/>
          <w:color w:val="000000" w:themeColor="text1"/>
          <w14:textFill>
            <w14:solidFill>
              <w14:schemeClr w14:val="tx1"/>
            </w14:solidFill>
          </w14:textFill>
        </w:rPr>
        <w:t>个月</w:t>
      </w:r>
      <w:r>
        <w:rPr>
          <w:color w:val="000000" w:themeColor="text1"/>
          <w14:textFill>
            <w14:solidFill>
              <w14:schemeClr w14:val="tx1"/>
            </w14:solidFill>
          </w14:textFill>
        </w:rPr>
        <w:t>）生活垃圾</w:t>
      </w:r>
      <w:r>
        <w:rPr>
          <w:rFonts w:hint="eastAsia"/>
          <w:color w:val="000000" w:themeColor="text1"/>
          <w14:textFill>
            <w14:solidFill>
              <w14:schemeClr w14:val="tx1"/>
            </w14:solidFill>
          </w14:textFill>
        </w:rPr>
        <w:t>产生量为</w:t>
      </w:r>
      <w:r>
        <w:rPr>
          <w:color w:val="000000" w:themeColor="text1"/>
          <w14:textFill>
            <w14:solidFill>
              <w14:schemeClr w14:val="tx1"/>
            </w14:solidFill>
          </w14:textFill>
        </w:rPr>
        <w:t>81t，</w:t>
      </w:r>
      <w:r>
        <w:rPr>
          <w:rFonts w:hint="eastAsia"/>
          <w:color w:val="000000" w:themeColor="text1"/>
          <w14:textFill>
            <w14:solidFill>
              <w14:schemeClr w14:val="tx1"/>
            </w14:solidFill>
          </w14:textFill>
        </w:rPr>
        <w:t>生活垃圾</w:t>
      </w:r>
      <w:r>
        <w:rPr>
          <w:color w:val="000000" w:themeColor="text1"/>
          <w14:textFill>
            <w14:solidFill>
              <w14:schemeClr w14:val="tx1"/>
            </w14:solidFill>
          </w14:textFill>
        </w:rPr>
        <w:t>分为可降解和不可降解固体废弃物，若不对这些垃圾采取处理措施，将会对沿线生态环境及河流等水环境造成较大的影响。</w:t>
      </w:r>
    </w:p>
    <w:p w14:paraId="36980438">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施工场地建筑垃圾：</w:t>
      </w:r>
      <w:r>
        <w:rPr>
          <w:color w:val="000000" w:themeColor="text1"/>
          <w14:textFill>
            <w14:solidFill>
              <w14:schemeClr w14:val="tx1"/>
            </w14:solidFill>
          </w14:textFill>
        </w:rPr>
        <w:t>主要是施工中建筑模板、建筑材料下脚料、废钢料、废包装物、废旧设备以及建筑碎片、水泥块、砂石子、废木板等。</w:t>
      </w:r>
    </w:p>
    <w:p w14:paraId="07D9E726">
      <w:pPr>
        <w:ind w:firstLine="480"/>
        <w:rPr>
          <w:color w:val="000000" w:themeColor="text1"/>
          <w14:textFill>
            <w14:solidFill>
              <w14:schemeClr w14:val="tx1"/>
            </w14:solidFill>
          </w14:textFill>
        </w:rPr>
      </w:pPr>
      <w:r>
        <w:rPr>
          <w:color w:val="000000" w:themeColor="text1"/>
          <w14:textFill>
            <w14:solidFill>
              <w14:schemeClr w14:val="tx1"/>
            </w14:solidFill>
          </w14:textFill>
        </w:rPr>
        <w:t>（3）土石方过程中的工程弃渣</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项目水土保持方案结合施工图设计核算，本项目土石方挖填总量63.61万m³，其中挖方总量40.22万m³（含表土1.80万m³），填方总量23.39万m³（含覆土1.80万m³），余方16.</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3万m³（其中土方</w:t>
      </w:r>
      <w:r>
        <w:rPr>
          <w:color w:val="000000" w:themeColor="text1"/>
          <w14:textFill>
            <w14:solidFill>
              <w14:schemeClr w14:val="tx1"/>
            </w14:solidFill>
          </w14:textFill>
        </w:rPr>
        <w:t>4.62</w:t>
      </w:r>
      <w:r>
        <w:rPr>
          <w:rFonts w:hint="eastAsia"/>
          <w:color w:val="000000" w:themeColor="text1"/>
          <w14:textFill>
            <w14:solidFill>
              <w14:schemeClr w14:val="tx1"/>
            </w14:solidFill>
          </w14:textFill>
        </w:rPr>
        <w:t>万m³，石方</w:t>
      </w:r>
      <w:r>
        <w:rPr>
          <w:color w:val="000000" w:themeColor="text1"/>
          <w14:textFill>
            <w14:solidFill>
              <w14:schemeClr w14:val="tx1"/>
            </w14:solidFill>
          </w14:textFill>
        </w:rPr>
        <w:t>11.41</w:t>
      </w:r>
      <w:r>
        <w:rPr>
          <w:rFonts w:hint="eastAsia"/>
          <w:color w:val="000000" w:themeColor="text1"/>
          <w14:textFill>
            <w14:solidFill>
              <w14:schemeClr w14:val="tx1"/>
            </w14:solidFill>
          </w14:textFill>
        </w:rPr>
        <w:t>万m³），其中石方</w:t>
      </w:r>
      <w:r>
        <w:rPr>
          <w:color w:val="000000" w:themeColor="text1"/>
          <w14:textFill>
            <w14:solidFill>
              <w14:schemeClr w14:val="tx1"/>
            </w14:solidFill>
          </w14:textFill>
        </w:rPr>
        <w:t>6.88</w:t>
      </w:r>
      <w:r>
        <w:rPr>
          <w:rFonts w:hint="eastAsia"/>
          <w:color w:val="000000" w:themeColor="text1"/>
          <w14:textFill>
            <w14:solidFill>
              <w14:schemeClr w14:val="tx1"/>
            </w14:solidFill>
          </w14:textFill>
        </w:rPr>
        <w:t>万m³本工程利用，作为截（排）水沟、沉沙池、挡墙等附属设施的原材料利用；剩余弃方（9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万m³）拟运往福清市城 市管理委员会批准的余方指定堆放点进行综合利用。</w:t>
      </w:r>
    </w:p>
    <w:p w14:paraId="32DC60A4">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）拆迁建筑垃圾</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工程建设需拆迁的</w:t>
      </w:r>
      <w:r>
        <w:rPr>
          <w:rFonts w:hint="eastAsia"/>
          <w:color w:val="000000" w:themeColor="text1"/>
          <w14:textFill>
            <w14:solidFill>
              <w14:schemeClr w14:val="tx1"/>
            </w14:solidFill>
          </w14:textFill>
        </w:rPr>
        <w:t>房屋</w:t>
      </w:r>
      <w:r>
        <w:rPr>
          <w:rFonts w:hint="eastAsia"/>
          <w:color w:val="000000" w:themeColor="text1"/>
          <w:spacing w:val="-2"/>
          <w14:textFill>
            <w14:solidFill>
              <w14:schemeClr w14:val="tx1"/>
            </w14:solidFill>
          </w14:textFill>
        </w:rPr>
        <w:t>16555.2</w:t>
      </w:r>
      <w:r>
        <w:rPr>
          <w:rFonts w:eastAsia="Times New Roman"/>
          <w:color w:val="000000" w:themeColor="text1"/>
          <w:lang w:val="zh-CN"/>
          <w14:textFill>
            <w14:solidFill>
              <w14:schemeClr w14:val="tx1"/>
            </w14:solidFill>
          </w14:textFill>
        </w:rPr>
        <w:t>m</w:t>
      </w:r>
      <w:r>
        <w:rPr>
          <w:rFonts w:eastAsia="Times New Roman"/>
          <w:color w:val="000000" w:themeColor="text1"/>
          <w:vertAlign w:val="superscript"/>
          <w:lang w:val="zh-CN"/>
          <w14:textFill>
            <w14:solidFill>
              <w14:schemeClr w14:val="tx1"/>
            </w14:solidFill>
          </w14:textFill>
        </w:rPr>
        <w:t>2</w:t>
      </w:r>
      <w:r>
        <w:rPr>
          <w:rFonts w:hint="eastAsia"/>
          <w:color w:val="000000" w:themeColor="text1"/>
          <w14:textFill>
            <w14:solidFill>
              <w14:schemeClr w14:val="tx1"/>
            </w14:solidFill>
          </w14:textFill>
        </w:rPr>
        <w:t>，围墙</w:t>
      </w:r>
      <w:r>
        <w:rPr>
          <w:rFonts w:hint="eastAsia"/>
          <w:color w:val="000000" w:themeColor="text1"/>
          <w:spacing w:val="-2"/>
          <w14:textFill>
            <w14:solidFill>
              <w14:schemeClr w14:val="tx1"/>
            </w14:solidFill>
          </w14:textFill>
        </w:rPr>
        <w:t>185</w:t>
      </w:r>
      <w:r>
        <w:rPr>
          <w:rFonts w:hint="eastAsia"/>
          <w:color w:val="000000" w:themeColor="text1"/>
          <w14:textFill>
            <w14:solidFill>
              <w14:schemeClr w14:val="tx1"/>
            </w14:solidFill>
          </w14:textFill>
        </w:rPr>
        <w:t>m，</w:t>
      </w:r>
      <w:r>
        <w:rPr>
          <w:rFonts w:hint="eastAsia"/>
          <w:color w:val="000000" w:themeColor="text1"/>
          <w:spacing w:val="-2"/>
          <w14:textFill>
            <w14:solidFill>
              <w14:schemeClr w14:val="tx1"/>
            </w14:solidFill>
          </w14:textFill>
        </w:rPr>
        <w:t>坟墓30座，</w:t>
      </w:r>
      <w:r>
        <w:rPr>
          <w:rFonts w:hint="eastAsia"/>
          <w:color w:val="000000" w:themeColor="text1"/>
          <w14:textFill>
            <w14:solidFill>
              <w14:schemeClr w14:val="tx1"/>
            </w14:solidFill>
          </w14:textFill>
        </w:rPr>
        <w:t>电力杆</w:t>
      </w:r>
      <w:r>
        <w:rPr>
          <w:color w:val="000000" w:themeColor="text1"/>
          <w14:textFill>
            <w14:solidFill>
              <w14:schemeClr w14:val="tx1"/>
            </w14:solidFill>
          </w14:textFill>
        </w:rPr>
        <w:t>17</w:t>
      </w:r>
      <w:r>
        <w:rPr>
          <w:rFonts w:hint="eastAsia"/>
          <w:color w:val="000000" w:themeColor="text1"/>
          <w14:textFill>
            <w14:solidFill>
              <w14:schemeClr w14:val="tx1"/>
            </w14:solidFill>
          </w14:textFill>
        </w:rPr>
        <w:t>根电讯杆</w:t>
      </w:r>
      <w:r>
        <w:rPr>
          <w:color w:val="000000" w:themeColor="text1"/>
          <w14:textFill>
            <w14:solidFill>
              <w14:schemeClr w14:val="tx1"/>
            </w14:solidFill>
          </w14:textFill>
        </w:rPr>
        <w:t>32</w:t>
      </w:r>
      <w:r>
        <w:rPr>
          <w:rFonts w:hint="eastAsia"/>
          <w:color w:val="000000" w:themeColor="text1"/>
          <w14:textFill>
            <w14:solidFill>
              <w14:schemeClr w14:val="tx1"/>
            </w14:solidFill>
          </w14:textFill>
        </w:rPr>
        <w:t>根</w:t>
      </w:r>
      <w:r>
        <w:rPr>
          <w:color w:val="000000" w:themeColor="text1"/>
          <w14:textFill>
            <w14:solidFill>
              <w14:schemeClr w14:val="tx1"/>
            </w14:solidFill>
          </w14:textFill>
        </w:rPr>
        <w:t>。拆迁建筑物以砖混房与土木房为主，本项目产生的建筑垃圾约为2400</w:t>
      </w:r>
      <w:r>
        <w:rPr>
          <w:rFonts w:hint="eastAsia"/>
          <w:color w:val="000000" w:themeColor="text1"/>
          <w14:textFill>
            <w14:solidFill>
              <w14:schemeClr w14:val="tx1"/>
            </w14:solidFill>
          </w14:textFill>
        </w:rPr>
        <w:t>m³</w:t>
      </w:r>
      <w:r>
        <w:rPr>
          <w:color w:val="000000" w:themeColor="text1"/>
          <w14:textFill>
            <w14:solidFill>
              <w14:schemeClr w14:val="tx1"/>
            </w14:solidFill>
          </w14:textFill>
        </w:rPr>
        <w:t>，这部分固体废弃物主要成分为钢筋、木头、水泥土块等。</w:t>
      </w:r>
    </w:p>
    <w:bookmarkEnd w:id="427"/>
    <w:p w14:paraId="426585D0">
      <w:pPr>
        <w:pStyle w:val="120"/>
        <w:rPr>
          <w:color w:val="000000" w:themeColor="text1"/>
          <w14:textFill>
            <w14:solidFill>
              <w14:schemeClr w14:val="tx1"/>
            </w14:solidFill>
          </w14:textFill>
        </w:rPr>
      </w:pPr>
      <w:bookmarkStart w:id="428" w:name="_Toc439084124"/>
      <w:r>
        <w:rPr>
          <w:color w:val="000000" w:themeColor="text1"/>
          <w14:textFill>
            <w14:solidFill>
              <w14:schemeClr w14:val="tx1"/>
            </w14:solidFill>
          </w14:textFill>
        </w:rPr>
        <w:t>运营期污染源分析</w:t>
      </w:r>
      <w:bookmarkEnd w:id="428"/>
    </w:p>
    <w:p w14:paraId="08FD97FE">
      <w:pPr>
        <w:pStyle w:val="118"/>
        <w:rPr>
          <w:color w:val="000000" w:themeColor="text1"/>
          <w14:textFill>
            <w14:solidFill>
              <w14:schemeClr w14:val="tx1"/>
            </w14:solidFill>
          </w14:textFill>
        </w:rPr>
      </w:pPr>
      <w:bookmarkStart w:id="429" w:name="_Toc439084125"/>
      <w:r>
        <w:rPr>
          <w:rFonts w:hint="eastAsia"/>
          <w:color w:val="000000" w:themeColor="text1"/>
          <w14:textFill>
            <w14:solidFill>
              <w14:schemeClr w14:val="tx1"/>
            </w14:solidFill>
          </w14:textFill>
        </w:rPr>
        <w:t>水环境影响</w:t>
      </w:r>
      <w:r>
        <w:rPr>
          <w:color w:val="000000" w:themeColor="text1"/>
          <w14:textFill>
            <w14:solidFill>
              <w14:schemeClr w14:val="tx1"/>
            </w14:solidFill>
          </w14:textFill>
        </w:rPr>
        <w:t>分析</w:t>
      </w:r>
      <w:bookmarkEnd w:id="429"/>
    </w:p>
    <w:p w14:paraId="430D1463">
      <w:pPr>
        <w:ind w:firstLine="480"/>
        <w:rPr>
          <w:color w:val="000000" w:themeColor="text1"/>
          <w14:textFill>
            <w14:solidFill>
              <w14:schemeClr w14:val="tx1"/>
            </w14:solidFill>
          </w14:textFill>
        </w:rPr>
      </w:pPr>
      <w:r>
        <w:rPr>
          <w:color w:val="000000" w:themeColor="text1"/>
          <w14:textFill>
            <w14:solidFill>
              <w14:schemeClr w14:val="tx1"/>
            </w14:solidFill>
          </w14:textFill>
        </w:rPr>
        <w:t>公路</w:t>
      </w:r>
      <w:r>
        <w:rPr>
          <w:rFonts w:hint="eastAsia"/>
          <w:color w:val="000000" w:themeColor="text1"/>
          <w14:textFill>
            <w14:solidFill>
              <w14:schemeClr w14:val="tx1"/>
            </w14:solidFill>
          </w14:textFill>
        </w:rPr>
        <w:t>路</w:t>
      </w:r>
      <w:r>
        <w:rPr>
          <w:color w:val="000000" w:themeColor="text1"/>
          <w14:textFill>
            <w14:solidFill>
              <w14:schemeClr w14:val="tx1"/>
            </w14:solidFill>
          </w14:textFill>
        </w:rPr>
        <w:t>面径流污染物主要是悬浮物、石油类和有机物，污染物浓度受限于多种因素，如车流量、车辆类型、降雨强度、灰尘沉降量和前期干旱时间等等，因此具有一定程度的不确定性。</w:t>
      </w:r>
      <w:r>
        <w:rPr>
          <w:rFonts w:hint="eastAsia"/>
          <w:color w:val="000000" w:themeColor="text1"/>
          <w14:textFill>
            <w14:solidFill>
              <w14:schemeClr w14:val="tx1"/>
            </w14:solidFill>
          </w14:textFill>
        </w:rPr>
        <w:t>根据</w:t>
      </w:r>
      <w:r>
        <w:rPr>
          <w:rFonts w:hint="eastAsia"/>
          <w:color w:val="000000" w:themeColor="text1"/>
          <w:shd w:val="clear" w:fill="B2E9BC"/>
          <w:lang w:eastAsia="zh-CN"/>
          <w14:textFill>
            <w14:solidFill>
              <w14:schemeClr w14:val="tx1"/>
            </w14:solidFill>
          </w14:textFill>
        </w:rPr>
        <w:t>生态环境部</w:t>
      </w:r>
      <w:r>
        <w:rPr>
          <w:rFonts w:hint="eastAsia"/>
          <w:color w:val="000000" w:themeColor="text1"/>
          <w14:textFill>
            <w14:solidFill>
              <w14:schemeClr w14:val="tx1"/>
            </w14:solidFill>
          </w14:textFill>
        </w:rPr>
        <w:t>华南环境保护科学研究所对广东地区路面径流污染情况试验有关资料</w:t>
      </w:r>
      <w:r>
        <w:rPr>
          <w:color w:val="000000" w:themeColor="text1"/>
          <w14:textFill>
            <w14:solidFill>
              <w14:schemeClr w14:val="tx1"/>
            </w14:solidFill>
          </w14:textFill>
        </w:rPr>
        <w:t>，在车流量和降雨量已知的情况下，降雨历时一小时，降雨强度为81.6mm，在1h内按不同时间采集水样，测定结果见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_Ref141255731 \r \h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表3.9-3</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7AA86EAD">
      <w:pPr>
        <w:ind w:firstLine="480"/>
        <w:rPr>
          <w:color w:val="000000" w:themeColor="text1"/>
          <w14:textFill>
            <w14:solidFill>
              <w14:schemeClr w14:val="tx1"/>
            </w14:solidFill>
          </w14:textFill>
        </w:rPr>
      </w:pPr>
      <w:r>
        <w:rPr>
          <w:color w:val="000000" w:themeColor="text1"/>
          <w14:textFill>
            <w14:solidFill>
              <w14:schemeClr w14:val="tx1"/>
            </w14:solidFill>
          </w14:textFill>
        </w:rPr>
        <w:t>从</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_Ref141255731 \r \h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表3.9-3</w:t>
      </w:r>
      <w:r>
        <w:rPr>
          <w:color w:val="000000" w:themeColor="text1"/>
          <w14:textFill>
            <w14:solidFill>
              <w14:schemeClr w14:val="tx1"/>
            </w14:solidFill>
          </w14:textFill>
        </w:rPr>
        <w:fldChar w:fldCharType="end"/>
      </w:r>
      <w:r>
        <w:rPr>
          <w:color w:val="000000" w:themeColor="text1"/>
          <w14:textFill>
            <w14:solidFill>
              <w14:schemeClr w14:val="tx1"/>
            </w14:solidFill>
          </w14:textFill>
        </w:rPr>
        <w:t>中可以看出，降雨对公路附近河流造成的影响主要是降雨初期1h内形成的</w:t>
      </w:r>
      <w:r>
        <w:rPr>
          <w:rFonts w:hint="eastAsia"/>
          <w:color w:val="000000" w:themeColor="text1"/>
          <w14:textFill>
            <w14:solidFill>
              <w14:schemeClr w14:val="tx1"/>
            </w14:solidFill>
          </w14:textFill>
        </w:rPr>
        <w:t>路面</w:t>
      </w:r>
      <w:r>
        <w:rPr>
          <w:color w:val="000000" w:themeColor="text1"/>
          <w14:textFill>
            <w14:solidFill>
              <w14:schemeClr w14:val="tx1"/>
            </w14:solidFill>
          </w14:textFill>
        </w:rPr>
        <w:t>径流。降雨初期到形成</w:t>
      </w:r>
      <w:r>
        <w:rPr>
          <w:rFonts w:hint="eastAsia"/>
          <w:color w:val="000000" w:themeColor="text1"/>
          <w14:textFill>
            <w14:solidFill>
              <w14:schemeClr w14:val="tx1"/>
            </w14:solidFill>
          </w14:textFill>
        </w:rPr>
        <w:t>路</w:t>
      </w:r>
      <w:r>
        <w:rPr>
          <w:color w:val="000000" w:themeColor="text1"/>
          <w14:textFill>
            <w14:solidFill>
              <w14:schemeClr w14:val="tx1"/>
            </w14:solidFill>
          </w14:textFill>
        </w:rPr>
        <w:t>面径流的</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min</w:t>
      </w:r>
      <w:r>
        <w:rPr>
          <w:color w:val="000000" w:themeColor="text1"/>
          <w14:textFill>
            <w14:solidFill>
              <w14:schemeClr w14:val="tx1"/>
            </w14:solidFill>
          </w14:textFill>
        </w:rPr>
        <w:t>内，雨水中的悬浮物和油类物质的浓度比较高，</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min</w:t>
      </w:r>
      <w:r>
        <w:rPr>
          <w:color w:val="000000" w:themeColor="text1"/>
          <w14:textFill>
            <w14:solidFill>
              <w14:schemeClr w14:val="tx1"/>
            </w14:solidFill>
          </w14:textFill>
        </w:rPr>
        <w:t>后，其浓度随降雨</w:t>
      </w:r>
      <w:bookmarkStart w:id="430" w:name="hmcheck_e082b4cc4dde434584b06790e98d2e26"/>
      <w:r>
        <w:rPr>
          <w:color w:val="000000" w:themeColor="text1"/>
          <w:shd w:val="clear" w:fill="FFAFAA"/>
          <w14:textFill>
            <w14:solidFill>
              <w14:schemeClr w14:val="tx1"/>
            </w14:solidFill>
          </w14:textFill>
        </w:rPr>
        <w:t>历时的</w:t>
      </w:r>
      <w:bookmarkEnd w:id="430"/>
      <w:r>
        <w:rPr>
          <w:color w:val="000000" w:themeColor="text1"/>
          <w14:textFill>
            <w14:solidFill>
              <w14:schemeClr w14:val="tx1"/>
            </w14:solidFill>
          </w14:textFill>
        </w:rPr>
        <w:t>延长下降较快，雨水中生化需氧量随降雨</w:t>
      </w:r>
      <w:bookmarkStart w:id="431" w:name="hmcheck_47270b9a79834447ac98e32d8bb5789f"/>
      <w:r>
        <w:rPr>
          <w:color w:val="000000" w:themeColor="text1"/>
          <w:shd w:val="clear" w:fill="FFAFAA"/>
          <w14:textFill>
            <w14:solidFill>
              <w14:schemeClr w14:val="tx1"/>
            </w14:solidFill>
          </w14:textFill>
        </w:rPr>
        <w:t>历时的</w:t>
      </w:r>
      <w:bookmarkEnd w:id="431"/>
      <w:r>
        <w:rPr>
          <w:color w:val="000000" w:themeColor="text1"/>
          <w14:textFill>
            <w14:solidFill>
              <w14:schemeClr w14:val="tx1"/>
            </w14:solidFill>
          </w14:textFill>
        </w:rPr>
        <w:t>延长下降速度稍慢，pH值相对较稳定，降雨历时40</w:t>
      </w:r>
      <w:r>
        <w:rPr>
          <w:rFonts w:hint="eastAsia"/>
          <w:color w:val="000000" w:themeColor="text1"/>
          <w14:textFill>
            <w14:solidFill>
              <w14:schemeClr w14:val="tx1"/>
            </w14:solidFill>
          </w14:textFill>
        </w:rPr>
        <w:t>min</w:t>
      </w:r>
      <w:r>
        <w:rPr>
          <w:color w:val="000000" w:themeColor="text1"/>
          <w14:textFill>
            <w14:solidFill>
              <w14:schemeClr w14:val="tx1"/>
            </w14:solidFill>
          </w14:textFill>
        </w:rPr>
        <w:t>后，</w:t>
      </w:r>
      <w:r>
        <w:rPr>
          <w:rFonts w:hint="eastAsia"/>
          <w:color w:val="000000" w:themeColor="text1"/>
          <w14:textFill>
            <w14:solidFill>
              <w14:schemeClr w14:val="tx1"/>
            </w14:solidFill>
          </w14:textFill>
        </w:rPr>
        <w:t>路</w:t>
      </w:r>
      <w:r>
        <w:rPr>
          <w:color w:val="000000" w:themeColor="text1"/>
          <w14:textFill>
            <w14:solidFill>
              <w14:schemeClr w14:val="tx1"/>
            </w14:solidFill>
          </w14:textFill>
        </w:rPr>
        <w:t>面基本被冲洗干净。所以，降雨对公路</w:t>
      </w:r>
      <w:r>
        <w:rPr>
          <w:rFonts w:hint="eastAsia"/>
          <w:color w:val="000000" w:themeColor="text1"/>
          <w14:textFill>
            <w14:solidFill>
              <w14:schemeClr w14:val="tx1"/>
            </w14:solidFill>
          </w14:textFill>
        </w:rPr>
        <w:t>周边</w:t>
      </w:r>
      <w:r>
        <w:rPr>
          <w:color w:val="000000" w:themeColor="text1"/>
          <w14:textFill>
            <w14:solidFill>
              <w14:schemeClr w14:val="tx1"/>
            </w14:solidFill>
          </w14:textFill>
        </w:rPr>
        <w:t>河流造成影响的主要是降雨初期1h内形成的路面径流。</w:t>
      </w:r>
    </w:p>
    <w:p w14:paraId="3C5006A3">
      <w:pPr>
        <w:pStyle w:val="87"/>
        <w:spacing w:before="120"/>
        <w:rPr>
          <w:color w:val="000000" w:themeColor="text1"/>
          <w14:textFill>
            <w14:solidFill>
              <w14:schemeClr w14:val="tx1"/>
            </w14:solidFill>
          </w14:textFill>
        </w:rPr>
      </w:pPr>
      <w:bookmarkStart w:id="432" w:name="_Ref141255731"/>
      <w:r>
        <w:rPr>
          <w:rFonts w:hint="eastAsia"/>
          <w:color w:val="000000" w:themeColor="text1"/>
          <w14:textFill>
            <w14:solidFill>
              <w14:schemeClr w14:val="tx1"/>
            </w14:solidFill>
          </w14:textFill>
        </w:rPr>
        <w:t>路面</w:t>
      </w:r>
      <w:r>
        <w:rPr>
          <w:color w:val="000000" w:themeColor="text1"/>
          <w14:textFill>
            <w14:solidFill>
              <w14:schemeClr w14:val="tx1"/>
            </w14:solidFill>
          </w14:textFill>
        </w:rPr>
        <w:t>径流中污染物浓度测定值</w:t>
      </w:r>
      <w:bookmarkEnd w:id="432"/>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84"/>
        <w:gridCol w:w="2099"/>
        <w:gridCol w:w="1959"/>
        <w:gridCol w:w="1820"/>
        <w:gridCol w:w="1124"/>
      </w:tblGrid>
      <w:tr w14:paraId="67F5B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vAlign w:val="center"/>
          </w:tcPr>
          <w:p w14:paraId="35DF249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1130" w:type="pct"/>
            <w:vAlign w:val="center"/>
          </w:tcPr>
          <w:p w14:paraId="7A4010D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bookmarkStart w:id="433" w:name="hmcheck_a82237af38834d41866d67f03c86e48d"/>
            <w:r>
              <w:rPr>
                <w:rFonts w:hint="eastAsia"/>
                <w:color w:val="000000" w:themeColor="text1"/>
                <w:shd w:val="clear" w:fill="FFAFAA"/>
                <w14:textFill>
                  <w14:solidFill>
                    <w14:schemeClr w14:val="tx1"/>
                  </w14:solidFill>
                </w14:textFill>
              </w:rPr>
              <w:t>~</w:t>
            </w:r>
            <w:bookmarkEnd w:id="433"/>
            <w:r>
              <w:rPr>
                <w:color w:val="000000" w:themeColor="text1"/>
                <w14:textFill>
                  <w14:solidFill>
                    <w14:schemeClr w14:val="tx1"/>
                  </w14:solidFill>
                </w14:textFill>
              </w:rPr>
              <w:t>20</w:t>
            </w:r>
            <w:r>
              <w:rPr>
                <w:rFonts w:hint="eastAsia"/>
                <w:color w:val="000000" w:themeColor="text1"/>
                <w14:textFill>
                  <w14:solidFill>
                    <w14:schemeClr w14:val="tx1"/>
                  </w14:solidFill>
                </w14:textFill>
              </w:rPr>
              <w:t>min</w:t>
            </w:r>
          </w:p>
        </w:tc>
        <w:tc>
          <w:tcPr>
            <w:tcW w:w="1055" w:type="pct"/>
            <w:vAlign w:val="center"/>
          </w:tcPr>
          <w:p w14:paraId="4BED4A0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w:t>
            </w:r>
            <w:bookmarkStart w:id="434" w:name="hmcheck_d37096939cec48fb94b9f781be05f6db"/>
            <w:r>
              <w:rPr>
                <w:rFonts w:hint="eastAsia"/>
                <w:color w:val="000000" w:themeColor="text1"/>
                <w:shd w:val="clear" w:fill="FFAFAA"/>
                <w14:textFill>
                  <w14:solidFill>
                    <w14:schemeClr w14:val="tx1"/>
                  </w14:solidFill>
                </w14:textFill>
              </w:rPr>
              <w:t>~</w:t>
            </w:r>
            <w:bookmarkEnd w:id="434"/>
            <w:r>
              <w:rPr>
                <w:color w:val="000000" w:themeColor="text1"/>
                <w14:textFill>
                  <w14:solidFill>
                    <w14:schemeClr w14:val="tx1"/>
                  </w14:solidFill>
                </w14:textFill>
              </w:rPr>
              <w:t>40</w:t>
            </w:r>
            <w:r>
              <w:rPr>
                <w:rFonts w:hint="eastAsia"/>
                <w:color w:val="000000" w:themeColor="text1"/>
                <w14:textFill>
                  <w14:solidFill>
                    <w14:schemeClr w14:val="tx1"/>
                  </w14:solidFill>
                </w14:textFill>
              </w:rPr>
              <w:t>min</w:t>
            </w:r>
          </w:p>
        </w:tc>
        <w:tc>
          <w:tcPr>
            <w:tcW w:w="980" w:type="pct"/>
            <w:vAlign w:val="center"/>
          </w:tcPr>
          <w:p w14:paraId="2665C82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40</w:t>
            </w:r>
            <w:bookmarkStart w:id="435" w:name="hmcheck_18c029206dcd41acb355c915c229c586"/>
            <w:r>
              <w:rPr>
                <w:rFonts w:hint="eastAsia"/>
                <w:color w:val="000000" w:themeColor="text1"/>
                <w:shd w:val="clear" w:fill="FFAFAA"/>
                <w14:textFill>
                  <w14:solidFill>
                    <w14:schemeClr w14:val="tx1"/>
                  </w14:solidFill>
                </w14:textFill>
              </w:rPr>
              <w:t>~</w:t>
            </w:r>
            <w:bookmarkEnd w:id="435"/>
            <w:r>
              <w:rPr>
                <w:color w:val="000000" w:themeColor="text1"/>
                <w14:textFill>
                  <w14:solidFill>
                    <w14:schemeClr w14:val="tx1"/>
                  </w14:solidFill>
                </w14:textFill>
              </w:rPr>
              <w:t>60</w:t>
            </w:r>
            <w:r>
              <w:rPr>
                <w:rFonts w:hint="eastAsia"/>
                <w:color w:val="000000" w:themeColor="text1"/>
                <w14:textFill>
                  <w14:solidFill>
                    <w14:schemeClr w14:val="tx1"/>
                  </w14:solidFill>
                </w14:textFill>
              </w:rPr>
              <w:t>min</w:t>
            </w:r>
          </w:p>
        </w:tc>
        <w:tc>
          <w:tcPr>
            <w:tcW w:w="605" w:type="pct"/>
            <w:vAlign w:val="center"/>
          </w:tcPr>
          <w:p w14:paraId="1842DC8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平均值</w:t>
            </w:r>
          </w:p>
        </w:tc>
      </w:tr>
      <w:tr w14:paraId="696D0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vAlign w:val="center"/>
          </w:tcPr>
          <w:p w14:paraId="3B24567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pH</w:t>
            </w:r>
          </w:p>
        </w:tc>
        <w:tc>
          <w:tcPr>
            <w:tcW w:w="1130" w:type="pct"/>
            <w:vAlign w:val="center"/>
          </w:tcPr>
          <w:p w14:paraId="5FAADB2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.8</w:t>
            </w:r>
          </w:p>
        </w:tc>
        <w:tc>
          <w:tcPr>
            <w:tcW w:w="1055" w:type="pct"/>
            <w:vAlign w:val="center"/>
          </w:tcPr>
          <w:p w14:paraId="2F53C8C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.8</w:t>
            </w:r>
          </w:p>
        </w:tc>
        <w:tc>
          <w:tcPr>
            <w:tcW w:w="980" w:type="pct"/>
            <w:vAlign w:val="center"/>
          </w:tcPr>
          <w:p w14:paraId="316543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.8</w:t>
            </w:r>
          </w:p>
        </w:tc>
        <w:tc>
          <w:tcPr>
            <w:tcW w:w="605" w:type="pct"/>
            <w:vAlign w:val="center"/>
          </w:tcPr>
          <w:p w14:paraId="0153EBA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.4</w:t>
            </w:r>
          </w:p>
        </w:tc>
      </w:tr>
      <w:tr w14:paraId="173F18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vAlign w:val="center"/>
          </w:tcPr>
          <w:p w14:paraId="69BC752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SS</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c>
          <w:tcPr>
            <w:tcW w:w="1130" w:type="pct"/>
            <w:vAlign w:val="center"/>
          </w:tcPr>
          <w:p w14:paraId="1D9942D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231.42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158.</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2</w:t>
            </w:r>
          </w:p>
        </w:tc>
        <w:tc>
          <w:tcPr>
            <w:tcW w:w="1055" w:type="pct"/>
            <w:vAlign w:val="center"/>
          </w:tcPr>
          <w:p w14:paraId="05E7A15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158.52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90.36</w:t>
            </w:r>
          </w:p>
        </w:tc>
        <w:tc>
          <w:tcPr>
            <w:tcW w:w="980" w:type="pct"/>
            <w:vAlign w:val="center"/>
          </w:tcPr>
          <w:p w14:paraId="1CFF62E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90.36</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18.71</w:t>
            </w:r>
          </w:p>
        </w:tc>
        <w:tc>
          <w:tcPr>
            <w:tcW w:w="605" w:type="pct"/>
            <w:vAlign w:val="center"/>
          </w:tcPr>
          <w:p w14:paraId="14D7E22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r>
              <w:rPr>
                <w:rFonts w:hint="eastAsia"/>
                <w:color w:val="000000" w:themeColor="text1"/>
                <w14:textFill>
                  <w14:solidFill>
                    <w14:schemeClr w14:val="tx1"/>
                  </w14:solidFill>
                </w14:textFill>
              </w:rPr>
              <w:t>25</w:t>
            </w:r>
          </w:p>
        </w:tc>
      </w:tr>
      <w:tr w14:paraId="7F29BE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vAlign w:val="center"/>
          </w:tcPr>
          <w:p w14:paraId="7040C3B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r>
              <w:rPr>
                <w:rFonts w:hint="eastAsia"/>
                <w:color w:val="000000" w:themeColor="text1"/>
                <w:vertAlign w:val="subscript"/>
                <w14:textFill>
                  <w14:solidFill>
                    <w14:schemeClr w14:val="tx1"/>
                  </w14:solidFill>
                </w14:textFill>
              </w:rPr>
              <w:t>(</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c>
          <w:tcPr>
            <w:tcW w:w="1130" w:type="pct"/>
            <w:vAlign w:val="center"/>
          </w:tcPr>
          <w:p w14:paraId="33F75FB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.34</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.30</w:t>
            </w:r>
          </w:p>
        </w:tc>
        <w:tc>
          <w:tcPr>
            <w:tcW w:w="1055" w:type="pct"/>
            <w:vAlign w:val="center"/>
          </w:tcPr>
          <w:p w14:paraId="1A5D537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4.15</w:t>
            </w:r>
          </w:p>
        </w:tc>
        <w:tc>
          <w:tcPr>
            <w:tcW w:w="980" w:type="pct"/>
            <w:vAlign w:val="center"/>
          </w:tcPr>
          <w:p w14:paraId="6A053E1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4.15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1.26</w:t>
            </w:r>
          </w:p>
        </w:tc>
        <w:tc>
          <w:tcPr>
            <w:tcW w:w="605" w:type="pct"/>
            <w:vAlign w:val="center"/>
          </w:tcPr>
          <w:p w14:paraId="7A14411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4.3</w:t>
            </w:r>
          </w:p>
        </w:tc>
      </w:tr>
      <w:tr w14:paraId="5FE5A2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30" w:type="pct"/>
            <w:vAlign w:val="center"/>
          </w:tcPr>
          <w:p w14:paraId="3EF9041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石油类</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c>
          <w:tcPr>
            <w:tcW w:w="1130" w:type="pct"/>
            <w:vAlign w:val="center"/>
          </w:tcPr>
          <w:p w14:paraId="09E6FB6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22~12.62</w:t>
            </w:r>
          </w:p>
        </w:tc>
        <w:tc>
          <w:tcPr>
            <w:tcW w:w="1055" w:type="pct"/>
            <w:vAlign w:val="center"/>
          </w:tcPr>
          <w:p w14:paraId="16ADA9E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12.62~0.53</w:t>
            </w:r>
          </w:p>
        </w:tc>
        <w:tc>
          <w:tcPr>
            <w:tcW w:w="980" w:type="pct"/>
            <w:vAlign w:val="center"/>
          </w:tcPr>
          <w:p w14:paraId="79EBE6D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0.53~</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04</w:t>
            </w:r>
          </w:p>
        </w:tc>
        <w:tc>
          <w:tcPr>
            <w:tcW w:w="605" w:type="pct"/>
            <w:vAlign w:val="center"/>
          </w:tcPr>
          <w:p w14:paraId="49E44AD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11.25</w:t>
            </w:r>
          </w:p>
        </w:tc>
      </w:tr>
    </w:tbl>
    <w:p w14:paraId="7B6A75D1">
      <w:pPr>
        <w:pStyle w:val="118"/>
        <w:spacing w:before="240"/>
        <w:rPr>
          <w:color w:val="000000" w:themeColor="text1"/>
          <w14:textFill>
            <w14:solidFill>
              <w14:schemeClr w14:val="tx1"/>
            </w14:solidFill>
          </w14:textFill>
        </w:rPr>
      </w:pPr>
      <w:bookmarkStart w:id="436" w:name="_Toc439084126"/>
      <w:r>
        <w:rPr>
          <w:color w:val="000000" w:themeColor="text1"/>
          <w14:textFill>
            <w14:solidFill>
              <w14:schemeClr w14:val="tx1"/>
            </w14:solidFill>
          </w14:textFill>
        </w:rPr>
        <w:t>大气污染源分析</w:t>
      </w:r>
      <w:bookmarkEnd w:id="436"/>
    </w:p>
    <w:p w14:paraId="16EBD959">
      <w:pPr>
        <w:ind w:firstLine="480"/>
        <w:rPr>
          <w:color w:val="000000" w:themeColor="text1"/>
          <w14:textFill>
            <w14:solidFill>
              <w14:schemeClr w14:val="tx1"/>
            </w14:solidFill>
          </w14:textFill>
        </w:rPr>
      </w:pPr>
      <w:r>
        <w:rPr>
          <w:color w:val="000000" w:themeColor="text1"/>
          <w14:textFill>
            <w14:solidFill>
              <w14:schemeClr w14:val="tx1"/>
            </w14:solidFill>
          </w14:textFill>
        </w:rPr>
        <w:t>（1）污染物源强计算公式</w:t>
      </w:r>
    </w:p>
    <w:p w14:paraId="0B3BA2F2">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本项目运营期环境空气污染源主要为机动车尾气，主要污染物为NO</w:t>
      </w:r>
      <w:r>
        <w:rPr>
          <w:color w:val="000000" w:themeColor="text1"/>
          <w:vertAlign w:val="subscript"/>
          <w14:textFill>
            <w14:solidFill>
              <w14:schemeClr w14:val="tx1"/>
            </w14:solidFill>
          </w14:textFill>
        </w:rPr>
        <w:t>x</w:t>
      </w:r>
      <w:r>
        <w:rPr>
          <w:color w:val="000000" w:themeColor="text1"/>
          <w14:textFill>
            <w14:solidFill>
              <w14:schemeClr w14:val="tx1"/>
            </w14:solidFill>
          </w14:textFill>
        </w:rPr>
        <w:t>、CO、THC（烃类）和烟尘等</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汽车尾气污染物排放源源强按下式计算：</w:t>
      </w:r>
    </w:p>
    <w:p w14:paraId="17851F93">
      <w:pPr>
        <w:spacing w:before="60" w:after="60"/>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38" o:spt="75" type="#_x0000_t75" style="height:42.75pt;width:120.75pt;" o:ole="t" filled="f" o:preferrelative="t" stroked="f" coordsize="21600,21600">
            <v:path/>
            <v:fill on="f" focussize="0,0"/>
            <v:stroke on="f" joinstyle="miter"/>
            <v:imagedata r:id="rId95" o:title=""/>
            <o:lock v:ext="edit" aspectratio="t"/>
            <w10:wrap type="none"/>
            <w10:anchorlock/>
          </v:shape>
          <o:OLEObject Type="Embed" ProgID="Equation.3" ShapeID="_x0000_i1038" DrawAspect="Content" ObjectID="_1468075738" r:id="rId94">
            <o:LockedField>false</o:LockedField>
          </o:OLEObject>
        </w:object>
      </w:r>
    </w:p>
    <w:p w14:paraId="223C495A">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color w:val="000000" w:themeColor="text1"/>
          <w:position w:val="-14"/>
          <w14:textFill>
            <w14:solidFill>
              <w14:schemeClr w14:val="tx1"/>
            </w14:solidFill>
          </w14:textFill>
        </w:rPr>
        <w:object>
          <v:shape id="_x0000_i1039" o:spt="75" type="#_x0000_t75" style="height:21.75pt;width:14.25pt;" o:ole="t" filled="f" o:preferrelative="t" stroked="f" coordsize="21600,21600">
            <v:path/>
            <v:fill on="f" focussize="0,0"/>
            <v:stroke on="f" joinstyle="miter"/>
            <v:imagedata r:id="rId97" o:title=""/>
            <o:lock v:ext="edit" aspectratio="t"/>
            <w10:wrap type="none"/>
            <w10:anchorlock/>
          </v:shape>
          <o:OLEObject Type="Embed" ProgID="Equation.3" ShapeID="_x0000_i1039" DrawAspect="Content" ObjectID="_1468075739" r:id="rId96">
            <o:LockedField>false</o:LockedField>
          </o:OLEObject>
        </w:object>
      </w:r>
      <w:r>
        <w:rPr>
          <w:color w:val="000000" w:themeColor="text1"/>
          <w14:textFill>
            <w14:solidFill>
              <w14:schemeClr w14:val="tx1"/>
            </w14:solidFill>
          </w14:textFill>
        </w:rPr>
        <w:t>——</w:t>
      </w:r>
      <w:r>
        <w:rPr>
          <w:color w:val="000000" w:themeColor="text1"/>
          <w:position w:val="-10"/>
          <w14:textFill>
            <w14:solidFill>
              <w14:schemeClr w14:val="tx1"/>
            </w14:solidFill>
          </w14:textFill>
        </w:rPr>
        <w:object>
          <v:shape id="_x0000_i1040" o:spt="75" type="#_x0000_t75" style="height:14.25pt;width:7.5pt;" o:ole="t" filled="f" o:preferrelative="t" stroked="f" coordsize="21600,21600">
            <v:path/>
            <v:fill on="f" focussize="0,0"/>
            <v:stroke on="f" joinstyle="miter"/>
            <v:imagedata r:id="rId99" o:title=""/>
            <o:lock v:ext="edit" aspectratio="t"/>
            <w10:wrap type="none"/>
            <w10:anchorlock/>
          </v:shape>
          <o:OLEObject Type="Embed" ProgID="Equation.3" ShapeID="_x0000_i1040" DrawAspect="Content" ObjectID="_1468075740" r:id="rId98">
            <o:LockedField>false</o:LockedField>
          </o:OLEObject>
        </w:object>
      </w:r>
      <w:r>
        <w:rPr>
          <w:color w:val="000000" w:themeColor="text1"/>
          <w14:textFill>
            <w14:solidFill>
              <w14:schemeClr w14:val="tx1"/>
            </w14:solidFill>
          </w14:textFill>
        </w:rPr>
        <w:t>类气态污染物排放源强度，mg/（s·m）；</w:t>
      </w:r>
    </w:p>
    <w:p w14:paraId="35765261">
      <w:pPr>
        <w:ind w:firstLine="1200" w:firstLineChars="500"/>
        <w:rPr>
          <w:color w:val="000000" w:themeColor="text1"/>
          <w14:textFill>
            <w14:solidFill>
              <w14:schemeClr w14:val="tx1"/>
            </w14:solidFill>
          </w14:textFill>
        </w:rPr>
      </w:pPr>
      <w:r>
        <w:rPr>
          <w:color w:val="000000" w:themeColor="text1"/>
          <w:position w:val="-12"/>
          <w14:textFill>
            <w14:solidFill>
              <w14:schemeClr w14:val="tx1"/>
            </w14:solidFill>
          </w14:textFill>
        </w:rPr>
        <w:object>
          <v:shape id="_x0000_i1041" o:spt="75" type="#_x0000_t75" style="height:21.75pt;width:14.25pt;" o:ole="t" filled="f" o:preferrelative="t" stroked="f" coordsize="21600,21600">
            <v:path/>
            <v:fill on="f" focussize="0,0"/>
            <v:stroke on="f" joinstyle="miter"/>
            <v:imagedata r:id="rId101" o:title=""/>
            <o:lock v:ext="edit" aspectratio="t"/>
            <w10:wrap type="none"/>
            <w10:anchorlock/>
          </v:shape>
          <o:OLEObject Type="Embed" ProgID="Equation.3" ShapeID="_x0000_i1041" DrawAspect="Content" ObjectID="_1468075741" r:id="rId100">
            <o:LockedField>false</o:LockedField>
          </o:OLEObject>
        </w:object>
      </w:r>
      <w:r>
        <w:rPr>
          <w:color w:val="000000" w:themeColor="text1"/>
          <w14:textFill>
            <w14:solidFill>
              <w14:schemeClr w14:val="tx1"/>
            </w14:solidFill>
          </w14:textFill>
        </w:rPr>
        <w:t>——</w:t>
      </w:r>
      <w:r>
        <w:rPr>
          <w:color w:val="000000" w:themeColor="text1"/>
          <w:position w:val="-6"/>
          <w14:textFill>
            <w14:solidFill>
              <w14:schemeClr w14:val="tx1"/>
            </w14:solidFill>
          </w14:textFill>
        </w:rPr>
        <w:object>
          <v:shape id="_x0000_i1042" o:spt="75" type="#_x0000_t75" style="height:14.25pt;width:7.5pt;" o:ole="t" filled="f" o:preferrelative="t" stroked="f" coordsize="21600,21600">
            <v:path/>
            <v:fill on="f" focussize="0,0"/>
            <v:stroke on="f" joinstyle="miter"/>
            <v:imagedata r:id="rId103" o:title=""/>
            <o:lock v:ext="edit" aspectratio="t"/>
            <w10:wrap type="none"/>
            <w10:anchorlock/>
          </v:shape>
          <o:OLEObject Type="Embed" ProgID="Equation.3" ShapeID="_x0000_i1042" DrawAspect="Content" ObjectID="_1468075742" r:id="rId102">
            <o:LockedField>false</o:LockedField>
          </o:OLEObject>
        </w:object>
      </w:r>
      <w:r>
        <w:rPr>
          <w:color w:val="000000" w:themeColor="text1"/>
          <w14:textFill>
            <w14:solidFill>
              <w14:schemeClr w14:val="tx1"/>
            </w14:solidFill>
          </w14:textFill>
        </w:rPr>
        <w:t>型车预测年的小时交通量，辆/h；</w:t>
      </w:r>
    </w:p>
    <w:p w14:paraId="4E7404A3">
      <w:pPr>
        <w:ind w:firstLine="1200" w:firstLineChars="500"/>
        <w:rPr>
          <w:color w:val="000000" w:themeColor="text1"/>
          <w14:textFill>
            <w14:solidFill>
              <w14:schemeClr w14:val="tx1"/>
            </w14:solidFill>
          </w14:textFill>
        </w:rPr>
      </w:pPr>
      <w:r>
        <w:rPr>
          <w:color w:val="000000" w:themeColor="text1"/>
          <w:position w:val="-14"/>
          <w14:textFill>
            <w14:solidFill>
              <w14:schemeClr w14:val="tx1"/>
            </w14:solidFill>
          </w14:textFill>
        </w:rPr>
        <w:object>
          <v:shape id="_x0000_i1043" o:spt="75" type="#_x0000_t75" style="height:21.75pt;width:14.25pt;" o:ole="t" filled="f" o:preferrelative="t" stroked="f" coordsize="21600,21600">
            <v:path/>
            <v:fill on="f" focussize="0,0"/>
            <v:stroke on="f" joinstyle="miter"/>
            <v:imagedata r:id="rId105" o:title=""/>
            <o:lock v:ext="edit" aspectratio="t"/>
            <w10:wrap type="none"/>
            <w10:anchorlock/>
          </v:shape>
          <o:OLEObject Type="Embed" ProgID="Equation.3" ShapeID="_x0000_i1043" DrawAspect="Content" ObjectID="_1468075743" r:id="rId104">
            <o:LockedField>false</o:LockedField>
          </o:OLEObject>
        </w:object>
      </w:r>
      <w:r>
        <w:rPr>
          <w:color w:val="000000" w:themeColor="text1"/>
          <w14:textFill>
            <w14:solidFill>
              <w14:schemeClr w14:val="tx1"/>
            </w14:solidFill>
          </w14:textFill>
        </w:rPr>
        <w:t>——汽车专用公路运行工况下</w:t>
      </w:r>
      <w:r>
        <w:rPr>
          <w:color w:val="000000" w:themeColor="text1"/>
          <w:position w:val="-6"/>
          <w14:textFill>
            <w14:solidFill>
              <w14:schemeClr w14:val="tx1"/>
            </w14:solidFill>
          </w14:textFill>
        </w:rPr>
        <w:object>
          <v:shape id="_x0000_i1044" o:spt="75" type="#_x0000_t75" style="height:14.25pt;width:7.5pt;" o:ole="t" filled="f" o:preferrelative="t" stroked="f" coordsize="21600,21600">
            <v:path/>
            <v:fill on="f" focussize="0,0"/>
            <v:stroke on="f" joinstyle="miter"/>
            <v:imagedata r:id="rId103" o:title=""/>
            <o:lock v:ext="edit" aspectratio="t"/>
            <w10:wrap type="none"/>
            <w10:anchorlock/>
          </v:shape>
          <o:OLEObject Type="Embed" ProgID="Equation.3" ShapeID="_x0000_i1044" DrawAspect="Content" ObjectID="_1468075744" r:id="rId106">
            <o:LockedField>false</o:LockedField>
          </o:OLEObject>
        </w:object>
      </w:r>
      <w:r>
        <w:rPr>
          <w:color w:val="000000" w:themeColor="text1"/>
          <w14:textFill>
            <w14:solidFill>
              <w14:schemeClr w14:val="tx1"/>
            </w14:solidFill>
          </w14:textFill>
        </w:rPr>
        <w:t>型车</w:t>
      </w:r>
      <w:r>
        <w:rPr>
          <w:color w:val="000000" w:themeColor="text1"/>
          <w:position w:val="-10"/>
          <w14:textFill>
            <w14:solidFill>
              <w14:schemeClr w14:val="tx1"/>
            </w14:solidFill>
          </w14:textFill>
        </w:rPr>
        <w:object>
          <v:shape id="_x0000_i1045" o:spt="75" type="#_x0000_t75" style="height:14.25pt;width:7.5pt;" o:ole="t" filled="f" o:preferrelative="t" stroked="f" coordsize="21600,21600">
            <v:path/>
            <v:fill on="f" focussize="0,0"/>
            <v:stroke on="f" joinstyle="miter"/>
            <v:imagedata r:id="rId99" o:title=""/>
            <o:lock v:ext="edit" aspectratio="t"/>
            <w10:wrap type="none"/>
            <w10:anchorlock/>
          </v:shape>
          <o:OLEObject Type="Embed" ProgID="Equation.3" ShapeID="_x0000_i1045" DrawAspect="Content" ObjectID="_1468075745" r:id="rId107">
            <o:LockedField>false</o:LockedField>
          </o:OLEObject>
        </w:object>
      </w:r>
      <w:r>
        <w:rPr>
          <w:color w:val="000000" w:themeColor="text1"/>
          <w14:textFill>
            <w14:solidFill>
              <w14:schemeClr w14:val="tx1"/>
            </w14:solidFill>
          </w14:textFill>
        </w:rPr>
        <w:t>类排放物在预测年的单车排放因子推荐值，mg/（辆·m）。</w:t>
      </w:r>
    </w:p>
    <w:p w14:paraId="05835110">
      <w:pPr>
        <w:ind w:firstLine="480"/>
        <w:rPr>
          <w:color w:val="000000" w:themeColor="text1"/>
          <w14:textFill>
            <w14:solidFill>
              <w14:schemeClr w14:val="tx1"/>
            </w14:solidFill>
          </w14:textFill>
        </w:rPr>
      </w:pPr>
      <w:r>
        <w:rPr>
          <w:color w:val="000000" w:themeColor="text1"/>
          <w14:textFill>
            <w14:solidFill>
              <w14:schemeClr w14:val="tx1"/>
            </w14:solidFill>
          </w14:textFill>
        </w:rPr>
        <w:t>（2）单车排放因子</w:t>
      </w:r>
    </w:p>
    <w:p w14:paraId="44AEFD59">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本项目计划</w:t>
      </w:r>
      <w:r>
        <w:rPr>
          <w:rFonts w:hint="eastAsia"/>
          <w:color w:val="000000" w:themeColor="text1"/>
          <w14:textFill>
            <w14:solidFill>
              <w14:schemeClr w14:val="tx1"/>
            </w14:solidFill>
          </w14:textFill>
        </w:rPr>
        <w:t>至202</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年年底通车。根据我国自2020年7月1日起实施的《轻型汽车污染物排放限值及测量方法（中国第六阶段）》（GB18352.6-2016），本次评价按照GB18352.6-2016的排放系数进行尾气污染物计算。项目社会车辆单车排放因子推荐值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_Ref141255726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表3.9-4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12FFB92C">
      <w:pPr>
        <w:pStyle w:val="87"/>
        <w:spacing w:before="120"/>
        <w:rPr>
          <w:color w:val="000000" w:themeColor="text1"/>
          <w14:textFill>
            <w14:solidFill>
              <w14:schemeClr w14:val="tx1"/>
            </w14:solidFill>
          </w14:textFill>
        </w:rPr>
      </w:pPr>
      <w:bookmarkStart w:id="437" w:name="_Ref141255726"/>
      <w:r>
        <w:rPr>
          <w:rFonts w:hint="eastAsia"/>
          <w:color w:val="000000" w:themeColor="text1"/>
          <w14:textFill>
            <w14:solidFill>
              <w14:schemeClr w14:val="tx1"/>
            </w14:solidFill>
          </w14:textFill>
        </w:rPr>
        <w:t>机动车污染物</w:t>
      </w:r>
      <w:r>
        <w:rPr>
          <w:color w:val="000000" w:themeColor="text1"/>
          <w14:textFill>
            <w14:solidFill>
              <w14:schemeClr w14:val="tx1"/>
            </w14:solidFill>
          </w14:textFill>
        </w:rPr>
        <w:t>NOx</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CO</w:t>
      </w:r>
      <w:r>
        <w:rPr>
          <w:rFonts w:hint="eastAsia"/>
          <w:color w:val="000000" w:themeColor="text1"/>
          <w14:textFill>
            <w14:solidFill>
              <w14:schemeClr w14:val="tx1"/>
            </w14:solidFill>
          </w14:textFill>
        </w:rPr>
        <w:t>的单车排放系数</w:t>
      </w:r>
      <w:bookmarkEnd w:id="437"/>
    </w:p>
    <w:tbl>
      <w:tblPr>
        <w:tblStyle w:val="53"/>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28" w:type="dxa"/>
          <w:bottom w:w="0" w:type="dxa"/>
          <w:right w:w="28" w:type="dxa"/>
        </w:tblCellMar>
      </w:tblPr>
      <w:tblGrid>
        <w:gridCol w:w="1316"/>
        <w:gridCol w:w="2108"/>
        <w:gridCol w:w="2097"/>
        <w:gridCol w:w="3605"/>
      </w:tblGrid>
      <w:tr w14:paraId="18EF27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20" w:hRule="atLeast"/>
          <w:jc w:val="center"/>
        </w:trPr>
        <w:tc>
          <w:tcPr>
            <w:tcW w:w="1875" w:type="pct"/>
            <w:gridSpan w:val="2"/>
            <w:vMerge w:val="restart"/>
            <w:vAlign w:val="center"/>
          </w:tcPr>
          <w:p w14:paraId="4B8A147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车型</w:t>
            </w:r>
          </w:p>
        </w:tc>
        <w:tc>
          <w:tcPr>
            <w:tcW w:w="3125" w:type="pct"/>
            <w:gridSpan w:val="2"/>
            <w:vAlign w:val="center"/>
          </w:tcPr>
          <w:p w14:paraId="4BEC13F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主要污染物（</w:t>
            </w:r>
            <w:r>
              <w:rPr>
                <w:color w:val="000000" w:themeColor="text1"/>
                <w14:textFill>
                  <w14:solidFill>
                    <w14:schemeClr w14:val="tx1"/>
                  </w14:solidFill>
                </w14:textFill>
              </w:rPr>
              <w:t>g/</w:t>
            </w:r>
            <w:r>
              <w:rPr>
                <w:rFonts w:hint="eastAsia"/>
                <w:color w:val="000000" w:themeColor="text1"/>
                <w14:textFill>
                  <w14:solidFill>
                    <w14:schemeClr w14:val="tx1"/>
                  </w14:solidFill>
                </w14:textFill>
              </w:rPr>
              <w:t>辆</w:t>
            </w:r>
            <w:r>
              <w:rPr>
                <w:color w:val="000000" w:themeColor="text1"/>
                <w14:textFill>
                  <w14:solidFill>
                    <w14:schemeClr w14:val="tx1"/>
                  </w14:solidFill>
                </w14:textFill>
              </w:rPr>
              <w:t>·km</w:t>
            </w:r>
            <w:r>
              <w:rPr>
                <w:rFonts w:hint="eastAsia"/>
                <w:color w:val="000000" w:themeColor="text1"/>
                <w14:textFill>
                  <w14:solidFill>
                    <w14:schemeClr w14:val="tx1"/>
                  </w14:solidFill>
                </w14:textFill>
              </w:rPr>
              <w:t>）（第六阶段）</w:t>
            </w:r>
          </w:p>
        </w:tc>
      </w:tr>
      <w:tr w14:paraId="6656E5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20" w:hRule="atLeast"/>
          <w:jc w:val="center"/>
        </w:trPr>
        <w:tc>
          <w:tcPr>
            <w:tcW w:w="1875" w:type="pct"/>
            <w:gridSpan w:val="2"/>
            <w:vMerge w:val="continue"/>
            <w:vAlign w:val="center"/>
          </w:tcPr>
          <w:p w14:paraId="57963BB8">
            <w:pPr>
              <w:pStyle w:val="105"/>
              <w:jc w:val="center"/>
              <w:rPr>
                <w:color w:val="000000" w:themeColor="text1"/>
                <w14:textFill>
                  <w14:solidFill>
                    <w14:schemeClr w14:val="tx1"/>
                  </w14:solidFill>
                </w14:textFill>
              </w:rPr>
            </w:pPr>
          </w:p>
        </w:tc>
        <w:tc>
          <w:tcPr>
            <w:tcW w:w="1149" w:type="pct"/>
            <w:vAlign w:val="center"/>
          </w:tcPr>
          <w:p w14:paraId="2CCF3D4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976" w:type="pct"/>
            <w:vAlign w:val="center"/>
          </w:tcPr>
          <w:p w14:paraId="14BB06B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NOx</w:t>
            </w:r>
          </w:p>
        </w:tc>
      </w:tr>
      <w:tr w14:paraId="093BF0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20" w:hRule="atLeast"/>
          <w:jc w:val="center"/>
        </w:trPr>
        <w:tc>
          <w:tcPr>
            <w:tcW w:w="721" w:type="pct"/>
            <w:vMerge w:val="restart"/>
            <w:vAlign w:val="center"/>
          </w:tcPr>
          <w:p w14:paraId="69EDF44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汽油车</w:t>
            </w:r>
          </w:p>
        </w:tc>
        <w:tc>
          <w:tcPr>
            <w:tcW w:w="1155" w:type="pct"/>
            <w:vAlign w:val="center"/>
          </w:tcPr>
          <w:p w14:paraId="096E25E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小型车</w:t>
            </w:r>
          </w:p>
        </w:tc>
        <w:tc>
          <w:tcPr>
            <w:tcW w:w="1149" w:type="pct"/>
            <w:vAlign w:val="center"/>
          </w:tcPr>
          <w:p w14:paraId="1039572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0.50</w:t>
            </w:r>
          </w:p>
        </w:tc>
        <w:tc>
          <w:tcPr>
            <w:tcW w:w="1976" w:type="pct"/>
            <w:vAlign w:val="center"/>
          </w:tcPr>
          <w:p w14:paraId="2633E5A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0.035</w:t>
            </w:r>
          </w:p>
        </w:tc>
      </w:tr>
      <w:tr w14:paraId="794747E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20" w:hRule="atLeast"/>
          <w:jc w:val="center"/>
        </w:trPr>
        <w:tc>
          <w:tcPr>
            <w:tcW w:w="721" w:type="pct"/>
            <w:vMerge w:val="continue"/>
            <w:vAlign w:val="center"/>
          </w:tcPr>
          <w:p w14:paraId="1068378D">
            <w:pPr>
              <w:pStyle w:val="105"/>
              <w:jc w:val="center"/>
              <w:rPr>
                <w:color w:val="000000" w:themeColor="text1"/>
                <w14:textFill>
                  <w14:solidFill>
                    <w14:schemeClr w14:val="tx1"/>
                  </w14:solidFill>
                </w14:textFill>
              </w:rPr>
            </w:pPr>
          </w:p>
        </w:tc>
        <w:tc>
          <w:tcPr>
            <w:tcW w:w="1155" w:type="pct"/>
            <w:vAlign w:val="center"/>
          </w:tcPr>
          <w:p w14:paraId="68785BB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中型车</w:t>
            </w:r>
          </w:p>
        </w:tc>
        <w:tc>
          <w:tcPr>
            <w:tcW w:w="1149" w:type="pct"/>
            <w:vAlign w:val="center"/>
          </w:tcPr>
          <w:p w14:paraId="359ADEF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0.63</w:t>
            </w:r>
          </w:p>
        </w:tc>
        <w:tc>
          <w:tcPr>
            <w:tcW w:w="1976" w:type="pct"/>
            <w:vAlign w:val="center"/>
          </w:tcPr>
          <w:p w14:paraId="4D42428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0.045</w:t>
            </w:r>
          </w:p>
        </w:tc>
      </w:tr>
      <w:tr w14:paraId="699B77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28" w:type="dxa"/>
            <w:bottom w:w="0" w:type="dxa"/>
            <w:right w:w="28" w:type="dxa"/>
          </w:tblCellMar>
        </w:tblPrEx>
        <w:trPr>
          <w:cantSplit/>
          <w:trHeight w:val="20" w:hRule="atLeast"/>
          <w:jc w:val="center"/>
        </w:trPr>
        <w:tc>
          <w:tcPr>
            <w:tcW w:w="721" w:type="pct"/>
            <w:vMerge w:val="continue"/>
            <w:vAlign w:val="center"/>
          </w:tcPr>
          <w:p w14:paraId="1DDB2EB3">
            <w:pPr>
              <w:pStyle w:val="105"/>
              <w:jc w:val="center"/>
              <w:rPr>
                <w:color w:val="000000" w:themeColor="text1"/>
                <w14:textFill>
                  <w14:solidFill>
                    <w14:schemeClr w14:val="tx1"/>
                  </w14:solidFill>
                </w14:textFill>
              </w:rPr>
            </w:pPr>
          </w:p>
        </w:tc>
        <w:tc>
          <w:tcPr>
            <w:tcW w:w="1155" w:type="pct"/>
            <w:vAlign w:val="center"/>
          </w:tcPr>
          <w:p w14:paraId="62AADE4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大型车</w:t>
            </w:r>
          </w:p>
        </w:tc>
        <w:tc>
          <w:tcPr>
            <w:tcW w:w="1149" w:type="pct"/>
            <w:vAlign w:val="center"/>
          </w:tcPr>
          <w:p w14:paraId="0D2AAB7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0.74</w:t>
            </w:r>
          </w:p>
        </w:tc>
        <w:tc>
          <w:tcPr>
            <w:tcW w:w="1976" w:type="pct"/>
            <w:vAlign w:val="center"/>
          </w:tcPr>
          <w:p w14:paraId="6F4D590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0.050</w:t>
            </w:r>
          </w:p>
        </w:tc>
      </w:tr>
    </w:tbl>
    <w:p w14:paraId="006263AC">
      <w:pPr>
        <w:pStyle w:val="134"/>
        <w:ind w:firstLine="300"/>
        <w:rPr>
          <w:color w:val="000000" w:themeColor="text1"/>
          <w14:textFill>
            <w14:solidFill>
              <w14:schemeClr w14:val="tx1"/>
            </w14:solidFill>
          </w14:textFill>
        </w:rPr>
      </w:pPr>
    </w:p>
    <w:p w14:paraId="6140C13F">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废气源强</w:t>
      </w:r>
    </w:p>
    <w:p w14:paraId="0C3964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根据《环境影响评价技术导则大气环境》（HJ2.2-2018）：“对于一般的燃烧设备，在计算小时或日平均浓度时，可以假设NO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/NOx=0.9</w:t>
      </w:r>
      <w:bookmarkStart w:id="438" w:name="hmcheck_1f7d6bc7b9d84ca18494e612e69dc7bc"/>
      <w:r>
        <w:rPr>
          <w:rFonts w:hint="eastAsia"/>
          <w:color w:val="000000" w:themeColor="text1"/>
          <w:shd w:val="clear" w:fill="FFAFAA"/>
          <w14:textFill>
            <w14:solidFill>
              <w14:schemeClr w14:val="tx1"/>
            </w14:solidFill>
          </w14:textFill>
        </w:rPr>
        <w:t>：</w:t>
      </w:r>
      <w:bookmarkEnd w:id="438"/>
      <w:r>
        <w:rPr>
          <w:rFonts w:hint="eastAsia"/>
          <w:color w:val="000000" w:themeColor="text1"/>
          <w14:textFill>
            <w14:solidFill>
              <w14:schemeClr w14:val="tx1"/>
            </w14:solidFill>
          </w14:textFill>
        </w:rPr>
        <w:t>1；在计算年平均浓度时，可假定NO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/NOx=0.75</w:t>
      </w:r>
      <w:bookmarkStart w:id="439" w:name="hmcheck_e10ac17dca6248878096407163ddbd4a"/>
      <w:r>
        <w:rPr>
          <w:rFonts w:hint="eastAsia"/>
          <w:color w:val="000000" w:themeColor="text1"/>
          <w:shd w:val="clear" w:fill="FFAFAA"/>
          <w14:textFill>
            <w14:solidFill>
              <w14:schemeClr w14:val="tx1"/>
            </w14:solidFill>
          </w14:textFill>
        </w:rPr>
        <w:t>：</w:t>
      </w:r>
      <w:bookmarkEnd w:id="439"/>
      <w:r>
        <w:rPr>
          <w:rFonts w:hint="eastAsia"/>
          <w:color w:val="000000" w:themeColor="text1"/>
          <w14:textFill>
            <w14:solidFill>
              <w14:schemeClr w14:val="tx1"/>
            </w14:solidFill>
          </w14:textFill>
        </w:rPr>
        <w:t>1。在计算机动车排放NO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和NO</w:t>
      </w:r>
      <w:r>
        <w:rPr>
          <w:rFonts w:hint="eastAsia"/>
          <w:i/>
          <w:iCs/>
          <w:color w:val="000000" w:themeColor="text1"/>
          <w:vertAlign w:val="subscript"/>
          <w14:textFill>
            <w14:solidFill>
              <w14:schemeClr w14:val="tx1"/>
            </w14:solidFill>
          </w14:textFill>
        </w:rPr>
        <w:t>x</w:t>
      </w:r>
      <w:r>
        <w:rPr>
          <w:rFonts w:hint="eastAsia"/>
          <w:color w:val="000000" w:themeColor="text1"/>
          <w14:textFill>
            <w14:solidFill>
              <w14:schemeClr w14:val="tx1"/>
            </w14:solidFill>
          </w14:textFill>
        </w:rPr>
        <w:t>比例时，应根据不同车型的实际情况而定”。因此，本评价按NO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：NOx=0.</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：l进行换算。根据本项目运营阶段不同时期的车流量计算汽车尾气中主要污染物的排放源强，计算得出汽车尾气污染源强估算结果，详见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_Ref141255720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表3.9-5</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60BEC12F">
      <w:pPr>
        <w:pStyle w:val="87"/>
        <w:spacing w:before="120"/>
        <w:rPr>
          <w:color w:val="000000" w:themeColor="text1"/>
          <w14:textFill>
            <w14:solidFill>
              <w14:schemeClr w14:val="tx1"/>
            </w14:solidFill>
          </w14:textFill>
        </w:rPr>
      </w:pPr>
      <w:bookmarkStart w:id="440" w:name="_Ref141255720"/>
      <w:r>
        <w:rPr>
          <w:color w:val="000000" w:themeColor="text1"/>
          <w14:textFill>
            <w14:solidFill>
              <w14:schemeClr w14:val="tx1"/>
            </w14:solidFill>
          </w14:textFill>
        </w:rPr>
        <w:t>各预测年汽车尾气污染源强估算结果单位：mg/m·s</w:t>
      </w:r>
      <w:bookmarkEnd w:id="440"/>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4"/>
        <w:gridCol w:w="1123"/>
        <w:gridCol w:w="916"/>
        <w:gridCol w:w="917"/>
        <w:gridCol w:w="916"/>
        <w:gridCol w:w="916"/>
        <w:gridCol w:w="916"/>
        <w:gridCol w:w="916"/>
        <w:gridCol w:w="916"/>
        <w:gridCol w:w="906"/>
      </w:tblGrid>
      <w:tr w14:paraId="3262D3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blHeader/>
          <w:jc w:val="center"/>
        </w:trPr>
        <w:tc>
          <w:tcPr>
            <w:tcW w:w="455" w:type="pct"/>
            <w:vMerge w:val="restart"/>
            <w:vAlign w:val="center"/>
          </w:tcPr>
          <w:p w14:paraId="098A305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w:t>
            </w:r>
          </w:p>
        </w:tc>
        <w:tc>
          <w:tcPr>
            <w:tcW w:w="605" w:type="pct"/>
            <w:vMerge w:val="restart"/>
            <w:vAlign w:val="center"/>
          </w:tcPr>
          <w:p w14:paraId="00DDD02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特征年</w:t>
            </w:r>
          </w:p>
        </w:tc>
        <w:tc>
          <w:tcPr>
            <w:tcW w:w="987" w:type="pct"/>
            <w:gridSpan w:val="2"/>
            <w:vAlign w:val="center"/>
          </w:tcPr>
          <w:p w14:paraId="467A3FE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昼间平均</w:t>
            </w:r>
          </w:p>
        </w:tc>
        <w:tc>
          <w:tcPr>
            <w:tcW w:w="986" w:type="pct"/>
            <w:gridSpan w:val="2"/>
            <w:vAlign w:val="center"/>
          </w:tcPr>
          <w:p w14:paraId="45F59E6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夜间平均</w:t>
            </w:r>
          </w:p>
        </w:tc>
        <w:tc>
          <w:tcPr>
            <w:tcW w:w="986" w:type="pct"/>
            <w:gridSpan w:val="2"/>
            <w:vAlign w:val="center"/>
          </w:tcPr>
          <w:p w14:paraId="36478D0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日平均</w:t>
            </w:r>
          </w:p>
        </w:tc>
        <w:tc>
          <w:tcPr>
            <w:tcW w:w="981" w:type="pct"/>
            <w:gridSpan w:val="2"/>
            <w:vAlign w:val="center"/>
          </w:tcPr>
          <w:p w14:paraId="1EADCBA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高峰小时</w:t>
            </w:r>
          </w:p>
        </w:tc>
      </w:tr>
      <w:tr w14:paraId="1CE4AC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tblHeader/>
          <w:jc w:val="center"/>
        </w:trPr>
        <w:tc>
          <w:tcPr>
            <w:tcW w:w="455" w:type="pct"/>
            <w:vMerge w:val="continue"/>
            <w:vAlign w:val="center"/>
          </w:tcPr>
          <w:p w14:paraId="4990FA68">
            <w:pPr>
              <w:pStyle w:val="105"/>
              <w:jc w:val="center"/>
              <w:rPr>
                <w:color w:val="000000" w:themeColor="text1"/>
                <w14:textFill>
                  <w14:solidFill>
                    <w14:schemeClr w14:val="tx1"/>
                  </w14:solidFill>
                </w14:textFill>
              </w:rPr>
            </w:pPr>
          </w:p>
        </w:tc>
        <w:tc>
          <w:tcPr>
            <w:tcW w:w="605" w:type="pct"/>
            <w:vMerge w:val="continue"/>
            <w:vAlign w:val="center"/>
          </w:tcPr>
          <w:p w14:paraId="1604B79B">
            <w:pPr>
              <w:pStyle w:val="105"/>
              <w:jc w:val="center"/>
              <w:rPr>
                <w:color w:val="000000" w:themeColor="text1"/>
                <w14:textFill>
                  <w14:solidFill>
                    <w14:schemeClr w14:val="tx1"/>
                  </w14:solidFill>
                </w14:textFill>
              </w:rPr>
            </w:pPr>
          </w:p>
        </w:tc>
        <w:tc>
          <w:tcPr>
            <w:tcW w:w="493" w:type="pct"/>
            <w:vAlign w:val="center"/>
          </w:tcPr>
          <w:p w14:paraId="093B2F7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494" w:type="pct"/>
            <w:vAlign w:val="center"/>
          </w:tcPr>
          <w:p w14:paraId="3A497A9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493" w:type="pct"/>
            <w:vAlign w:val="center"/>
          </w:tcPr>
          <w:p w14:paraId="086279E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493" w:type="pct"/>
            <w:vAlign w:val="center"/>
          </w:tcPr>
          <w:p w14:paraId="66002AA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NO2</w:t>
            </w:r>
          </w:p>
        </w:tc>
        <w:tc>
          <w:tcPr>
            <w:tcW w:w="493" w:type="pct"/>
            <w:vAlign w:val="center"/>
          </w:tcPr>
          <w:p w14:paraId="0C14EC6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493" w:type="pct"/>
            <w:vAlign w:val="center"/>
          </w:tcPr>
          <w:p w14:paraId="21711E0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493" w:type="pct"/>
            <w:vAlign w:val="center"/>
          </w:tcPr>
          <w:p w14:paraId="0668554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488" w:type="pct"/>
            <w:vAlign w:val="center"/>
          </w:tcPr>
          <w:p w14:paraId="187FF42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r>
      <w:tr w14:paraId="2E78E8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jc w:val="center"/>
        </w:trPr>
        <w:tc>
          <w:tcPr>
            <w:tcW w:w="455" w:type="pct"/>
            <w:vMerge w:val="restart"/>
            <w:vAlign w:val="center"/>
          </w:tcPr>
          <w:p w14:paraId="5770C47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全线</w:t>
            </w:r>
          </w:p>
        </w:tc>
        <w:tc>
          <w:tcPr>
            <w:tcW w:w="605" w:type="pct"/>
            <w:vAlign w:val="center"/>
          </w:tcPr>
          <w:p w14:paraId="46C583E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2027</w:t>
            </w:r>
          </w:p>
        </w:tc>
        <w:tc>
          <w:tcPr>
            <w:tcW w:w="493" w:type="pct"/>
            <w:vAlign w:val="center"/>
          </w:tcPr>
          <w:p w14:paraId="2B8CED9B">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0.043</w:t>
            </w:r>
          </w:p>
        </w:tc>
        <w:tc>
          <w:tcPr>
            <w:tcW w:w="494" w:type="pct"/>
            <w:vAlign w:val="center"/>
          </w:tcPr>
          <w:p w14:paraId="0B6A7F69">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0.003</w:t>
            </w:r>
          </w:p>
        </w:tc>
        <w:tc>
          <w:tcPr>
            <w:tcW w:w="493" w:type="pct"/>
            <w:vAlign w:val="center"/>
          </w:tcPr>
          <w:p w14:paraId="221F9E3C">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0.007</w:t>
            </w:r>
          </w:p>
        </w:tc>
        <w:tc>
          <w:tcPr>
            <w:tcW w:w="493" w:type="pct"/>
            <w:vAlign w:val="center"/>
          </w:tcPr>
          <w:p w14:paraId="682AA261">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0.000</w:t>
            </w:r>
          </w:p>
        </w:tc>
        <w:tc>
          <w:tcPr>
            <w:tcW w:w="493" w:type="pct"/>
            <w:vAlign w:val="center"/>
          </w:tcPr>
          <w:p w14:paraId="2430FECD">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0.031</w:t>
            </w:r>
          </w:p>
        </w:tc>
        <w:tc>
          <w:tcPr>
            <w:tcW w:w="493" w:type="pct"/>
            <w:vAlign w:val="center"/>
          </w:tcPr>
          <w:p w14:paraId="185F91E2">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0.002</w:t>
            </w:r>
          </w:p>
        </w:tc>
        <w:tc>
          <w:tcPr>
            <w:tcW w:w="493" w:type="pct"/>
            <w:vAlign w:val="center"/>
          </w:tcPr>
          <w:p w14:paraId="2B71DC76">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0.075</w:t>
            </w:r>
          </w:p>
        </w:tc>
        <w:tc>
          <w:tcPr>
            <w:tcW w:w="488" w:type="pct"/>
            <w:vAlign w:val="center"/>
          </w:tcPr>
          <w:p w14:paraId="41A4DD19">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0.005</w:t>
            </w:r>
          </w:p>
        </w:tc>
      </w:tr>
      <w:tr w14:paraId="478876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jc w:val="center"/>
        </w:trPr>
        <w:tc>
          <w:tcPr>
            <w:tcW w:w="455" w:type="pct"/>
            <w:vMerge w:val="continue"/>
            <w:vAlign w:val="center"/>
          </w:tcPr>
          <w:p w14:paraId="63761666">
            <w:pPr>
              <w:pStyle w:val="105"/>
              <w:jc w:val="center"/>
              <w:rPr>
                <w:color w:val="000000" w:themeColor="text1"/>
                <w14:textFill>
                  <w14:solidFill>
                    <w14:schemeClr w14:val="tx1"/>
                  </w14:solidFill>
                </w14:textFill>
              </w:rPr>
            </w:pPr>
          </w:p>
        </w:tc>
        <w:tc>
          <w:tcPr>
            <w:tcW w:w="605" w:type="pct"/>
            <w:vAlign w:val="center"/>
          </w:tcPr>
          <w:p w14:paraId="54C43A0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2033</w:t>
            </w:r>
          </w:p>
        </w:tc>
        <w:tc>
          <w:tcPr>
            <w:tcW w:w="493" w:type="pct"/>
            <w:vAlign w:val="center"/>
          </w:tcPr>
          <w:p w14:paraId="3A96FDAF">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0.050</w:t>
            </w:r>
          </w:p>
        </w:tc>
        <w:tc>
          <w:tcPr>
            <w:tcW w:w="494" w:type="pct"/>
            <w:vAlign w:val="center"/>
          </w:tcPr>
          <w:p w14:paraId="14E0EA29">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0.003</w:t>
            </w:r>
          </w:p>
        </w:tc>
        <w:tc>
          <w:tcPr>
            <w:tcW w:w="493" w:type="pct"/>
            <w:vAlign w:val="center"/>
          </w:tcPr>
          <w:p w14:paraId="20560BA2">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0.009</w:t>
            </w:r>
          </w:p>
        </w:tc>
        <w:tc>
          <w:tcPr>
            <w:tcW w:w="493" w:type="pct"/>
            <w:vAlign w:val="center"/>
          </w:tcPr>
          <w:p w14:paraId="7A98FBDA">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0.001</w:t>
            </w:r>
          </w:p>
        </w:tc>
        <w:tc>
          <w:tcPr>
            <w:tcW w:w="493" w:type="pct"/>
            <w:vAlign w:val="center"/>
          </w:tcPr>
          <w:p w14:paraId="62D498F5">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0.036</w:t>
            </w:r>
          </w:p>
        </w:tc>
        <w:tc>
          <w:tcPr>
            <w:tcW w:w="493" w:type="pct"/>
            <w:vAlign w:val="center"/>
          </w:tcPr>
          <w:p w14:paraId="53483C8C">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0.002</w:t>
            </w:r>
          </w:p>
        </w:tc>
        <w:tc>
          <w:tcPr>
            <w:tcW w:w="493" w:type="pct"/>
            <w:vAlign w:val="center"/>
          </w:tcPr>
          <w:p w14:paraId="43BEEB2C">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0.087</w:t>
            </w:r>
          </w:p>
        </w:tc>
        <w:tc>
          <w:tcPr>
            <w:tcW w:w="488" w:type="pct"/>
            <w:vAlign w:val="center"/>
          </w:tcPr>
          <w:p w14:paraId="54D0BA4F">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0.005</w:t>
            </w:r>
          </w:p>
        </w:tc>
      </w:tr>
      <w:tr w14:paraId="12C786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 w:hRule="atLeast"/>
          <w:jc w:val="center"/>
        </w:trPr>
        <w:tc>
          <w:tcPr>
            <w:tcW w:w="455" w:type="pct"/>
            <w:vMerge w:val="continue"/>
            <w:vAlign w:val="center"/>
          </w:tcPr>
          <w:p w14:paraId="1C02F9EF">
            <w:pPr>
              <w:pStyle w:val="105"/>
              <w:jc w:val="center"/>
              <w:rPr>
                <w:color w:val="000000" w:themeColor="text1"/>
                <w14:textFill>
                  <w14:solidFill>
                    <w14:schemeClr w14:val="tx1"/>
                  </w14:solidFill>
                </w14:textFill>
              </w:rPr>
            </w:pPr>
          </w:p>
        </w:tc>
        <w:tc>
          <w:tcPr>
            <w:tcW w:w="605" w:type="pct"/>
            <w:vAlign w:val="center"/>
          </w:tcPr>
          <w:p w14:paraId="0A7E0FE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2041</w:t>
            </w:r>
          </w:p>
        </w:tc>
        <w:tc>
          <w:tcPr>
            <w:tcW w:w="493" w:type="pct"/>
            <w:vAlign w:val="center"/>
          </w:tcPr>
          <w:p w14:paraId="05AE9E02">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0.057</w:t>
            </w:r>
          </w:p>
        </w:tc>
        <w:tc>
          <w:tcPr>
            <w:tcW w:w="494" w:type="pct"/>
            <w:vAlign w:val="center"/>
          </w:tcPr>
          <w:p w14:paraId="76855FFF">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0.004</w:t>
            </w:r>
          </w:p>
        </w:tc>
        <w:tc>
          <w:tcPr>
            <w:tcW w:w="493" w:type="pct"/>
            <w:vAlign w:val="center"/>
          </w:tcPr>
          <w:p w14:paraId="0031A14E">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0.010</w:t>
            </w:r>
          </w:p>
        </w:tc>
        <w:tc>
          <w:tcPr>
            <w:tcW w:w="493" w:type="pct"/>
            <w:vAlign w:val="center"/>
          </w:tcPr>
          <w:p w14:paraId="24F6B1F4">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0.001</w:t>
            </w:r>
          </w:p>
        </w:tc>
        <w:tc>
          <w:tcPr>
            <w:tcW w:w="493" w:type="pct"/>
            <w:vAlign w:val="center"/>
          </w:tcPr>
          <w:p w14:paraId="5F6AA55D">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0.041</w:t>
            </w:r>
          </w:p>
        </w:tc>
        <w:tc>
          <w:tcPr>
            <w:tcW w:w="493" w:type="pct"/>
            <w:vAlign w:val="center"/>
          </w:tcPr>
          <w:p w14:paraId="5F5B59D5">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0.003</w:t>
            </w:r>
          </w:p>
        </w:tc>
        <w:tc>
          <w:tcPr>
            <w:tcW w:w="493" w:type="pct"/>
            <w:vAlign w:val="center"/>
          </w:tcPr>
          <w:p w14:paraId="5A9B321F">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0.099</w:t>
            </w:r>
          </w:p>
        </w:tc>
        <w:tc>
          <w:tcPr>
            <w:tcW w:w="488" w:type="pct"/>
            <w:vAlign w:val="center"/>
          </w:tcPr>
          <w:p w14:paraId="16907E5B">
            <w:pPr>
              <w:pStyle w:val="105"/>
              <w:jc w:val="center"/>
              <w:rPr>
                <w:color w:val="000000" w:themeColor="text1"/>
                <w:highlight w:val="yellow"/>
                <w14:textFill>
                  <w14:solidFill>
                    <w14:schemeClr w14:val="tx1"/>
                  </w14:solidFill>
                </w14:textFill>
              </w:rPr>
            </w:pPr>
            <w:r>
              <w:rPr>
                <w:rFonts w:cs="Times New Roman"/>
                <w:b/>
                <w:bCs/>
                <w:color w:val="000000" w:themeColor="text1"/>
                <w:szCs w:val="21"/>
                <w14:textFill>
                  <w14:solidFill>
                    <w14:schemeClr w14:val="tx1"/>
                  </w14:solidFill>
                </w14:textFill>
              </w:rPr>
              <w:t>0.006</w:t>
            </w:r>
          </w:p>
        </w:tc>
      </w:tr>
    </w:tbl>
    <w:p w14:paraId="35E4D7BD">
      <w:pPr>
        <w:ind w:firstLine="480"/>
      </w:pPr>
    </w:p>
    <w:p w14:paraId="0AAD8FF3">
      <w:pPr>
        <w:pStyle w:val="118"/>
        <w:spacing w:before="240"/>
        <w:rPr>
          <w:color w:val="000000" w:themeColor="text1"/>
          <w14:textFill>
            <w14:solidFill>
              <w14:schemeClr w14:val="tx1"/>
            </w14:solidFill>
          </w14:textFill>
        </w:rPr>
      </w:pPr>
      <w:r>
        <w:rPr>
          <w:color w:val="000000" w:themeColor="text1"/>
          <w14:textFill>
            <w14:solidFill>
              <w14:schemeClr w14:val="tx1"/>
            </w14:solidFill>
          </w14:textFill>
        </w:rPr>
        <w:t>噪声污染源分析</w:t>
      </w:r>
    </w:p>
    <w:p w14:paraId="0C767795">
      <w:pPr>
        <w:ind w:firstLine="480"/>
        <w:rPr>
          <w:color w:val="000000" w:themeColor="text1"/>
          <w14:textFill>
            <w14:solidFill>
              <w14:schemeClr w14:val="tx1"/>
            </w14:solidFill>
          </w14:textFill>
        </w:rPr>
      </w:pPr>
      <w:r>
        <w:rPr>
          <w:color w:val="000000" w:themeColor="text1"/>
          <w14:textFill>
            <w14:solidFill>
              <w14:schemeClr w14:val="tx1"/>
            </w14:solidFill>
          </w14:textFill>
        </w:rPr>
        <w:t>（1）噪声源及其特征</w:t>
      </w:r>
    </w:p>
    <w:p w14:paraId="10C2202D">
      <w:pPr>
        <w:ind w:firstLine="480"/>
        <w:rPr>
          <w:color w:val="000000" w:themeColor="text1"/>
          <w14:textFill>
            <w14:solidFill>
              <w14:schemeClr w14:val="tx1"/>
            </w14:solidFill>
          </w14:textFill>
        </w:rPr>
      </w:pPr>
      <w:r>
        <w:rPr>
          <w:color w:val="000000" w:themeColor="text1"/>
          <w14:textFill>
            <w14:solidFill>
              <w14:schemeClr w14:val="tx1"/>
            </w14:solidFill>
          </w14:textFill>
        </w:rPr>
        <w:t>项目运营期噪声为车辆行驶产生的交通噪声。在路上行驶的机动车辆噪声源为非稳定态源。</w:t>
      </w:r>
      <w:r>
        <w:rPr>
          <w:rFonts w:hint="eastAsia" w:ascii="宋体" w:hAnsi="宋体"/>
          <w:color w:val="000000" w:themeColor="text1"/>
          <w14:textFill>
            <w14:solidFill>
              <w14:schemeClr w14:val="tx1"/>
            </w14:solidFill>
          </w14:textFill>
        </w:rPr>
        <w:t>①</w:t>
      </w:r>
      <w:r>
        <w:rPr>
          <w:rFonts w:hint="eastAsia"/>
          <w:color w:val="000000" w:themeColor="text1"/>
          <w14:textFill>
            <w14:solidFill>
              <w14:schemeClr w14:val="tx1"/>
            </w14:solidFill>
          </w14:textFill>
        </w:rPr>
        <w:t>公路运营后，车辆的发动机、冷却系统、传动系统等部件均会产生噪声。车辆行驶中引起的气流湍动、排气系统、轮胎与路面的摩擦等也会产生噪声。</w:t>
      </w:r>
      <w:r>
        <w:rPr>
          <w:rFonts w:hint="eastAsia" w:ascii="宋体" w:hAnsi="宋体"/>
          <w:color w:val="000000" w:themeColor="text1"/>
          <w14:textFill>
            <w14:solidFill>
              <w14:schemeClr w14:val="tx1"/>
            </w14:solidFill>
          </w14:textFill>
        </w:rPr>
        <w:t>②</w:t>
      </w:r>
      <w:r>
        <w:rPr>
          <w:rFonts w:hint="eastAsia"/>
          <w:color w:val="000000" w:themeColor="text1"/>
          <w14:textFill>
            <w14:solidFill>
              <w14:schemeClr w14:val="tx1"/>
            </w14:solidFill>
          </w14:textFill>
        </w:rPr>
        <w:t>另外，由于公路路面平整度等原因也会使行驶的汽车产生整车噪声。</w:t>
      </w:r>
      <w:r>
        <w:rPr>
          <w:color w:val="000000" w:themeColor="text1"/>
          <w14:textFill>
            <w14:solidFill>
              <w14:schemeClr w14:val="tx1"/>
            </w14:solidFill>
          </w14:textFill>
        </w:rPr>
        <w:t>运营期交通噪声对路线附近居民点等声环境敏感点可能带来一定的不利影响。</w:t>
      </w:r>
      <w:r>
        <w:rPr>
          <w:rFonts w:hint="eastAsia"/>
          <w:color w:val="000000" w:themeColor="text1"/>
          <w:szCs w:val="21"/>
          <w14:textFill>
            <w14:solidFill>
              <w14:schemeClr w14:val="tx1"/>
            </w14:solidFill>
          </w14:textFill>
        </w:rPr>
        <w:t>本评价预测年份为20</w:t>
      </w:r>
      <w:r>
        <w:rPr>
          <w:color w:val="000000" w:themeColor="text1"/>
          <w:szCs w:val="21"/>
          <w14:textFill>
            <w14:solidFill>
              <w14:schemeClr w14:val="tx1"/>
            </w14:solidFill>
          </w14:textFill>
        </w:rPr>
        <w:t>27</w:t>
      </w:r>
      <w:r>
        <w:rPr>
          <w:rFonts w:hint="eastAsia"/>
          <w:color w:val="000000" w:themeColor="text1"/>
          <w:szCs w:val="21"/>
          <w14:textFill>
            <w14:solidFill>
              <w14:schemeClr w14:val="tx1"/>
            </w14:solidFill>
          </w14:textFill>
        </w:rPr>
        <w:t>年、</w:t>
      </w:r>
      <w:r>
        <w:rPr>
          <w:color w:val="000000" w:themeColor="text1"/>
          <w:szCs w:val="21"/>
          <w14:textFill>
            <w14:solidFill>
              <w14:schemeClr w14:val="tx1"/>
            </w14:solidFill>
          </w14:textFill>
        </w:rPr>
        <w:t>2033</w:t>
      </w:r>
      <w:r>
        <w:rPr>
          <w:rFonts w:hint="eastAsia"/>
          <w:color w:val="000000" w:themeColor="text1"/>
          <w:szCs w:val="21"/>
          <w14:textFill>
            <w14:solidFill>
              <w14:schemeClr w14:val="tx1"/>
            </w14:solidFill>
          </w14:textFill>
        </w:rPr>
        <w:t>年、</w:t>
      </w:r>
      <w:r>
        <w:rPr>
          <w:color w:val="000000" w:themeColor="text1"/>
          <w:szCs w:val="21"/>
          <w14:textFill>
            <w14:solidFill>
              <w14:schemeClr w14:val="tx1"/>
            </w14:solidFill>
          </w14:textFill>
        </w:rPr>
        <w:t>2041</w:t>
      </w:r>
      <w:r>
        <w:rPr>
          <w:rFonts w:hint="eastAsia"/>
          <w:color w:val="000000" w:themeColor="text1"/>
          <w:szCs w:val="21"/>
          <w14:textFill>
            <w14:solidFill>
              <w14:schemeClr w14:val="tx1"/>
            </w14:solidFill>
          </w14:textFill>
        </w:rPr>
        <w:t>年。</w:t>
      </w:r>
    </w:p>
    <w:p w14:paraId="5B824CFA">
      <w:pPr>
        <w:ind w:firstLine="480"/>
        <w:rPr>
          <w:color w:val="000000" w:themeColor="text1"/>
          <w14:textFill>
            <w14:solidFill>
              <w14:schemeClr w14:val="tx1"/>
            </w14:solidFill>
          </w14:textFill>
        </w:rPr>
      </w:pPr>
      <w:r>
        <w:rPr>
          <w:color w:val="000000" w:themeColor="text1"/>
          <w14:textFill>
            <w14:solidFill>
              <w14:schemeClr w14:val="tx1"/>
            </w14:solidFill>
          </w14:textFill>
        </w:rPr>
        <w:t>（2）各车型辐射声级计算</w:t>
      </w:r>
    </w:p>
    <w:p w14:paraId="4EC407F9">
      <w:pPr>
        <w:ind w:firstLine="480"/>
        <w:rPr>
          <w:color w:val="000000" w:themeColor="text1"/>
          <w:szCs w:val="24"/>
          <w14:textFill>
            <w14:solidFill>
              <w14:schemeClr w14:val="tx1"/>
            </w14:solidFill>
          </w14:textFill>
        </w:rPr>
      </w:pPr>
      <w:r>
        <w:rPr>
          <w:rFonts w:hint="eastAsia"/>
          <w:color w:val="000000" w:themeColor="text1"/>
          <w14:textFill>
            <w14:solidFill>
              <w14:schemeClr w14:val="tx1"/>
            </w14:solidFill>
          </w14:textFill>
        </w:rPr>
        <w:t>本项目全线设计速度</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0km/h，路基宽度为</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m，双向二车道的二级公路标准进行建设，项目全线未来通道内车型比例详见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_Ref190253234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表3.8-5</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，根据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附录C，小型车比例大于7</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，平均车速可采用类比调查方式确定，结合区域二级工程车速调查以及本项目</w:t>
      </w:r>
      <w:bookmarkStart w:id="441" w:name="hmcheck_27a4acc6e242450db2685d7b6f80de8b"/>
      <w:r>
        <w:rPr>
          <w:rFonts w:hint="eastAsia"/>
          <w:color w:val="000000" w:themeColor="text1"/>
          <w:shd w:val="clear" w:fill="FFAFAA"/>
          <w14:textFill>
            <w14:solidFill>
              <w14:schemeClr w14:val="tx1"/>
            </w14:solidFill>
          </w14:textFill>
        </w:rPr>
        <w:t>线型</w:t>
      </w:r>
      <w:bookmarkEnd w:id="441"/>
      <w:r>
        <w:rPr>
          <w:rFonts w:hint="eastAsia"/>
          <w:color w:val="000000" w:themeColor="text1"/>
          <w14:textFill>
            <w14:solidFill>
              <w14:schemeClr w14:val="tx1"/>
            </w14:solidFill>
          </w14:textFill>
        </w:rPr>
        <w:t>、村庄分布，两车道二级公路小车车速一般为5</w:t>
      </w:r>
      <w:r>
        <w:rPr>
          <w:color w:val="000000" w:themeColor="text1"/>
          <w14:textFill>
            <w14:solidFill>
              <w14:schemeClr w14:val="tx1"/>
            </w14:solidFill>
          </w14:textFill>
        </w:rPr>
        <w:t>0</w:t>
      </w:r>
      <w:bookmarkStart w:id="442" w:name="hmcheck_9f6f2766cfc74d8ca3a7389d62deb509"/>
      <w:r>
        <w:rPr>
          <w:color w:val="000000" w:themeColor="text1"/>
          <w:shd w:val="clear" w:fill="FFAFAA"/>
          <w14:textFill>
            <w14:solidFill>
              <w14:schemeClr w14:val="tx1"/>
            </w14:solidFill>
          </w14:textFill>
        </w:rPr>
        <w:t>~</w:t>
      </w:r>
      <w:bookmarkEnd w:id="442"/>
      <w:r>
        <w:rPr>
          <w:color w:val="000000" w:themeColor="text1"/>
          <w14:textFill>
            <w14:solidFill>
              <w14:schemeClr w14:val="tx1"/>
            </w14:solidFill>
          </w14:textFill>
        </w:rPr>
        <w:t>55</w:t>
      </w:r>
      <w:r>
        <w:rPr>
          <w:rFonts w:hint="eastAsia"/>
          <w:color w:val="000000" w:themeColor="text1"/>
          <w14:textFill>
            <w14:solidFill>
              <w14:schemeClr w14:val="tx1"/>
            </w14:solidFill>
          </w14:textFill>
        </w:rPr>
        <w:t>km/h，大中型车一般5</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km/h以下，因此本项目保守采取以下经验公式：</w:t>
      </w:r>
      <w:r>
        <w:rPr>
          <w:color w:val="000000" w:themeColor="text1"/>
          <w14:textFill>
            <w14:solidFill>
              <w14:schemeClr w14:val="tx1"/>
            </w14:solidFill>
          </w14:textFill>
        </w:rPr>
        <w:t>V</w:t>
      </w:r>
      <w:r>
        <w:rPr>
          <w:rFonts w:hint="eastAsia"/>
          <w:color w:val="000000" w:themeColor="text1"/>
          <w:vertAlign w:val="subscript"/>
          <w14:textFill>
            <w14:solidFill>
              <w14:schemeClr w14:val="tx1"/>
            </w14:solidFill>
          </w14:textFill>
        </w:rPr>
        <w:t>小</w:t>
      </w:r>
      <w:r>
        <w:rPr>
          <w:color w:val="000000" w:themeColor="text1"/>
          <w14:textFill>
            <w14:solidFill>
              <w14:schemeClr w14:val="tx1"/>
            </w14:solidFill>
          </w14:textFill>
        </w:rPr>
        <w:t>= V</w:t>
      </w:r>
      <w:r>
        <w:rPr>
          <w:rFonts w:hint="eastAsia"/>
          <w:color w:val="000000" w:themeColor="text1"/>
          <w:vertAlign w:val="subscript"/>
          <w14:textFill>
            <w14:solidFill>
              <w14:schemeClr w14:val="tx1"/>
            </w14:solidFill>
          </w14:textFill>
        </w:rPr>
        <w:t>设计</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V</w:t>
      </w:r>
      <w:r>
        <w:rPr>
          <w:rFonts w:hint="eastAsia"/>
          <w:color w:val="000000" w:themeColor="text1"/>
          <w:vertAlign w:val="subscript"/>
          <w14:textFill>
            <w14:solidFill>
              <w14:schemeClr w14:val="tx1"/>
            </w14:solidFill>
          </w14:textFill>
        </w:rPr>
        <w:t>大、中</w:t>
      </w:r>
      <w:r>
        <w:rPr>
          <w:color w:val="000000" w:themeColor="text1"/>
          <w14:textFill>
            <w14:solidFill>
              <w14:schemeClr w14:val="tx1"/>
            </w14:solidFill>
          </w14:textFill>
        </w:rPr>
        <w:t>= V</w:t>
      </w:r>
      <w:r>
        <w:rPr>
          <w:rFonts w:hint="eastAsia"/>
          <w:color w:val="000000" w:themeColor="text1"/>
          <w:vertAlign w:val="subscript"/>
          <w14:textFill>
            <w14:solidFill>
              <w14:schemeClr w14:val="tx1"/>
            </w14:solidFill>
          </w14:textFill>
        </w:rPr>
        <w:t>设计</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，即小型车5</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km/h，大中型5</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km/h</w:t>
      </w:r>
      <w:r>
        <w:rPr>
          <w:color w:val="000000" w:themeColor="text1"/>
          <w:szCs w:val="24"/>
          <w14:textFill>
            <w14:solidFill>
              <w14:schemeClr w14:val="tx1"/>
            </w14:solidFill>
          </w14:textFill>
        </w:rPr>
        <w:t>。</w:t>
      </w:r>
      <w:r>
        <w:rPr>
          <w:rFonts w:hint="eastAsia"/>
          <w:color w:val="000000" w:themeColor="text1"/>
          <w:szCs w:val="24"/>
          <w14:textFill>
            <w14:solidFill>
              <w14:schemeClr w14:val="tx1"/>
            </w14:solidFill>
          </w14:textFill>
        </w:rPr>
        <w:t>本项目公路夜间有照明，因此，保守夜间修正系数取1</w:t>
      </w:r>
      <w:r>
        <w:rPr>
          <w:color w:val="000000" w:themeColor="text1"/>
          <w:szCs w:val="24"/>
          <w14:textFill>
            <w14:solidFill>
              <w14:schemeClr w14:val="tx1"/>
            </w14:solidFill>
          </w14:textFill>
        </w:rPr>
        <w:t>.0</w:t>
      </w:r>
      <w:r>
        <w:rPr>
          <w:rFonts w:hint="eastAsia"/>
          <w:color w:val="000000" w:themeColor="text1"/>
          <w:szCs w:val="24"/>
          <w14:textFill>
            <w14:solidFill>
              <w14:schemeClr w14:val="tx1"/>
            </w14:solidFill>
          </w14:textFill>
        </w:rPr>
        <w:t>。</w:t>
      </w:r>
    </w:p>
    <w:p w14:paraId="2566A78E">
      <w:pPr>
        <w:pStyle w:val="87"/>
        <w:spacing w:before="120"/>
        <w:rPr>
          <w:color w:val="000000" w:themeColor="text1"/>
          <w14:textFill>
            <w14:solidFill>
              <w14:schemeClr w14:val="tx1"/>
            </w14:solidFill>
          </w14:textFill>
        </w:rPr>
      </w:pPr>
      <w:bookmarkStart w:id="443" w:name="_Ref151018884"/>
      <w:r>
        <w:rPr>
          <w:rFonts w:hint="eastAsia"/>
          <w:color w:val="000000" w:themeColor="text1"/>
          <w14:textFill>
            <w14:solidFill>
              <w14:schemeClr w14:val="tx1"/>
            </w14:solidFill>
          </w14:textFill>
        </w:rPr>
        <w:t>实际行车速度</w:t>
      </w:r>
      <w:bookmarkEnd w:id="443"/>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658"/>
        <w:gridCol w:w="1196"/>
        <w:gridCol w:w="1068"/>
        <w:gridCol w:w="1070"/>
        <w:gridCol w:w="1068"/>
        <w:gridCol w:w="1070"/>
        <w:gridCol w:w="1068"/>
        <w:gridCol w:w="1088"/>
      </w:tblGrid>
      <w:tr w14:paraId="01948B8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893" w:type="pct"/>
            <w:vMerge w:val="restart"/>
            <w:vAlign w:val="center"/>
          </w:tcPr>
          <w:p w14:paraId="01F6CB6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w:t>
            </w:r>
          </w:p>
        </w:tc>
        <w:tc>
          <w:tcPr>
            <w:tcW w:w="4107" w:type="pct"/>
            <w:gridSpan w:val="7"/>
            <w:shd w:val="clear" w:color="auto" w:fill="auto"/>
            <w:noWrap/>
            <w:vAlign w:val="center"/>
          </w:tcPr>
          <w:p w14:paraId="1CADECE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各车型的实际车速</w:t>
            </w:r>
            <w:r>
              <w:rPr>
                <w:color w:val="000000" w:themeColor="text1"/>
                <w14:textFill>
                  <w14:solidFill>
                    <w14:schemeClr w14:val="tx1"/>
                  </w14:solidFill>
                </w14:textFill>
              </w:rPr>
              <w:t>Vi</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km/h</w:t>
            </w:r>
            <w:r>
              <w:rPr>
                <w:rFonts w:hint="eastAsia"/>
                <w:color w:val="000000" w:themeColor="text1"/>
                <w14:textFill>
                  <w14:solidFill>
                    <w14:schemeClr w14:val="tx1"/>
                  </w14:solidFill>
                </w14:textFill>
              </w:rPr>
              <w:t>）</w:t>
            </w:r>
          </w:p>
        </w:tc>
      </w:tr>
      <w:tr w14:paraId="6C49C870">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893" w:type="pct"/>
            <w:vMerge w:val="continue"/>
            <w:vAlign w:val="center"/>
          </w:tcPr>
          <w:p w14:paraId="66CEDA45">
            <w:pPr>
              <w:pStyle w:val="105"/>
              <w:jc w:val="center"/>
              <w:rPr>
                <w:color w:val="000000" w:themeColor="text1"/>
                <w14:textFill>
                  <w14:solidFill>
                    <w14:schemeClr w14:val="tx1"/>
                  </w14:solidFill>
                </w14:textFill>
              </w:rPr>
            </w:pPr>
          </w:p>
        </w:tc>
        <w:tc>
          <w:tcPr>
            <w:tcW w:w="644" w:type="pct"/>
            <w:vMerge w:val="restart"/>
            <w:shd w:val="clear" w:color="auto" w:fill="auto"/>
            <w:noWrap/>
            <w:vAlign w:val="center"/>
          </w:tcPr>
          <w:p w14:paraId="6E17675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车型</w:t>
            </w:r>
          </w:p>
        </w:tc>
        <w:tc>
          <w:tcPr>
            <w:tcW w:w="1151" w:type="pct"/>
            <w:gridSpan w:val="2"/>
            <w:shd w:val="clear" w:color="auto" w:fill="auto"/>
            <w:noWrap/>
            <w:vAlign w:val="center"/>
          </w:tcPr>
          <w:p w14:paraId="6B7254B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2027</w:t>
            </w:r>
            <w:r>
              <w:rPr>
                <w:rFonts w:hint="eastAsia"/>
                <w:color w:val="000000" w:themeColor="text1"/>
                <w14:textFill>
                  <w14:solidFill>
                    <w14:schemeClr w14:val="tx1"/>
                  </w14:solidFill>
                </w14:textFill>
              </w:rPr>
              <w:t>年</w:t>
            </w:r>
          </w:p>
        </w:tc>
        <w:tc>
          <w:tcPr>
            <w:tcW w:w="1151" w:type="pct"/>
            <w:gridSpan w:val="2"/>
            <w:shd w:val="clear" w:color="auto" w:fill="auto"/>
            <w:noWrap/>
            <w:vAlign w:val="center"/>
          </w:tcPr>
          <w:p w14:paraId="062069B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2033</w:t>
            </w:r>
            <w:r>
              <w:rPr>
                <w:rFonts w:hint="eastAsia"/>
                <w:color w:val="000000" w:themeColor="text1"/>
                <w14:textFill>
                  <w14:solidFill>
                    <w14:schemeClr w14:val="tx1"/>
                  </w14:solidFill>
                </w14:textFill>
              </w:rPr>
              <w:t>年</w:t>
            </w:r>
          </w:p>
        </w:tc>
        <w:tc>
          <w:tcPr>
            <w:tcW w:w="1161" w:type="pct"/>
            <w:gridSpan w:val="2"/>
            <w:shd w:val="clear" w:color="auto" w:fill="auto"/>
            <w:noWrap/>
            <w:vAlign w:val="center"/>
          </w:tcPr>
          <w:p w14:paraId="7141BD6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2041</w:t>
            </w:r>
            <w:r>
              <w:rPr>
                <w:rFonts w:hint="eastAsia"/>
                <w:color w:val="000000" w:themeColor="text1"/>
                <w14:textFill>
                  <w14:solidFill>
                    <w14:schemeClr w14:val="tx1"/>
                  </w14:solidFill>
                </w14:textFill>
              </w:rPr>
              <w:t>年</w:t>
            </w:r>
          </w:p>
        </w:tc>
      </w:tr>
      <w:tr w14:paraId="5A0167A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893" w:type="pct"/>
            <w:vMerge w:val="continue"/>
            <w:vAlign w:val="center"/>
          </w:tcPr>
          <w:p w14:paraId="5A3DC041">
            <w:pPr>
              <w:pStyle w:val="105"/>
              <w:jc w:val="center"/>
              <w:rPr>
                <w:color w:val="000000" w:themeColor="text1"/>
                <w14:textFill>
                  <w14:solidFill>
                    <w14:schemeClr w14:val="tx1"/>
                  </w14:solidFill>
                </w14:textFill>
              </w:rPr>
            </w:pPr>
          </w:p>
        </w:tc>
        <w:tc>
          <w:tcPr>
            <w:tcW w:w="644" w:type="pct"/>
            <w:vMerge w:val="continue"/>
            <w:shd w:val="clear" w:color="auto" w:fill="auto"/>
            <w:vAlign w:val="center"/>
          </w:tcPr>
          <w:p w14:paraId="7D577F3D">
            <w:pPr>
              <w:pStyle w:val="105"/>
              <w:jc w:val="center"/>
              <w:rPr>
                <w:color w:val="000000" w:themeColor="text1"/>
                <w14:textFill>
                  <w14:solidFill>
                    <w14:schemeClr w14:val="tx1"/>
                  </w14:solidFill>
                </w14:textFill>
              </w:rPr>
            </w:pPr>
          </w:p>
        </w:tc>
        <w:tc>
          <w:tcPr>
            <w:tcW w:w="575" w:type="pct"/>
            <w:shd w:val="clear" w:color="auto" w:fill="auto"/>
            <w:noWrap/>
            <w:vAlign w:val="center"/>
          </w:tcPr>
          <w:p w14:paraId="638FC5D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576" w:type="pct"/>
            <w:shd w:val="clear" w:color="auto" w:fill="auto"/>
            <w:noWrap/>
            <w:vAlign w:val="center"/>
          </w:tcPr>
          <w:p w14:paraId="4D73950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575" w:type="pct"/>
            <w:shd w:val="clear" w:color="auto" w:fill="auto"/>
            <w:noWrap/>
            <w:vAlign w:val="center"/>
          </w:tcPr>
          <w:p w14:paraId="0F97B20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576" w:type="pct"/>
            <w:shd w:val="clear" w:color="auto" w:fill="auto"/>
            <w:noWrap/>
            <w:vAlign w:val="center"/>
          </w:tcPr>
          <w:p w14:paraId="2CEAC36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575" w:type="pct"/>
            <w:shd w:val="clear" w:color="auto" w:fill="auto"/>
            <w:noWrap/>
            <w:vAlign w:val="center"/>
          </w:tcPr>
          <w:p w14:paraId="3FD0487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586" w:type="pct"/>
            <w:shd w:val="clear" w:color="auto" w:fill="auto"/>
            <w:noWrap/>
            <w:vAlign w:val="center"/>
          </w:tcPr>
          <w:p w14:paraId="5AC50EE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r>
      <w:tr w14:paraId="72F2FC8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893" w:type="pct"/>
            <w:vMerge w:val="restart"/>
            <w:vAlign w:val="center"/>
          </w:tcPr>
          <w:p w14:paraId="42FCAFF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全线</w:t>
            </w:r>
          </w:p>
        </w:tc>
        <w:tc>
          <w:tcPr>
            <w:tcW w:w="644" w:type="pct"/>
            <w:shd w:val="clear" w:color="auto" w:fill="auto"/>
            <w:noWrap/>
            <w:vAlign w:val="center"/>
          </w:tcPr>
          <w:p w14:paraId="29FC106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小车</w:t>
            </w:r>
          </w:p>
        </w:tc>
        <w:tc>
          <w:tcPr>
            <w:tcW w:w="575" w:type="pct"/>
            <w:shd w:val="clear" w:color="auto" w:fill="auto"/>
            <w:noWrap/>
            <w:vAlign w:val="center"/>
          </w:tcPr>
          <w:p w14:paraId="1443F48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57.0</w:t>
            </w:r>
          </w:p>
        </w:tc>
        <w:tc>
          <w:tcPr>
            <w:tcW w:w="576" w:type="pct"/>
            <w:shd w:val="clear" w:color="auto" w:fill="auto"/>
            <w:noWrap/>
            <w:vAlign w:val="center"/>
          </w:tcPr>
          <w:p w14:paraId="285ACA5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57.0</w:t>
            </w:r>
          </w:p>
        </w:tc>
        <w:tc>
          <w:tcPr>
            <w:tcW w:w="575" w:type="pct"/>
            <w:shd w:val="clear" w:color="auto" w:fill="auto"/>
            <w:noWrap/>
            <w:vAlign w:val="center"/>
          </w:tcPr>
          <w:p w14:paraId="4128A2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57.0</w:t>
            </w:r>
          </w:p>
        </w:tc>
        <w:tc>
          <w:tcPr>
            <w:tcW w:w="576" w:type="pct"/>
            <w:shd w:val="clear" w:color="auto" w:fill="auto"/>
            <w:noWrap/>
            <w:vAlign w:val="center"/>
          </w:tcPr>
          <w:p w14:paraId="5CE9DD3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57.0</w:t>
            </w:r>
          </w:p>
        </w:tc>
        <w:tc>
          <w:tcPr>
            <w:tcW w:w="575" w:type="pct"/>
            <w:shd w:val="clear" w:color="auto" w:fill="auto"/>
            <w:noWrap/>
            <w:vAlign w:val="center"/>
          </w:tcPr>
          <w:p w14:paraId="7B980B9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57.0</w:t>
            </w:r>
          </w:p>
        </w:tc>
        <w:tc>
          <w:tcPr>
            <w:tcW w:w="586" w:type="pct"/>
            <w:shd w:val="clear" w:color="auto" w:fill="auto"/>
            <w:noWrap/>
            <w:vAlign w:val="center"/>
          </w:tcPr>
          <w:p w14:paraId="39E6949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57.0</w:t>
            </w:r>
          </w:p>
        </w:tc>
      </w:tr>
      <w:tr w14:paraId="73191E37">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893" w:type="pct"/>
            <w:vMerge w:val="continue"/>
            <w:vAlign w:val="center"/>
          </w:tcPr>
          <w:p w14:paraId="31DCE100">
            <w:pPr>
              <w:pStyle w:val="105"/>
              <w:jc w:val="center"/>
              <w:rPr>
                <w:color w:val="000000" w:themeColor="text1"/>
                <w14:textFill>
                  <w14:solidFill>
                    <w14:schemeClr w14:val="tx1"/>
                  </w14:solidFill>
                </w14:textFill>
              </w:rPr>
            </w:pPr>
          </w:p>
        </w:tc>
        <w:tc>
          <w:tcPr>
            <w:tcW w:w="644" w:type="pct"/>
            <w:shd w:val="clear" w:color="auto" w:fill="auto"/>
            <w:noWrap/>
            <w:vAlign w:val="center"/>
          </w:tcPr>
          <w:p w14:paraId="565FDAD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中车</w:t>
            </w:r>
          </w:p>
        </w:tc>
        <w:tc>
          <w:tcPr>
            <w:tcW w:w="575" w:type="pct"/>
            <w:shd w:val="clear" w:color="auto" w:fill="auto"/>
            <w:noWrap/>
            <w:vAlign w:val="center"/>
          </w:tcPr>
          <w:p w14:paraId="4FE6C9E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6" w:type="pct"/>
            <w:shd w:val="clear" w:color="auto" w:fill="auto"/>
            <w:noWrap/>
            <w:vAlign w:val="center"/>
          </w:tcPr>
          <w:p w14:paraId="3A7C342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5" w:type="pct"/>
            <w:shd w:val="clear" w:color="auto" w:fill="auto"/>
            <w:noWrap/>
            <w:vAlign w:val="center"/>
          </w:tcPr>
          <w:p w14:paraId="20F5643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6" w:type="pct"/>
            <w:shd w:val="clear" w:color="auto" w:fill="auto"/>
            <w:noWrap/>
            <w:vAlign w:val="center"/>
          </w:tcPr>
          <w:p w14:paraId="1A7CA29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5" w:type="pct"/>
            <w:shd w:val="clear" w:color="auto" w:fill="auto"/>
            <w:noWrap/>
            <w:vAlign w:val="center"/>
          </w:tcPr>
          <w:p w14:paraId="12C4FFC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86" w:type="pct"/>
            <w:shd w:val="clear" w:color="auto" w:fill="auto"/>
            <w:noWrap/>
            <w:vAlign w:val="center"/>
          </w:tcPr>
          <w:p w14:paraId="7FC92A6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r>
      <w:tr w14:paraId="369FCFE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jc w:val="center"/>
        </w:trPr>
        <w:tc>
          <w:tcPr>
            <w:tcW w:w="893" w:type="pct"/>
            <w:vMerge w:val="continue"/>
            <w:vAlign w:val="center"/>
          </w:tcPr>
          <w:p w14:paraId="6E9AD245">
            <w:pPr>
              <w:pStyle w:val="105"/>
              <w:jc w:val="center"/>
              <w:rPr>
                <w:color w:val="000000" w:themeColor="text1"/>
                <w14:textFill>
                  <w14:solidFill>
                    <w14:schemeClr w14:val="tx1"/>
                  </w14:solidFill>
                </w14:textFill>
              </w:rPr>
            </w:pPr>
          </w:p>
        </w:tc>
        <w:tc>
          <w:tcPr>
            <w:tcW w:w="644" w:type="pct"/>
            <w:shd w:val="clear" w:color="auto" w:fill="auto"/>
            <w:noWrap/>
            <w:vAlign w:val="center"/>
          </w:tcPr>
          <w:p w14:paraId="0BD4BF7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大车</w:t>
            </w:r>
          </w:p>
        </w:tc>
        <w:tc>
          <w:tcPr>
            <w:tcW w:w="575" w:type="pct"/>
            <w:shd w:val="clear" w:color="auto" w:fill="auto"/>
            <w:noWrap/>
            <w:vAlign w:val="center"/>
          </w:tcPr>
          <w:p w14:paraId="58F5AF4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6" w:type="pct"/>
            <w:shd w:val="clear" w:color="auto" w:fill="auto"/>
            <w:noWrap/>
            <w:vAlign w:val="center"/>
          </w:tcPr>
          <w:p w14:paraId="0E2773D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5" w:type="pct"/>
            <w:shd w:val="clear" w:color="auto" w:fill="auto"/>
            <w:noWrap/>
            <w:vAlign w:val="center"/>
          </w:tcPr>
          <w:p w14:paraId="29EA7BE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6" w:type="pct"/>
            <w:shd w:val="clear" w:color="auto" w:fill="auto"/>
            <w:noWrap/>
            <w:vAlign w:val="center"/>
          </w:tcPr>
          <w:p w14:paraId="64EC1B5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75" w:type="pct"/>
            <w:shd w:val="clear" w:color="auto" w:fill="auto"/>
            <w:noWrap/>
            <w:vAlign w:val="center"/>
          </w:tcPr>
          <w:p w14:paraId="1885D43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c>
          <w:tcPr>
            <w:tcW w:w="586" w:type="pct"/>
            <w:shd w:val="clear" w:color="auto" w:fill="auto"/>
            <w:noWrap/>
            <w:vAlign w:val="center"/>
          </w:tcPr>
          <w:p w14:paraId="32D965E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54.0</w:t>
            </w:r>
          </w:p>
        </w:tc>
      </w:tr>
    </w:tbl>
    <w:p w14:paraId="2D5D3849">
      <w:pPr>
        <w:pStyle w:val="134"/>
        <w:ind w:firstLine="300"/>
        <w:rPr>
          <w:color w:val="000000" w:themeColor="text1"/>
          <w14:textFill>
            <w14:solidFill>
              <w14:schemeClr w14:val="tx1"/>
            </w14:solidFill>
          </w14:textFill>
        </w:rPr>
      </w:pPr>
    </w:p>
    <w:p w14:paraId="0213ACC8">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单车辐射声级</w:t>
      </w:r>
    </w:p>
    <w:p w14:paraId="318880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交通噪声的大小与车速、车流量、机动车类型、公路结构、公路表面覆盖物、公路两侧建筑物、地形等多因素有关。第</w:t>
      </w:r>
      <w:r>
        <w:rPr>
          <w:rFonts w:hint="eastAsia"/>
          <w:i/>
          <w:iCs/>
          <w:color w:val="000000" w:themeColor="text1"/>
          <w14:textFill>
            <w14:solidFill>
              <w14:schemeClr w14:val="tx1"/>
            </w14:solidFill>
          </w14:textFill>
        </w:rPr>
        <w:t>i</w:t>
      </w:r>
      <w:r>
        <w:rPr>
          <w:rFonts w:hint="eastAsia"/>
          <w:color w:val="000000" w:themeColor="text1"/>
          <w14:textFill>
            <w14:solidFill>
              <w14:schemeClr w14:val="tx1"/>
            </w14:solidFill>
          </w14:textFill>
        </w:rPr>
        <w:t>种车型车辆在参照点（距道路中心线7.5m处）的平均辐射噪声级（L</w:t>
      </w:r>
      <w:r>
        <w:rPr>
          <w:rFonts w:hint="eastAsia"/>
          <w:color w:val="000000" w:themeColor="text1"/>
          <w:vertAlign w:val="subscript"/>
          <w14:textFill>
            <w14:solidFill>
              <w14:schemeClr w14:val="tx1"/>
            </w14:solidFill>
          </w14:textFill>
        </w:rPr>
        <w:t>0</w:t>
      </w:r>
      <w:r>
        <w:rPr>
          <w:color w:val="000000" w:themeColor="text1"/>
          <w:vertAlign w:val="subscript"/>
          <w14:textFill>
            <w14:solidFill>
              <w14:schemeClr w14:val="tx1"/>
            </w14:solidFill>
          </w14:textFill>
        </w:rPr>
        <w:t>E</w:t>
      </w:r>
      <w:r>
        <w:rPr>
          <w:rFonts w:hint="eastAsia"/>
          <w:color w:val="000000" w:themeColor="text1"/>
          <w14:textFill>
            <w14:solidFill>
              <w14:schemeClr w14:val="tx1"/>
            </w14:solidFill>
          </w14:textFill>
        </w:rPr>
        <w:t>）</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按下式计算：</w:t>
      </w:r>
    </w:p>
    <w:p w14:paraId="30E77780">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小型车Lo</w:t>
      </w:r>
      <w:r>
        <w:rPr>
          <w:color w:val="000000" w:themeColor="text1"/>
          <w:vertAlign w:val="subscript"/>
          <w14:textFill>
            <w14:solidFill>
              <w14:schemeClr w14:val="tx1"/>
            </w14:solidFill>
          </w14:textFill>
        </w:rPr>
        <w:t>S</w:t>
      </w:r>
      <w:r>
        <w:rPr>
          <w:color w:val="000000" w:themeColor="text1"/>
          <w14:textFill>
            <w14:solidFill>
              <w14:schemeClr w14:val="tx1"/>
            </w14:solidFill>
          </w14:textFill>
        </w:rPr>
        <w:t>=12.6+34.73</w:t>
      </w:r>
      <w:bookmarkStart w:id="444" w:name="hmcheck_5ae3b3e948224f97a5056b430b5faf39"/>
      <w:r>
        <w:rPr>
          <w:color w:val="000000" w:themeColor="text1"/>
          <w:shd w:val="clear" w:fill="FFAFAA"/>
          <w14:textFill>
            <w14:solidFill>
              <w14:schemeClr w14:val="tx1"/>
            </w14:solidFill>
          </w14:textFill>
        </w:rPr>
        <w:t>lgV</w:t>
      </w:r>
      <w:r>
        <w:rPr>
          <w:color w:val="000000" w:themeColor="text1"/>
          <w:shd w:val="clear" w:fill="FFAFAA"/>
          <w:vertAlign w:val="subscript"/>
          <w14:textFill>
            <w14:solidFill>
              <w14:schemeClr w14:val="tx1"/>
            </w14:solidFill>
          </w14:textFill>
        </w:rPr>
        <w:t>S</w:t>
      </w:r>
      <w:bookmarkEnd w:id="444"/>
      <w:r>
        <w:rPr>
          <w:color w:val="000000" w:themeColor="text1"/>
          <w14:textFill>
            <w14:solidFill>
              <w14:schemeClr w14:val="tx1"/>
            </w14:solidFill>
          </w14:textFill>
        </w:rPr>
        <w:t>+</w:t>
      </w:r>
      <w:r>
        <w:rPr>
          <w:rFonts w:hAnsi="宋体"/>
          <w:color w:val="000000" w:themeColor="text1"/>
          <w14:textFill>
            <w14:solidFill>
              <w14:schemeClr w14:val="tx1"/>
            </w14:solidFill>
          </w14:textFill>
        </w:rPr>
        <w:t>△</w:t>
      </w:r>
      <w:r>
        <w:rPr>
          <w:color w:val="000000" w:themeColor="text1"/>
          <w14:textFill>
            <w14:solidFill>
              <w14:schemeClr w14:val="tx1"/>
            </w14:solidFill>
          </w14:textFill>
        </w:rPr>
        <w:t>L</w:t>
      </w:r>
      <w:r>
        <w:rPr>
          <w:rFonts w:hAnsi="宋体"/>
          <w:color w:val="000000" w:themeColor="text1"/>
          <w:vertAlign w:val="subscript"/>
          <w14:textFill>
            <w14:solidFill>
              <w14:schemeClr w14:val="tx1"/>
            </w14:solidFill>
          </w14:textFill>
        </w:rPr>
        <w:t>路面</w:t>
      </w:r>
    </w:p>
    <w:p w14:paraId="53A69687">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中型车Lo</w:t>
      </w:r>
      <w:r>
        <w:rPr>
          <w:color w:val="000000" w:themeColor="text1"/>
          <w:vertAlign w:val="subscript"/>
          <w14:textFill>
            <w14:solidFill>
              <w14:schemeClr w14:val="tx1"/>
            </w14:solidFill>
          </w14:textFill>
        </w:rPr>
        <w:t>M</w:t>
      </w:r>
      <w:r>
        <w:rPr>
          <w:color w:val="000000" w:themeColor="text1"/>
          <w14:textFill>
            <w14:solidFill>
              <w14:schemeClr w14:val="tx1"/>
            </w14:solidFill>
          </w14:textFill>
        </w:rPr>
        <w:t>=8.8+40.48</w:t>
      </w:r>
      <w:bookmarkStart w:id="445" w:name="hmcheck_8b2c681088304d63ae757e14dda3a287"/>
      <w:r>
        <w:rPr>
          <w:color w:val="000000" w:themeColor="text1"/>
          <w:shd w:val="clear" w:fill="FFAFAA"/>
          <w14:textFill>
            <w14:solidFill>
              <w14:schemeClr w14:val="tx1"/>
            </w14:solidFill>
          </w14:textFill>
        </w:rPr>
        <w:t>lgV</w:t>
      </w:r>
      <w:r>
        <w:rPr>
          <w:color w:val="000000" w:themeColor="text1"/>
          <w:shd w:val="clear" w:fill="FFAFAA"/>
          <w:vertAlign w:val="subscript"/>
          <w14:textFill>
            <w14:solidFill>
              <w14:schemeClr w14:val="tx1"/>
            </w14:solidFill>
          </w14:textFill>
        </w:rPr>
        <w:t>M</w:t>
      </w:r>
      <w:bookmarkEnd w:id="445"/>
      <w:r>
        <w:rPr>
          <w:color w:val="000000" w:themeColor="text1"/>
          <w14:textFill>
            <w14:solidFill>
              <w14:schemeClr w14:val="tx1"/>
            </w14:solidFill>
          </w14:textFill>
        </w:rPr>
        <w:t>+</w:t>
      </w:r>
      <w:r>
        <w:rPr>
          <w:rFonts w:hAnsi="宋体"/>
          <w:color w:val="000000" w:themeColor="text1"/>
          <w14:textFill>
            <w14:solidFill>
              <w14:schemeClr w14:val="tx1"/>
            </w14:solidFill>
          </w14:textFill>
        </w:rPr>
        <w:t>△</w:t>
      </w:r>
      <w:r>
        <w:rPr>
          <w:color w:val="000000" w:themeColor="text1"/>
          <w14:textFill>
            <w14:solidFill>
              <w14:schemeClr w14:val="tx1"/>
            </w14:solidFill>
          </w14:textFill>
        </w:rPr>
        <w:t>L</w:t>
      </w:r>
      <w:r>
        <w:rPr>
          <w:rFonts w:hAnsi="宋体"/>
          <w:color w:val="000000" w:themeColor="text1"/>
          <w:vertAlign w:val="subscript"/>
          <w14:textFill>
            <w14:solidFill>
              <w14:schemeClr w14:val="tx1"/>
            </w14:solidFill>
          </w14:textFill>
        </w:rPr>
        <w:t>纵坡</w:t>
      </w:r>
    </w:p>
    <w:p w14:paraId="6998584E">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大型车Lo</w:t>
      </w:r>
      <w:r>
        <w:rPr>
          <w:color w:val="000000" w:themeColor="text1"/>
          <w:vertAlign w:val="subscript"/>
          <w14:textFill>
            <w14:solidFill>
              <w14:schemeClr w14:val="tx1"/>
            </w14:solidFill>
          </w14:textFill>
        </w:rPr>
        <w:t>L</w:t>
      </w:r>
      <w:r>
        <w:rPr>
          <w:color w:val="000000" w:themeColor="text1"/>
          <w14:textFill>
            <w14:solidFill>
              <w14:schemeClr w14:val="tx1"/>
            </w14:solidFill>
          </w14:textFill>
        </w:rPr>
        <w:t>=22.0+36.32</w:t>
      </w:r>
      <w:bookmarkStart w:id="446" w:name="hmcheck_c330c993a9c0448590e3611edfe157b8"/>
      <w:r>
        <w:rPr>
          <w:color w:val="000000" w:themeColor="text1"/>
          <w:shd w:val="clear" w:fill="FFAFAA"/>
          <w14:textFill>
            <w14:solidFill>
              <w14:schemeClr w14:val="tx1"/>
            </w14:solidFill>
          </w14:textFill>
        </w:rPr>
        <w:t>lgV</w:t>
      </w:r>
      <w:r>
        <w:rPr>
          <w:color w:val="000000" w:themeColor="text1"/>
          <w:shd w:val="clear" w:fill="FFAFAA"/>
          <w:vertAlign w:val="subscript"/>
          <w14:textFill>
            <w14:solidFill>
              <w14:schemeClr w14:val="tx1"/>
            </w14:solidFill>
          </w14:textFill>
        </w:rPr>
        <w:t>L</w:t>
      </w:r>
      <w:bookmarkEnd w:id="446"/>
      <w:r>
        <w:rPr>
          <w:color w:val="000000" w:themeColor="text1"/>
          <w14:textFill>
            <w14:solidFill>
              <w14:schemeClr w14:val="tx1"/>
            </w14:solidFill>
          </w14:textFill>
        </w:rPr>
        <w:t>+</w:t>
      </w:r>
      <w:r>
        <w:rPr>
          <w:rFonts w:hAnsi="宋体"/>
          <w:color w:val="000000" w:themeColor="text1"/>
          <w14:textFill>
            <w14:solidFill>
              <w14:schemeClr w14:val="tx1"/>
            </w14:solidFill>
          </w14:textFill>
        </w:rPr>
        <w:t>△</w:t>
      </w:r>
      <w:r>
        <w:rPr>
          <w:color w:val="000000" w:themeColor="text1"/>
          <w14:textFill>
            <w14:solidFill>
              <w14:schemeClr w14:val="tx1"/>
            </w14:solidFill>
          </w14:textFill>
        </w:rPr>
        <w:t>L</w:t>
      </w:r>
      <w:r>
        <w:rPr>
          <w:rFonts w:hAnsi="宋体"/>
          <w:color w:val="000000" w:themeColor="text1"/>
          <w:vertAlign w:val="subscript"/>
          <w14:textFill>
            <w14:solidFill>
              <w14:schemeClr w14:val="tx1"/>
            </w14:solidFill>
          </w14:textFill>
        </w:rPr>
        <w:t>纵坡</w:t>
      </w:r>
    </w:p>
    <w:p w14:paraId="03CA0434">
      <w:pPr>
        <w:ind w:firstLine="480"/>
        <w:rPr>
          <w:color w:val="000000" w:themeColor="text1"/>
          <w14:textFill>
            <w14:solidFill>
              <w14:schemeClr w14:val="tx1"/>
            </w14:solidFill>
          </w14:textFill>
        </w:rPr>
      </w:pPr>
      <w:r>
        <w:rPr>
          <w:color w:val="000000" w:themeColor="text1"/>
          <w14:textFill>
            <w14:solidFill>
              <w14:schemeClr w14:val="tx1"/>
            </w14:solidFill>
          </w14:textFill>
        </w:rPr>
        <w:t>式中V</w:t>
      </w:r>
      <w:r>
        <w:rPr>
          <w:color w:val="000000" w:themeColor="text1"/>
          <w:vertAlign w:val="subscript"/>
          <w14:textFill>
            <w14:solidFill>
              <w14:schemeClr w14:val="tx1"/>
            </w14:solidFill>
          </w14:textFill>
        </w:rPr>
        <w:t>S</w:t>
      </w:r>
      <w:r>
        <w:rPr>
          <w:color w:val="000000" w:themeColor="text1"/>
          <w14:textFill>
            <w14:solidFill>
              <w14:schemeClr w14:val="tx1"/>
            </w14:solidFill>
          </w14:textFill>
        </w:rPr>
        <w:t>、V</w:t>
      </w:r>
      <w:r>
        <w:rPr>
          <w:color w:val="000000" w:themeColor="text1"/>
          <w:vertAlign w:val="subscript"/>
          <w14:textFill>
            <w14:solidFill>
              <w14:schemeClr w14:val="tx1"/>
            </w14:solidFill>
          </w14:textFill>
        </w:rPr>
        <w:t>M</w:t>
      </w:r>
      <w:r>
        <w:rPr>
          <w:color w:val="000000" w:themeColor="text1"/>
          <w14:textFill>
            <w14:solidFill>
              <w14:schemeClr w14:val="tx1"/>
            </w14:solidFill>
          </w14:textFill>
        </w:rPr>
        <w:t>、V</w:t>
      </w:r>
      <w:r>
        <w:rPr>
          <w:color w:val="000000" w:themeColor="text1"/>
          <w:vertAlign w:val="subscript"/>
          <w14:textFill>
            <w14:solidFill>
              <w14:schemeClr w14:val="tx1"/>
            </w14:solidFill>
          </w14:textFill>
        </w:rPr>
        <w:t>L</w:t>
      </w:r>
      <w:r>
        <w:rPr>
          <w:color w:val="000000" w:themeColor="text1"/>
          <w14:textFill>
            <w14:solidFill>
              <w14:schemeClr w14:val="tx1"/>
            </w14:solidFill>
          </w14:textFill>
        </w:rPr>
        <w:t>分别为小、中、大型车的平均行驶速度，km/h。</w:t>
      </w:r>
    </w:p>
    <w:p w14:paraId="4774A56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③噪声</w:t>
      </w:r>
      <w:r>
        <w:rPr>
          <w:color w:val="000000" w:themeColor="text1"/>
          <w14:textFill>
            <w14:solidFill>
              <w14:schemeClr w14:val="tx1"/>
            </w14:solidFill>
          </w14:textFill>
        </w:rPr>
        <w:t>源强</w:t>
      </w:r>
    </w:p>
    <w:p w14:paraId="5E46FCFF">
      <w:pPr>
        <w:ind w:firstLine="48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根据车流量计算得到距离等效行车线7.5m处的各车型等效连续A声级，作为交通</w:t>
      </w:r>
      <w:bookmarkStart w:id="447" w:name="hmcheck_1b8953d820934e188a6a6a6a035c2d18"/>
      <w:r>
        <w:rPr>
          <w:rFonts w:hint="eastAsia"/>
          <w:color w:val="000000" w:themeColor="text1"/>
          <w:szCs w:val="24"/>
          <w:shd w:val="clear" w:fill="FFAFAA"/>
          <w14:textFill>
            <w14:solidFill>
              <w14:schemeClr w14:val="tx1"/>
            </w14:solidFill>
          </w14:textFill>
        </w:rPr>
        <w:t>噪声源强</w:t>
      </w:r>
      <w:bookmarkEnd w:id="447"/>
      <w:r>
        <w:rPr>
          <w:rFonts w:hint="eastAsia"/>
          <w:color w:val="000000" w:themeColor="text1"/>
          <w:szCs w:val="24"/>
          <w14:textFill>
            <w14:solidFill>
              <w14:schemeClr w14:val="tx1"/>
            </w14:solidFill>
          </w14:textFill>
        </w:rPr>
        <w:t>。工程各预测年份各路段L</w:t>
      </w:r>
      <w:r>
        <w:rPr>
          <w:color w:val="000000" w:themeColor="text1"/>
          <w:szCs w:val="24"/>
          <w:vertAlign w:val="subscript"/>
          <w14:textFill>
            <w14:solidFill>
              <w14:schemeClr w14:val="tx1"/>
            </w14:solidFill>
          </w14:textFill>
        </w:rPr>
        <w:t>0</w:t>
      </w:r>
      <w:r>
        <w:rPr>
          <w:rFonts w:hint="eastAsia"/>
          <w:color w:val="000000" w:themeColor="text1"/>
          <w:szCs w:val="24"/>
          <w:vertAlign w:val="subscript"/>
          <w14:textFill>
            <w14:solidFill>
              <w14:schemeClr w14:val="tx1"/>
            </w14:solidFill>
          </w14:textFill>
        </w:rPr>
        <w:t>E</w:t>
      </w:r>
      <w:r>
        <w:rPr>
          <w:rFonts w:hint="eastAsia"/>
          <w:color w:val="000000" w:themeColor="text1"/>
          <w:szCs w:val="24"/>
          <w14:textFill>
            <w14:solidFill>
              <w14:schemeClr w14:val="tx1"/>
            </w14:solidFill>
          </w14:textFill>
        </w:rPr>
        <w:t>—7.5m计算值见</w:t>
      </w:r>
      <w:r>
        <w:rPr>
          <w:color w:val="000000" w:themeColor="text1"/>
          <w:szCs w:val="24"/>
          <w14:textFill>
            <w14:solidFill>
              <w14:schemeClr w14:val="tx1"/>
            </w14:solidFill>
          </w14:textFill>
        </w:rPr>
        <w:fldChar w:fldCharType="begin"/>
      </w:r>
      <w:r>
        <w:rPr>
          <w:color w:val="000000" w:themeColor="text1"/>
          <w:szCs w:val="24"/>
          <w14:textFill>
            <w14:solidFill>
              <w14:schemeClr w14:val="tx1"/>
            </w14:solidFill>
          </w14:textFill>
        </w:rPr>
        <w:instrText xml:space="preserve"> </w:instrText>
      </w:r>
      <w:r>
        <w:rPr>
          <w:rFonts w:hint="eastAsia"/>
          <w:color w:val="000000" w:themeColor="text1"/>
          <w:szCs w:val="24"/>
          <w14:textFill>
            <w14:solidFill>
              <w14:schemeClr w14:val="tx1"/>
            </w14:solidFill>
          </w14:textFill>
        </w:rPr>
        <w:instrText xml:space="preserve">REF _Ref151018893 \r \h</w:instrText>
      </w:r>
      <w:r>
        <w:rPr>
          <w:color w:val="000000" w:themeColor="text1"/>
          <w:szCs w:val="24"/>
          <w14:textFill>
            <w14:solidFill>
              <w14:schemeClr w14:val="tx1"/>
            </w14:solidFill>
          </w14:textFill>
        </w:rPr>
        <w:instrText xml:space="preserve"> </w:instrText>
      </w:r>
      <w:r>
        <w:rPr>
          <w:color w:val="000000" w:themeColor="text1"/>
          <w:szCs w:val="24"/>
          <w14:textFill>
            <w14:solidFill>
              <w14:schemeClr w14:val="tx1"/>
            </w14:solidFill>
          </w14:textFill>
        </w:rPr>
        <w:fldChar w:fldCharType="separate"/>
      </w:r>
      <w:r>
        <w:rPr>
          <w:rFonts w:hint="eastAsia"/>
          <w:color w:val="000000" w:themeColor="text1"/>
          <w:szCs w:val="24"/>
          <w14:textFill>
            <w14:solidFill>
              <w14:schemeClr w14:val="tx1"/>
            </w14:solidFill>
          </w14:textFill>
        </w:rPr>
        <w:t>表3.9-7</w:t>
      </w:r>
      <w:r>
        <w:rPr>
          <w:color w:val="000000" w:themeColor="text1"/>
          <w:szCs w:val="24"/>
          <w14:textFill>
            <w14:solidFill>
              <w14:schemeClr w14:val="tx1"/>
            </w14:solidFill>
          </w14:textFill>
        </w:rPr>
        <w:fldChar w:fldCharType="end"/>
      </w:r>
      <w:r>
        <w:rPr>
          <w:rFonts w:hint="eastAsia"/>
          <w:color w:val="000000" w:themeColor="text1"/>
          <w:szCs w:val="24"/>
          <w14:textFill>
            <w14:solidFill>
              <w14:schemeClr w14:val="tx1"/>
            </w14:solidFill>
          </w14:textFill>
        </w:rPr>
        <w:t>。</w:t>
      </w:r>
    </w:p>
    <w:p w14:paraId="079515DD">
      <w:pPr>
        <w:ind w:firstLine="480"/>
        <w:rPr>
          <w:color w:val="000000" w:themeColor="text1"/>
          <w:szCs w:val="24"/>
          <w14:textFill>
            <w14:solidFill>
              <w14:schemeClr w14:val="tx1"/>
            </w14:solidFill>
          </w14:textFill>
        </w:rPr>
      </w:pPr>
    </w:p>
    <w:p w14:paraId="20510D50">
      <w:pPr>
        <w:ind w:firstLine="480"/>
        <w:rPr>
          <w:color w:val="000000" w:themeColor="text1"/>
          <w:szCs w:val="24"/>
          <w14:textFill>
            <w14:solidFill>
              <w14:schemeClr w14:val="tx1"/>
            </w14:solidFill>
          </w14:textFill>
        </w:rPr>
      </w:pPr>
    </w:p>
    <w:p w14:paraId="0C2CAD40">
      <w:pPr>
        <w:ind w:firstLine="480"/>
        <w:rPr>
          <w:color w:val="000000" w:themeColor="text1"/>
          <w:szCs w:val="24"/>
          <w14:textFill>
            <w14:solidFill>
              <w14:schemeClr w14:val="tx1"/>
            </w14:solidFill>
          </w14:textFill>
        </w:rPr>
      </w:pPr>
    </w:p>
    <w:p w14:paraId="36CF072A">
      <w:pPr>
        <w:pStyle w:val="87"/>
        <w:spacing w:before="120"/>
        <w:rPr>
          <w:color w:val="000000" w:themeColor="text1"/>
          <w14:textFill>
            <w14:solidFill>
              <w14:schemeClr w14:val="tx1"/>
            </w14:solidFill>
          </w14:textFill>
        </w:rPr>
      </w:pPr>
      <w:bookmarkStart w:id="448" w:name="_Ref151018893"/>
      <w:r>
        <w:rPr>
          <w:rFonts w:hint="eastAsia"/>
          <w:color w:val="000000" w:themeColor="text1"/>
          <w14:textFill>
            <w14:solidFill>
              <w14:schemeClr w14:val="tx1"/>
            </w14:solidFill>
          </w14:textFill>
        </w:rPr>
        <w:t>公路噪声源强调查清单</w:t>
      </w:r>
      <w:bookmarkEnd w:id="448"/>
    </w:p>
    <w:tbl>
      <w:tblPr>
        <w:tblStyle w:val="5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6"/>
        <w:gridCol w:w="336"/>
        <w:gridCol w:w="271"/>
        <w:gridCol w:w="245"/>
        <w:gridCol w:w="258"/>
        <w:gridCol w:w="258"/>
        <w:gridCol w:w="258"/>
        <w:gridCol w:w="258"/>
        <w:gridCol w:w="246"/>
        <w:gridCol w:w="222"/>
        <w:gridCol w:w="291"/>
        <w:gridCol w:w="291"/>
        <w:gridCol w:w="291"/>
        <w:gridCol w:w="291"/>
        <w:gridCol w:w="291"/>
        <w:gridCol w:w="291"/>
        <w:gridCol w:w="291"/>
        <w:gridCol w:w="291"/>
        <w:gridCol w:w="291"/>
        <w:gridCol w:w="291"/>
        <w:gridCol w:w="291"/>
        <w:gridCol w:w="291"/>
      </w:tblGrid>
      <w:tr w14:paraId="4EA36D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0" w:type="auto"/>
            <w:vMerge w:val="restart"/>
            <w:vAlign w:val="center"/>
          </w:tcPr>
          <w:p w14:paraId="5065068D">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路</w:t>
            </w:r>
          </w:p>
          <w:p w14:paraId="6722282C">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段</w:t>
            </w:r>
          </w:p>
        </w:tc>
        <w:tc>
          <w:tcPr>
            <w:tcW w:w="0" w:type="auto"/>
            <w:vMerge w:val="restart"/>
            <w:vAlign w:val="center"/>
          </w:tcPr>
          <w:p w14:paraId="6B5DC9BA">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时期</w:t>
            </w:r>
          </w:p>
        </w:tc>
        <w:tc>
          <w:tcPr>
            <w:tcW w:w="0" w:type="auto"/>
            <w:gridSpan w:val="8"/>
            <w:vAlign w:val="center"/>
          </w:tcPr>
          <w:p w14:paraId="0B89D48A">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车流量/（辆/h）</w:t>
            </w:r>
          </w:p>
        </w:tc>
        <w:tc>
          <w:tcPr>
            <w:tcW w:w="0" w:type="auto"/>
            <w:gridSpan w:val="6"/>
            <w:shd w:val="clear" w:color="auto" w:fill="auto"/>
            <w:noWrap/>
            <w:vAlign w:val="center"/>
          </w:tcPr>
          <w:p w14:paraId="211DAA5D">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车速/(km/h)</w:t>
            </w:r>
          </w:p>
        </w:tc>
        <w:tc>
          <w:tcPr>
            <w:tcW w:w="0" w:type="auto"/>
            <w:gridSpan w:val="6"/>
            <w:vAlign w:val="center"/>
          </w:tcPr>
          <w:p w14:paraId="78D0A891">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源强/dB</w:t>
            </w:r>
          </w:p>
        </w:tc>
      </w:tr>
      <w:tr w14:paraId="5F9108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0" w:type="auto"/>
            <w:vMerge w:val="continue"/>
            <w:vAlign w:val="center"/>
          </w:tcPr>
          <w:p w14:paraId="223EE488">
            <w:pPr>
              <w:pStyle w:val="105"/>
              <w:ind w:left="-120" w:leftChars="-50" w:right="-120" w:rightChars="-50"/>
              <w:jc w:val="center"/>
              <w:rPr>
                <w:color w:val="000000" w:themeColor="text1"/>
                <w:sz w:val="18"/>
                <w:szCs w:val="18"/>
                <w14:textFill>
                  <w14:solidFill>
                    <w14:schemeClr w14:val="tx1"/>
                  </w14:solidFill>
                </w14:textFill>
              </w:rPr>
            </w:pPr>
          </w:p>
        </w:tc>
        <w:tc>
          <w:tcPr>
            <w:tcW w:w="0" w:type="auto"/>
            <w:vMerge w:val="continue"/>
            <w:vAlign w:val="center"/>
          </w:tcPr>
          <w:p w14:paraId="45E3DBE8">
            <w:pPr>
              <w:pStyle w:val="105"/>
              <w:ind w:left="-120" w:leftChars="-50" w:right="-120" w:rightChars="-50"/>
              <w:jc w:val="center"/>
              <w:rPr>
                <w:color w:val="000000" w:themeColor="text1"/>
                <w:sz w:val="18"/>
                <w:szCs w:val="18"/>
                <w14:textFill>
                  <w14:solidFill>
                    <w14:schemeClr w14:val="tx1"/>
                  </w14:solidFill>
                </w14:textFill>
              </w:rPr>
            </w:pPr>
          </w:p>
        </w:tc>
        <w:tc>
          <w:tcPr>
            <w:tcW w:w="0" w:type="auto"/>
            <w:gridSpan w:val="2"/>
            <w:shd w:val="clear" w:color="auto" w:fill="auto"/>
            <w:noWrap/>
            <w:vAlign w:val="center"/>
          </w:tcPr>
          <w:p w14:paraId="1CC8CEC7">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小型车</w:t>
            </w:r>
          </w:p>
        </w:tc>
        <w:tc>
          <w:tcPr>
            <w:tcW w:w="0" w:type="auto"/>
            <w:gridSpan w:val="2"/>
            <w:vAlign w:val="center"/>
          </w:tcPr>
          <w:p w14:paraId="6BF527A9">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中型车</w:t>
            </w:r>
          </w:p>
        </w:tc>
        <w:tc>
          <w:tcPr>
            <w:tcW w:w="0" w:type="auto"/>
            <w:gridSpan w:val="2"/>
            <w:vAlign w:val="center"/>
          </w:tcPr>
          <w:p w14:paraId="5D58AFB7">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大型车</w:t>
            </w:r>
          </w:p>
        </w:tc>
        <w:tc>
          <w:tcPr>
            <w:tcW w:w="0" w:type="auto"/>
            <w:gridSpan w:val="2"/>
            <w:shd w:val="clear" w:color="auto" w:fill="auto"/>
            <w:vAlign w:val="center"/>
          </w:tcPr>
          <w:p w14:paraId="4DF4CF91">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合计</w:t>
            </w:r>
          </w:p>
        </w:tc>
        <w:tc>
          <w:tcPr>
            <w:tcW w:w="0" w:type="auto"/>
            <w:gridSpan w:val="2"/>
            <w:shd w:val="clear" w:color="auto" w:fill="auto"/>
            <w:noWrap/>
            <w:vAlign w:val="center"/>
          </w:tcPr>
          <w:p w14:paraId="4C89AA76">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小型车</w:t>
            </w:r>
          </w:p>
        </w:tc>
        <w:tc>
          <w:tcPr>
            <w:tcW w:w="0" w:type="auto"/>
            <w:gridSpan w:val="2"/>
            <w:vAlign w:val="center"/>
          </w:tcPr>
          <w:p w14:paraId="07CED781">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中型车</w:t>
            </w:r>
          </w:p>
        </w:tc>
        <w:tc>
          <w:tcPr>
            <w:tcW w:w="0" w:type="auto"/>
            <w:gridSpan w:val="2"/>
            <w:vAlign w:val="center"/>
          </w:tcPr>
          <w:p w14:paraId="24E7A881">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大型车</w:t>
            </w:r>
          </w:p>
        </w:tc>
        <w:tc>
          <w:tcPr>
            <w:tcW w:w="0" w:type="auto"/>
            <w:gridSpan w:val="2"/>
            <w:vAlign w:val="center"/>
          </w:tcPr>
          <w:p w14:paraId="0C7C6A6B">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小型车</w:t>
            </w:r>
          </w:p>
        </w:tc>
        <w:tc>
          <w:tcPr>
            <w:tcW w:w="0" w:type="auto"/>
            <w:gridSpan w:val="2"/>
            <w:vAlign w:val="center"/>
          </w:tcPr>
          <w:p w14:paraId="16FE0F30">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中型车</w:t>
            </w:r>
          </w:p>
        </w:tc>
        <w:tc>
          <w:tcPr>
            <w:tcW w:w="0" w:type="auto"/>
            <w:gridSpan w:val="2"/>
            <w:vAlign w:val="center"/>
          </w:tcPr>
          <w:p w14:paraId="6EF50ACB">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大型车</w:t>
            </w:r>
          </w:p>
        </w:tc>
      </w:tr>
      <w:tr w14:paraId="04CB7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0" w:type="auto"/>
            <w:vMerge w:val="continue"/>
            <w:vAlign w:val="center"/>
          </w:tcPr>
          <w:p w14:paraId="082636E7">
            <w:pPr>
              <w:pStyle w:val="105"/>
              <w:ind w:left="-120" w:leftChars="-50" w:right="-120" w:rightChars="-50"/>
              <w:jc w:val="center"/>
              <w:rPr>
                <w:color w:val="000000" w:themeColor="text1"/>
                <w:sz w:val="18"/>
                <w:szCs w:val="18"/>
                <w14:textFill>
                  <w14:solidFill>
                    <w14:schemeClr w14:val="tx1"/>
                  </w14:solidFill>
                </w14:textFill>
              </w:rPr>
            </w:pPr>
          </w:p>
        </w:tc>
        <w:tc>
          <w:tcPr>
            <w:tcW w:w="0" w:type="auto"/>
            <w:vMerge w:val="continue"/>
            <w:vAlign w:val="center"/>
          </w:tcPr>
          <w:p w14:paraId="37F2A33B">
            <w:pPr>
              <w:pStyle w:val="105"/>
              <w:ind w:left="-120" w:leftChars="-50" w:right="-120" w:rightChars="-50"/>
              <w:jc w:val="center"/>
              <w:rPr>
                <w:color w:val="000000" w:themeColor="text1"/>
                <w:sz w:val="18"/>
                <w:szCs w:val="18"/>
                <w14:textFill>
                  <w14:solidFill>
                    <w14:schemeClr w14:val="tx1"/>
                  </w14:solidFill>
                </w14:textFill>
              </w:rPr>
            </w:pPr>
          </w:p>
        </w:tc>
        <w:tc>
          <w:tcPr>
            <w:tcW w:w="0" w:type="auto"/>
            <w:shd w:val="clear" w:color="auto" w:fill="auto"/>
            <w:noWrap/>
            <w:vAlign w:val="center"/>
          </w:tcPr>
          <w:p w14:paraId="3277777B">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61925511">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shd w:val="clear" w:color="auto" w:fill="auto"/>
            <w:noWrap/>
            <w:vAlign w:val="center"/>
          </w:tcPr>
          <w:p w14:paraId="1F38B419">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5BB9327A">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3DED981A">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389ABCFD">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536E245B">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4C732EE4">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6D5945C8">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2952A73B">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5197417C">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5CC46928">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shd w:val="clear" w:color="auto" w:fill="auto"/>
            <w:noWrap/>
            <w:vAlign w:val="center"/>
          </w:tcPr>
          <w:p w14:paraId="23ECD3FF">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5776050C">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shd w:val="clear" w:color="auto" w:fill="auto"/>
            <w:noWrap/>
            <w:vAlign w:val="center"/>
          </w:tcPr>
          <w:p w14:paraId="0E492003">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5C2A299E">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shd w:val="clear" w:color="auto" w:fill="auto"/>
            <w:noWrap/>
            <w:vAlign w:val="center"/>
          </w:tcPr>
          <w:p w14:paraId="00964BE3">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21919CA8">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shd w:val="clear" w:color="auto" w:fill="auto"/>
            <w:noWrap/>
            <w:vAlign w:val="center"/>
          </w:tcPr>
          <w:p w14:paraId="16F931C3">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1300E08E">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514D11FC">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6BC9EBA0">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60309156">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29268F12">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5485094E">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52E4074A">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704AB061">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65487A4C">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381F5537">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51AC78ED">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36D4746A">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165E6E42">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64874FD8">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541C7125">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4CF2D28F">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1046D89D">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2FB3DC26">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p w14:paraId="3F29140F">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c>
          <w:tcPr>
            <w:tcW w:w="0" w:type="auto"/>
            <w:vAlign w:val="center"/>
          </w:tcPr>
          <w:p w14:paraId="5EE128E6">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p w14:paraId="1407768A">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间</w:t>
            </w:r>
          </w:p>
        </w:tc>
      </w:tr>
      <w:tr w14:paraId="7A91F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0" w:type="auto"/>
            <w:vMerge w:val="restart"/>
            <w:vAlign w:val="center"/>
          </w:tcPr>
          <w:p w14:paraId="7B66F955">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全线</w:t>
            </w:r>
          </w:p>
        </w:tc>
        <w:tc>
          <w:tcPr>
            <w:tcW w:w="0" w:type="auto"/>
            <w:vAlign w:val="center"/>
          </w:tcPr>
          <w:p w14:paraId="73C4763C">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近期</w:t>
            </w:r>
          </w:p>
        </w:tc>
        <w:tc>
          <w:tcPr>
            <w:tcW w:w="0" w:type="auto"/>
            <w:shd w:val="clear" w:color="auto" w:fill="auto"/>
            <w:noWrap/>
            <w:vAlign w:val="center"/>
          </w:tcPr>
          <w:p w14:paraId="65754176">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244</w:t>
            </w:r>
          </w:p>
        </w:tc>
        <w:tc>
          <w:tcPr>
            <w:tcW w:w="0" w:type="auto"/>
            <w:shd w:val="clear" w:color="auto" w:fill="auto"/>
            <w:noWrap/>
            <w:vAlign w:val="center"/>
          </w:tcPr>
          <w:p w14:paraId="67C6A62F">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54</w:t>
            </w:r>
          </w:p>
        </w:tc>
        <w:tc>
          <w:tcPr>
            <w:tcW w:w="0" w:type="auto"/>
            <w:vAlign w:val="center"/>
          </w:tcPr>
          <w:p w14:paraId="21BEF1A8">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22</w:t>
            </w:r>
          </w:p>
        </w:tc>
        <w:tc>
          <w:tcPr>
            <w:tcW w:w="0" w:type="auto"/>
            <w:vAlign w:val="center"/>
          </w:tcPr>
          <w:p w14:paraId="55A869F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p>
        </w:tc>
        <w:tc>
          <w:tcPr>
            <w:tcW w:w="0" w:type="auto"/>
            <w:vAlign w:val="center"/>
          </w:tcPr>
          <w:p w14:paraId="411BD71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21</w:t>
            </w:r>
          </w:p>
        </w:tc>
        <w:tc>
          <w:tcPr>
            <w:tcW w:w="0" w:type="auto"/>
            <w:vAlign w:val="center"/>
          </w:tcPr>
          <w:p w14:paraId="1D83DE8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p>
        </w:tc>
        <w:tc>
          <w:tcPr>
            <w:tcW w:w="0" w:type="auto"/>
            <w:shd w:val="clear" w:color="auto" w:fill="auto"/>
            <w:noWrap/>
            <w:vAlign w:val="center"/>
          </w:tcPr>
          <w:p w14:paraId="31F1668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287</w:t>
            </w:r>
          </w:p>
        </w:tc>
        <w:tc>
          <w:tcPr>
            <w:tcW w:w="0" w:type="auto"/>
            <w:shd w:val="clear" w:color="auto" w:fill="auto"/>
            <w:noWrap/>
            <w:vAlign w:val="center"/>
          </w:tcPr>
          <w:p w14:paraId="4F2CDD5A">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64</w:t>
            </w:r>
          </w:p>
        </w:tc>
        <w:tc>
          <w:tcPr>
            <w:tcW w:w="0" w:type="auto"/>
            <w:shd w:val="clear" w:color="auto" w:fill="auto"/>
            <w:noWrap/>
            <w:vAlign w:val="center"/>
          </w:tcPr>
          <w:p w14:paraId="7CDA0897">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50.6</w:t>
            </w:r>
          </w:p>
        </w:tc>
        <w:tc>
          <w:tcPr>
            <w:tcW w:w="0" w:type="auto"/>
            <w:shd w:val="clear" w:color="auto" w:fill="auto"/>
            <w:noWrap/>
            <w:vAlign w:val="center"/>
          </w:tcPr>
          <w:p w14:paraId="0AC6F2A7">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50.9</w:t>
            </w:r>
          </w:p>
        </w:tc>
        <w:tc>
          <w:tcPr>
            <w:tcW w:w="0" w:type="auto"/>
            <w:vAlign w:val="center"/>
          </w:tcPr>
          <w:p w14:paraId="2E72E774">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34.5</w:t>
            </w:r>
          </w:p>
        </w:tc>
        <w:tc>
          <w:tcPr>
            <w:tcW w:w="0" w:type="auto"/>
            <w:vAlign w:val="center"/>
          </w:tcPr>
          <w:p w14:paraId="586746D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34.4</w:t>
            </w:r>
          </w:p>
        </w:tc>
        <w:tc>
          <w:tcPr>
            <w:tcW w:w="0" w:type="auto"/>
            <w:vAlign w:val="center"/>
          </w:tcPr>
          <w:p w14:paraId="7960990B">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34.9</w:t>
            </w:r>
          </w:p>
        </w:tc>
        <w:tc>
          <w:tcPr>
            <w:tcW w:w="0" w:type="auto"/>
            <w:vAlign w:val="center"/>
          </w:tcPr>
          <w:p w14:paraId="0BA137BD">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34.8</w:t>
            </w:r>
          </w:p>
        </w:tc>
        <w:tc>
          <w:tcPr>
            <w:tcW w:w="0" w:type="auto"/>
            <w:vAlign w:val="center"/>
          </w:tcPr>
          <w:p w14:paraId="2F481777">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71.8</w:t>
            </w:r>
          </w:p>
        </w:tc>
        <w:tc>
          <w:tcPr>
            <w:tcW w:w="0" w:type="auto"/>
            <w:vAlign w:val="center"/>
          </w:tcPr>
          <w:p w14:paraId="58FB3330">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71.9</w:t>
            </w:r>
          </w:p>
        </w:tc>
        <w:tc>
          <w:tcPr>
            <w:tcW w:w="0" w:type="auto"/>
            <w:vAlign w:val="center"/>
          </w:tcPr>
          <w:p w14:paraId="16813335">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71.0</w:t>
            </w:r>
          </w:p>
        </w:tc>
        <w:tc>
          <w:tcPr>
            <w:tcW w:w="0" w:type="auto"/>
            <w:vAlign w:val="center"/>
          </w:tcPr>
          <w:p w14:paraId="38882A13">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71.0</w:t>
            </w:r>
          </w:p>
        </w:tc>
        <w:tc>
          <w:tcPr>
            <w:tcW w:w="0" w:type="auto"/>
            <w:vAlign w:val="center"/>
          </w:tcPr>
          <w:p w14:paraId="5FC374ED">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78.0</w:t>
            </w:r>
          </w:p>
        </w:tc>
        <w:tc>
          <w:tcPr>
            <w:tcW w:w="0" w:type="auto"/>
            <w:vAlign w:val="center"/>
          </w:tcPr>
          <w:p w14:paraId="325339B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78.0</w:t>
            </w:r>
          </w:p>
        </w:tc>
      </w:tr>
      <w:tr w14:paraId="5D571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0" w:type="auto"/>
            <w:vMerge w:val="continue"/>
            <w:vAlign w:val="center"/>
          </w:tcPr>
          <w:p w14:paraId="0BA74DC1">
            <w:pPr>
              <w:pStyle w:val="105"/>
              <w:ind w:left="-120" w:leftChars="-50" w:right="-120" w:rightChars="-50"/>
              <w:jc w:val="center"/>
              <w:rPr>
                <w:color w:val="000000" w:themeColor="text1"/>
                <w:sz w:val="18"/>
                <w:szCs w:val="18"/>
                <w14:textFill>
                  <w14:solidFill>
                    <w14:schemeClr w14:val="tx1"/>
                  </w14:solidFill>
                </w14:textFill>
              </w:rPr>
            </w:pPr>
          </w:p>
        </w:tc>
        <w:tc>
          <w:tcPr>
            <w:tcW w:w="0" w:type="auto"/>
            <w:vAlign w:val="center"/>
          </w:tcPr>
          <w:p w14:paraId="4EA14D52">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中期</w:t>
            </w:r>
          </w:p>
        </w:tc>
        <w:tc>
          <w:tcPr>
            <w:tcW w:w="0" w:type="auto"/>
            <w:shd w:val="clear" w:color="auto" w:fill="auto"/>
            <w:noWrap/>
            <w:vAlign w:val="center"/>
          </w:tcPr>
          <w:p w14:paraId="2795151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290</w:t>
            </w:r>
          </w:p>
        </w:tc>
        <w:tc>
          <w:tcPr>
            <w:tcW w:w="0" w:type="auto"/>
            <w:shd w:val="clear" w:color="auto" w:fill="auto"/>
            <w:noWrap/>
            <w:vAlign w:val="center"/>
          </w:tcPr>
          <w:p w14:paraId="4121A57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64</w:t>
            </w:r>
          </w:p>
        </w:tc>
        <w:tc>
          <w:tcPr>
            <w:tcW w:w="0" w:type="auto"/>
            <w:vAlign w:val="center"/>
          </w:tcPr>
          <w:p w14:paraId="5F2749F5">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23</w:t>
            </w:r>
          </w:p>
        </w:tc>
        <w:tc>
          <w:tcPr>
            <w:tcW w:w="0" w:type="auto"/>
            <w:vAlign w:val="center"/>
          </w:tcPr>
          <w:p w14:paraId="043CC2E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p>
        </w:tc>
        <w:tc>
          <w:tcPr>
            <w:tcW w:w="0" w:type="auto"/>
            <w:vAlign w:val="center"/>
          </w:tcPr>
          <w:p w14:paraId="4D18C98A">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22</w:t>
            </w:r>
          </w:p>
        </w:tc>
        <w:tc>
          <w:tcPr>
            <w:tcW w:w="0" w:type="auto"/>
            <w:vAlign w:val="center"/>
          </w:tcPr>
          <w:p w14:paraId="5DC34F1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p>
        </w:tc>
        <w:tc>
          <w:tcPr>
            <w:tcW w:w="0" w:type="auto"/>
            <w:shd w:val="clear" w:color="auto" w:fill="auto"/>
            <w:noWrap/>
            <w:vAlign w:val="center"/>
          </w:tcPr>
          <w:p w14:paraId="1DE9F77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335</w:t>
            </w:r>
          </w:p>
        </w:tc>
        <w:tc>
          <w:tcPr>
            <w:tcW w:w="0" w:type="auto"/>
            <w:shd w:val="clear" w:color="auto" w:fill="auto"/>
            <w:noWrap/>
            <w:vAlign w:val="center"/>
          </w:tcPr>
          <w:p w14:paraId="1313089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74</w:t>
            </w:r>
          </w:p>
        </w:tc>
        <w:tc>
          <w:tcPr>
            <w:tcW w:w="0" w:type="auto"/>
            <w:shd w:val="clear" w:color="auto" w:fill="auto"/>
            <w:noWrap/>
            <w:vAlign w:val="center"/>
          </w:tcPr>
          <w:p w14:paraId="5FC6FBF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50.6</w:t>
            </w:r>
          </w:p>
        </w:tc>
        <w:tc>
          <w:tcPr>
            <w:tcW w:w="0" w:type="auto"/>
            <w:shd w:val="clear" w:color="auto" w:fill="auto"/>
            <w:noWrap/>
            <w:vAlign w:val="center"/>
          </w:tcPr>
          <w:p w14:paraId="0C9CD04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50.9</w:t>
            </w:r>
          </w:p>
        </w:tc>
        <w:tc>
          <w:tcPr>
            <w:tcW w:w="0" w:type="auto"/>
            <w:vAlign w:val="center"/>
          </w:tcPr>
          <w:p w14:paraId="39E925F4">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34.5</w:t>
            </w:r>
          </w:p>
        </w:tc>
        <w:tc>
          <w:tcPr>
            <w:tcW w:w="0" w:type="auto"/>
            <w:vAlign w:val="center"/>
          </w:tcPr>
          <w:p w14:paraId="394827A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34.4</w:t>
            </w:r>
          </w:p>
        </w:tc>
        <w:tc>
          <w:tcPr>
            <w:tcW w:w="0" w:type="auto"/>
            <w:vAlign w:val="center"/>
          </w:tcPr>
          <w:p w14:paraId="1365986B">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34.9</w:t>
            </w:r>
          </w:p>
        </w:tc>
        <w:tc>
          <w:tcPr>
            <w:tcW w:w="0" w:type="auto"/>
            <w:vAlign w:val="center"/>
          </w:tcPr>
          <w:p w14:paraId="4DE7E67A">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34.8</w:t>
            </w:r>
          </w:p>
        </w:tc>
        <w:tc>
          <w:tcPr>
            <w:tcW w:w="0" w:type="auto"/>
            <w:vAlign w:val="center"/>
          </w:tcPr>
          <w:p w14:paraId="01A80260">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71.8</w:t>
            </w:r>
          </w:p>
        </w:tc>
        <w:tc>
          <w:tcPr>
            <w:tcW w:w="0" w:type="auto"/>
            <w:vAlign w:val="center"/>
          </w:tcPr>
          <w:p w14:paraId="04D3E87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71.9</w:t>
            </w:r>
          </w:p>
        </w:tc>
        <w:tc>
          <w:tcPr>
            <w:tcW w:w="0" w:type="auto"/>
            <w:vAlign w:val="center"/>
          </w:tcPr>
          <w:p w14:paraId="709078E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71.0</w:t>
            </w:r>
          </w:p>
        </w:tc>
        <w:tc>
          <w:tcPr>
            <w:tcW w:w="0" w:type="auto"/>
            <w:vAlign w:val="center"/>
          </w:tcPr>
          <w:p w14:paraId="080974D7">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71.0</w:t>
            </w:r>
          </w:p>
        </w:tc>
        <w:tc>
          <w:tcPr>
            <w:tcW w:w="0" w:type="auto"/>
            <w:vAlign w:val="center"/>
          </w:tcPr>
          <w:p w14:paraId="0FA0FE07">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78.0</w:t>
            </w:r>
          </w:p>
        </w:tc>
        <w:tc>
          <w:tcPr>
            <w:tcW w:w="0" w:type="auto"/>
            <w:vAlign w:val="center"/>
          </w:tcPr>
          <w:p w14:paraId="4AF63FA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78.0</w:t>
            </w:r>
          </w:p>
        </w:tc>
      </w:tr>
      <w:tr w14:paraId="428CA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0" w:type="auto"/>
            <w:vMerge w:val="continue"/>
            <w:vAlign w:val="center"/>
          </w:tcPr>
          <w:p w14:paraId="29D1C50D">
            <w:pPr>
              <w:pStyle w:val="105"/>
              <w:ind w:left="-120" w:leftChars="-50" w:right="-120" w:rightChars="-50"/>
              <w:jc w:val="center"/>
              <w:rPr>
                <w:color w:val="000000" w:themeColor="text1"/>
                <w:sz w:val="18"/>
                <w:szCs w:val="18"/>
                <w14:textFill>
                  <w14:solidFill>
                    <w14:schemeClr w14:val="tx1"/>
                  </w14:solidFill>
                </w14:textFill>
              </w:rPr>
            </w:pPr>
          </w:p>
        </w:tc>
        <w:tc>
          <w:tcPr>
            <w:tcW w:w="0" w:type="auto"/>
            <w:vAlign w:val="center"/>
          </w:tcPr>
          <w:p w14:paraId="76AF874B">
            <w:pPr>
              <w:pStyle w:val="105"/>
              <w:ind w:left="-120" w:leftChars="-50" w:right="-120" w:rightChars="-5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远期</w:t>
            </w:r>
          </w:p>
        </w:tc>
        <w:tc>
          <w:tcPr>
            <w:tcW w:w="0" w:type="auto"/>
            <w:shd w:val="clear" w:color="auto" w:fill="auto"/>
            <w:noWrap/>
            <w:vAlign w:val="center"/>
          </w:tcPr>
          <w:p w14:paraId="6B3B471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344</w:t>
            </w:r>
          </w:p>
        </w:tc>
        <w:tc>
          <w:tcPr>
            <w:tcW w:w="0" w:type="auto"/>
            <w:shd w:val="clear" w:color="auto" w:fill="auto"/>
            <w:noWrap/>
            <w:vAlign w:val="center"/>
          </w:tcPr>
          <w:p w14:paraId="198F29B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76</w:t>
            </w:r>
          </w:p>
        </w:tc>
        <w:tc>
          <w:tcPr>
            <w:tcW w:w="0" w:type="auto"/>
            <w:vAlign w:val="center"/>
          </w:tcPr>
          <w:p w14:paraId="3160391A">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20</w:t>
            </w:r>
          </w:p>
        </w:tc>
        <w:tc>
          <w:tcPr>
            <w:tcW w:w="0" w:type="auto"/>
            <w:vAlign w:val="center"/>
          </w:tcPr>
          <w:p w14:paraId="1AC82124">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p>
        </w:tc>
        <w:tc>
          <w:tcPr>
            <w:tcW w:w="0" w:type="auto"/>
            <w:vAlign w:val="center"/>
          </w:tcPr>
          <w:p w14:paraId="4821746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22</w:t>
            </w:r>
          </w:p>
        </w:tc>
        <w:tc>
          <w:tcPr>
            <w:tcW w:w="0" w:type="auto"/>
            <w:vAlign w:val="center"/>
          </w:tcPr>
          <w:p w14:paraId="688F6A49">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w:t>
            </w:r>
          </w:p>
        </w:tc>
        <w:tc>
          <w:tcPr>
            <w:tcW w:w="0" w:type="auto"/>
            <w:shd w:val="clear" w:color="auto" w:fill="auto"/>
            <w:noWrap/>
            <w:vAlign w:val="center"/>
          </w:tcPr>
          <w:p w14:paraId="3B6C22BB">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386</w:t>
            </w:r>
          </w:p>
        </w:tc>
        <w:tc>
          <w:tcPr>
            <w:tcW w:w="0" w:type="auto"/>
            <w:shd w:val="clear" w:color="auto" w:fill="auto"/>
            <w:noWrap/>
            <w:vAlign w:val="center"/>
          </w:tcPr>
          <w:p w14:paraId="36FABCFD">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86</w:t>
            </w:r>
          </w:p>
        </w:tc>
        <w:tc>
          <w:tcPr>
            <w:tcW w:w="0" w:type="auto"/>
            <w:shd w:val="clear" w:color="auto" w:fill="auto"/>
            <w:noWrap/>
            <w:vAlign w:val="center"/>
          </w:tcPr>
          <w:p w14:paraId="321EA9D4">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50.4</w:t>
            </w:r>
          </w:p>
        </w:tc>
        <w:tc>
          <w:tcPr>
            <w:tcW w:w="0" w:type="auto"/>
            <w:shd w:val="clear" w:color="auto" w:fill="auto"/>
            <w:noWrap/>
            <w:vAlign w:val="center"/>
          </w:tcPr>
          <w:p w14:paraId="198BD547">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50.9</w:t>
            </w:r>
          </w:p>
        </w:tc>
        <w:tc>
          <w:tcPr>
            <w:tcW w:w="0" w:type="auto"/>
            <w:vAlign w:val="center"/>
          </w:tcPr>
          <w:p w14:paraId="0597DBB2">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34.5</w:t>
            </w:r>
          </w:p>
        </w:tc>
        <w:tc>
          <w:tcPr>
            <w:tcW w:w="0" w:type="auto"/>
            <w:vAlign w:val="center"/>
          </w:tcPr>
          <w:p w14:paraId="605C4C08">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34.4</w:t>
            </w:r>
          </w:p>
        </w:tc>
        <w:tc>
          <w:tcPr>
            <w:tcW w:w="0" w:type="auto"/>
            <w:vAlign w:val="center"/>
          </w:tcPr>
          <w:p w14:paraId="47403F7B">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34.9</w:t>
            </w:r>
          </w:p>
        </w:tc>
        <w:tc>
          <w:tcPr>
            <w:tcW w:w="0" w:type="auto"/>
            <w:vAlign w:val="center"/>
          </w:tcPr>
          <w:p w14:paraId="282BA5C8">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34.8</w:t>
            </w:r>
          </w:p>
        </w:tc>
        <w:tc>
          <w:tcPr>
            <w:tcW w:w="0" w:type="auto"/>
            <w:vAlign w:val="center"/>
          </w:tcPr>
          <w:p w14:paraId="6EC21358">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71.7</w:t>
            </w:r>
          </w:p>
        </w:tc>
        <w:tc>
          <w:tcPr>
            <w:tcW w:w="0" w:type="auto"/>
            <w:vAlign w:val="center"/>
          </w:tcPr>
          <w:p w14:paraId="18D5EF1E">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71.9</w:t>
            </w:r>
          </w:p>
        </w:tc>
        <w:tc>
          <w:tcPr>
            <w:tcW w:w="0" w:type="auto"/>
            <w:vAlign w:val="center"/>
          </w:tcPr>
          <w:p w14:paraId="40BAD3EC">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71.0</w:t>
            </w:r>
          </w:p>
        </w:tc>
        <w:tc>
          <w:tcPr>
            <w:tcW w:w="0" w:type="auto"/>
            <w:vAlign w:val="center"/>
          </w:tcPr>
          <w:p w14:paraId="6818FF8A">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71.0</w:t>
            </w:r>
          </w:p>
        </w:tc>
        <w:tc>
          <w:tcPr>
            <w:tcW w:w="0" w:type="auto"/>
            <w:vAlign w:val="center"/>
          </w:tcPr>
          <w:p w14:paraId="18FF8893">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78.0</w:t>
            </w:r>
          </w:p>
        </w:tc>
        <w:tc>
          <w:tcPr>
            <w:tcW w:w="0" w:type="auto"/>
            <w:vAlign w:val="center"/>
          </w:tcPr>
          <w:p w14:paraId="7B85C6B8">
            <w:pPr>
              <w:pStyle w:val="105"/>
              <w:ind w:left="-120" w:leftChars="-50" w:right="-120" w:rightChars="-5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78.0</w:t>
            </w:r>
          </w:p>
        </w:tc>
      </w:tr>
    </w:tbl>
    <w:p w14:paraId="78A950A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固废</w:t>
      </w:r>
    </w:p>
    <w:p w14:paraId="394E618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本项目运营期的固体废物主要为汽车装载货物的洒落物、汽车轮胎挟带的泥沙、过往车辆丢弃的饮料瓶及废纸盒等生活垃圾，在整个</w:t>
      </w:r>
      <w:bookmarkStart w:id="449" w:name="_Hlk150781539"/>
      <w:r>
        <w:rPr>
          <w:rFonts w:hint="eastAsia"/>
          <w:color w:val="000000" w:themeColor="text1"/>
          <w14:textFill>
            <w14:solidFill>
              <w14:schemeClr w14:val="tx1"/>
            </w14:solidFill>
          </w14:textFill>
        </w:rPr>
        <w:t>公路</w:t>
      </w:r>
      <w:bookmarkEnd w:id="449"/>
      <w:r>
        <w:rPr>
          <w:rFonts w:hint="eastAsia"/>
          <w:color w:val="000000" w:themeColor="text1"/>
          <w14:textFill>
            <w14:solidFill>
              <w14:schemeClr w14:val="tx1"/>
            </w14:solidFill>
          </w14:textFill>
        </w:rPr>
        <w:t>沿线随机分散产生，且产生量较小。这些固体废物经环卫部门负责定期清除、收集、外运，保证日产日清、路面清洁，不会对道路沿线环境造成大的影响。</w:t>
      </w:r>
    </w:p>
    <w:p w14:paraId="0DACF33D">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环境风险源</w:t>
      </w:r>
    </w:p>
    <w:p w14:paraId="4F0E8C2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运营期还可能产生一定的运输事故和环境风险，对沿线地表水环境将造成一定影响，虽然环境风险的概率相对较低，但仍必须配套设置严格的事故防范措施，制定环境风险事故应急预案。</w:t>
      </w:r>
    </w:p>
    <w:p w14:paraId="56EBF5B6">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生态影响因素分析</w:t>
      </w:r>
    </w:p>
    <w:p w14:paraId="13D88B91">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p>
    <w:p w14:paraId="30865EE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（1）工程占地对动植物的影响</w:t>
      </w:r>
    </w:p>
    <w:p w14:paraId="7E20439B">
      <w:pPr>
        <w:ind w:firstLine="466"/>
        <w:rPr>
          <w:color w:val="000000" w:themeColor="text1"/>
          <w14:textFill>
            <w14:solidFill>
              <w14:schemeClr w14:val="tx1"/>
            </w14:solidFill>
          </w14:textFill>
        </w:rPr>
      </w:pPr>
      <w:r>
        <w:rPr>
          <w:rFonts w:hint="eastAsia"/>
          <w:color w:val="000000" w:themeColor="text1"/>
          <w:spacing w:val="-7"/>
          <w14:textFill>
            <w14:solidFill>
              <w14:schemeClr w14:val="tx1"/>
            </w14:solidFill>
          </w14:textFill>
        </w:rPr>
        <w:t>本项目总征占地面积 16.</w:t>
      </w:r>
      <w:r>
        <w:rPr>
          <w:color w:val="000000" w:themeColor="text1"/>
          <w:spacing w:val="-7"/>
          <w14:textFill>
            <w14:solidFill>
              <w14:schemeClr w14:val="tx1"/>
            </w14:solidFill>
          </w14:textFill>
        </w:rPr>
        <w:t>7067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，其中永久占地 </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 ，临时占地 </w:t>
      </w:r>
      <w:r>
        <w:rPr>
          <w:color w:val="000000" w:themeColor="text1"/>
          <w:spacing w:val="-7"/>
          <w14:textFill>
            <w14:solidFill>
              <w14:schemeClr w14:val="tx1"/>
            </w14:solidFill>
          </w14:textFill>
        </w:rPr>
        <w:t>2.045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w:t>
      </w:r>
      <w:r>
        <w:rPr>
          <w:rFonts w:hint="eastAsia"/>
          <w:color w:val="000000" w:themeColor="text1"/>
          <w14:textFill>
            <w14:solidFill>
              <w14:schemeClr w14:val="tx1"/>
            </w14:solidFill>
          </w14:textFill>
        </w:rPr>
        <w:t>包括耕地、园地、林地、建设用地等等，工程建设将导致土地利用方式永久变更或造成土地利用现状临时改变，并对植被资源、动物生境和生态功能产生一定的不利影响。</w:t>
      </w:r>
    </w:p>
    <w:p w14:paraId="5E15977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）水土流失</w:t>
      </w:r>
    </w:p>
    <w:p w14:paraId="30103F2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在公路建设过程中，由于堆填地基构筑人工边坡，从而造成原地貌的破坏，同时废弃物的松散性及不整合性，降低或丧失了原地貌的水土保持功能，导致水土流失的发生和发展。</w:t>
      </w:r>
    </w:p>
    <w:p w14:paraId="7708E190">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p>
    <w:p w14:paraId="0404E9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工程建成运行后对生态环境的影响主要表现：一是因公路分隔了生态环境，从而对野生动物产生阻隔影响；二是公路建成运行产生的环境污染对沿线动植物、生态公益林等环境敏感区的影响。</w:t>
      </w:r>
    </w:p>
    <w:p w14:paraId="4D800C6A">
      <w:pPr>
        <w:pStyle w:val="116"/>
        <w:rPr>
          <w:color w:val="000000" w:themeColor="text1"/>
          <w14:textFill>
            <w14:solidFill>
              <w14:schemeClr w14:val="tx1"/>
            </w14:solidFill>
          </w14:textFill>
        </w:rPr>
      </w:pPr>
      <w:bookmarkStart w:id="450" w:name="_Toc88864657"/>
      <w:bookmarkStart w:id="451" w:name="_Toc159405467"/>
      <w:bookmarkStart w:id="452" w:name="_Toc88764851"/>
      <w:bookmarkStart w:id="453" w:name="_Toc149645939"/>
      <w:bookmarkStart w:id="454" w:name="_Toc193912374"/>
      <w:bookmarkStart w:id="455" w:name="_Toc154668033"/>
      <w:r>
        <w:rPr>
          <w:rFonts w:hint="eastAsia"/>
          <w:color w:val="000000" w:themeColor="text1"/>
          <w14:textFill>
            <w14:solidFill>
              <w14:schemeClr w14:val="tx1"/>
            </w14:solidFill>
          </w14:textFill>
        </w:rPr>
        <w:t>环境可行性分析</w:t>
      </w:r>
      <w:bookmarkEnd w:id="450"/>
      <w:bookmarkEnd w:id="451"/>
      <w:bookmarkEnd w:id="452"/>
      <w:bookmarkEnd w:id="453"/>
      <w:bookmarkEnd w:id="454"/>
      <w:bookmarkEnd w:id="455"/>
    </w:p>
    <w:p w14:paraId="26513A24">
      <w:pPr>
        <w:pStyle w:val="120"/>
        <w:rPr>
          <w:color w:val="000000" w:themeColor="text1"/>
          <w14:textFill>
            <w14:solidFill>
              <w14:schemeClr w14:val="tx1"/>
            </w14:solidFill>
          </w14:textFill>
        </w:rPr>
      </w:pPr>
      <w:r>
        <w:rPr>
          <w:color w:val="000000" w:themeColor="text1"/>
          <w14:textFill>
            <w14:solidFill>
              <w14:schemeClr w14:val="tx1"/>
            </w14:solidFill>
          </w14:textFill>
        </w:rPr>
        <w:t>产业政策符合性分析</w:t>
      </w:r>
    </w:p>
    <w:p w14:paraId="3615819A">
      <w:pPr>
        <w:ind w:firstLine="476"/>
        <w:rPr>
          <w:color w:val="000000" w:themeColor="text1"/>
          <w14:textFill>
            <w14:solidFill>
              <w14:schemeClr w14:val="tx1"/>
            </w14:solidFill>
          </w14:textFill>
        </w:rPr>
      </w:pPr>
      <w:r>
        <w:rPr>
          <w:rFonts w:hint="eastAsia" w:cs="Times New Roman"/>
          <w:color w:val="000000" w:themeColor="text1"/>
          <w:spacing w:val="-2"/>
          <w:szCs w:val="24"/>
          <w14:textFill>
            <w14:solidFill>
              <w14:schemeClr w14:val="tx1"/>
            </w14:solidFill>
          </w14:textFill>
        </w:rPr>
        <w:t>本项目为旅游公路工程，不属于《产业结构调整指导目录（2</w:t>
      </w:r>
      <w:r>
        <w:rPr>
          <w:rFonts w:cs="Times New Roman"/>
          <w:color w:val="000000" w:themeColor="text1"/>
          <w:spacing w:val="-2"/>
          <w:szCs w:val="24"/>
          <w14:textFill>
            <w14:solidFill>
              <w14:schemeClr w14:val="tx1"/>
            </w14:solidFill>
          </w14:textFill>
        </w:rPr>
        <w:t>024</w:t>
      </w:r>
      <w:r>
        <w:rPr>
          <w:rFonts w:hint="eastAsia" w:cs="Times New Roman"/>
          <w:color w:val="000000" w:themeColor="text1"/>
          <w:spacing w:val="-2"/>
          <w:szCs w:val="24"/>
          <w14:textFill>
            <w14:solidFill>
              <w14:schemeClr w14:val="tx1"/>
            </w14:solidFill>
          </w14:textFill>
        </w:rPr>
        <w:t>年本）》中限制类、淘汰类，工程的建设符合国家产业政策。</w:t>
      </w:r>
    </w:p>
    <w:p w14:paraId="479E2BE4">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项目建设必要性</w:t>
      </w:r>
    </w:p>
    <w:p w14:paraId="411AC4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（1）完善福清市综合交通运输体系的需要。</w:t>
      </w:r>
    </w:p>
    <w:p w14:paraId="6650D8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贯彻习近平总书记提出了“创新、协调、绿色、开放、共享”的新发展理念。坚持社会主义市场经济改革方向，坚持高水平对外开放，加快构建以国内大循环为主体、国内国际双循环相互促进的新发展格局。本项目的建设，将完善福清市综合交通运输体系，是福清市综合交通运输体系建设的重要组成部分。</w:t>
      </w:r>
    </w:p>
    <w:p w14:paraId="12487C5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（2）完善黄檗山万福寺对外快捷联系通道的需要</w:t>
      </w:r>
    </w:p>
    <w:p w14:paraId="00B9B8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目前万福寺仅依靠现状村道与外界衔接，道路状况较差，亟需新建一条便捷通道。本项目的建设对于改善万福寺及沿线交通出行条件、整合旅游资源、完善交通网络、缓解交通压力等都具有重要的作用。</w:t>
      </w:r>
    </w:p>
    <w:p w14:paraId="1F830B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（3）是推进乡村振兴，助力高质量发展的需要。</w:t>
      </w:r>
    </w:p>
    <w:p w14:paraId="43663B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本项目的建设将实现渔溪镇西部村庄与G324的快捷联通，大大便捷渔溪镇西部村庄的交通条件，促进农村经济协调发展，改善区域交通发展不平衡问题，推进城乡基本公共服务均等化，快速衔接农业</w:t>
      </w:r>
      <w:bookmarkStart w:id="456" w:name="hmcheck_b58523d396b843e49d029ad32a1c7537"/>
      <w:r>
        <w:rPr>
          <w:rFonts w:hint="eastAsia"/>
          <w:color w:val="000000" w:themeColor="text1"/>
          <w:shd w:val="clear" w:fill="FFAFAA"/>
          <w14:textFill>
            <w14:solidFill>
              <w14:schemeClr w14:val="tx1"/>
            </w14:solidFill>
          </w14:textFill>
        </w:rPr>
        <w:t>、以及</w:t>
      </w:r>
      <w:bookmarkEnd w:id="456"/>
      <w:r>
        <w:rPr>
          <w:rFonts w:hint="eastAsia"/>
          <w:color w:val="000000" w:themeColor="text1"/>
          <w14:textFill>
            <w14:solidFill>
              <w14:schemeClr w14:val="tx1"/>
            </w14:solidFill>
          </w14:textFill>
        </w:rPr>
        <w:t>旅游文化产业和其他重点产业的串联，对实现乡村振兴有着重要意义。</w:t>
      </w:r>
    </w:p>
    <w:p w14:paraId="7208397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（4）促进区域社会经济发展和城市化发展的需要。</w:t>
      </w:r>
    </w:p>
    <w:p w14:paraId="79E490D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清市位于福建省东部、福州市南部，地处闽东山地与闽东南沿海丘陵平原过渡地带，属南亚热带海洋性气候，毗邻6个区、县，总面积2430平方千米。根据中国信息通信研究院发布的《中国县域工业经济发展报告（2022）》，2022年“中国创新百强县”名单中，福清市位列第26名。更加完善的综合交通运输体系，有助于助力福清市社会经济和城市化的发展。</w:t>
      </w:r>
    </w:p>
    <w:p w14:paraId="64E1492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综上所述，本项目的建设是必要的，并且也是迫切的。</w:t>
      </w:r>
    </w:p>
    <w:p w14:paraId="249A9513">
      <w:pPr>
        <w:pStyle w:val="120"/>
        <w:rPr>
          <w:color w:val="000000" w:themeColor="text1"/>
          <w14:textFill>
            <w14:solidFill>
              <w14:schemeClr w14:val="tx1"/>
            </w14:solidFill>
          </w14:textFill>
        </w:rPr>
      </w:pPr>
      <w:bookmarkStart w:id="457" w:name="_Hlk143511110"/>
      <w:r>
        <w:rPr>
          <w:rFonts w:hint="eastAsia"/>
          <w:color w:val="000000" w:themeColor="text1"/>
          <w14:textFill>
            <w14:solidFill>
              <w14:schemeClr w14:val="tx1"/>
            </w14:solidFill>
          </w14:textFill>
        </w:rPr>
        <w:t>选址选线环境合理性分析</w:t>
      </w:r>
    </w:p>
    <w:bookmarkEnd w:id="457"/>
    <w:p w14:paraId="1A74746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线路选线合理性</w:t>
      </w:r>
    </w:p>
    <w:p w14:paraId="4DEE25D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本项目作为连接万福寺旅游公路，建设选址和线路走向已取得</w:t>
      </w:r>
      <w:r>
        <w:rPr>
          <w:color w:val="000000" w:themeColor="text1"/>
          <w:lang w:val="zh-CN"/>
          <w14:textFill>
            <w14:solidFill>
              <w14:schemeClr w14:val="tx1"/>
            </w14:solidFill>
          </w14:textFill>
        </w:rPr>
        <w:t>福清市发展和改革局</w:t>
      </w:r>
      <w:r>
        <w:rPr>
          <w:rFonts w:hint="eastAsia"/>
          <w:color w:val="000000" w:themeColor="text1"/>
          <w14:textFill>
            <w14:solidFill>
              <w14:schemeClr w14:val="tx1"/>
            </w14:solidFill>
          </w14:textFill>
        </w:rPr>
        <w:t>、</w:t>
      </w:r>
      <w:r>
        <w:rPr>
          <w:color w:val="000000" w:themeColor="text1"/>
          <w:lang w:val="zh-CN"/>
          <w14:textFill>
            <w14:solidFill>
              <w14:schemeClr w14:val="tx1"/>
            </w14:solidFill>
          </w14:textFill>
        </w:rPr>
        <w:t>福州市交通运输局出具</w:t>
      </w:r>
      <w:r>
        <w:rPr>
          <w:rFonts w:hint="eastAsia"/>
          <w:color w:val="000000" w:themeColor="text1"/>
          <w14:textFill>
            <w14:solidFill>
              <w14:schemeClr w14:val="tx1"/>
            </w14:solidFill>
          </w14:textFill>
        </w:rPr>
        <w:t>、福建省林业局、福清市自然资源局等各相关部门的同意，实施建设。</w:t>
      </w:r>
    </w:p>
    <w:p w14:paraId="49C2CDFA">
      <w:pPr>
        <w:ind w:firstLine="480"/>
        <w:rPr>
          <w:color w:val="000000" w:themeColor="text1"/>
          <w:kern w:val="0"/>
          <w:szCs w:val="24"/>
          <w:lang w:val="zh-CN"/>
          <w14:textFill>
            <w14:solidFill>
              <w14:schemeClr w14:val="tx1"/>
            </w14:solidFill>
          </w14:textFill>
        </w:rPr>
      </w:pPr>
      <w:r>
        <w:rPr>
          <w:rFonts w:hint="eastAsia"/>
          <w:color w:val="000000" w:themeColor="text1"/>
          <w14:textFill>
            <w14:solidFill>
              <w14:schemeClr w14:val="tx1"/>
            </w14:solidFill>
          </w14:textFill>
        </w:rPr>
        <w:t>同时，根据比选方案论证，项目推荐线路具有</w:t>
      </w:r>
      <w:r>
        <w:rPr>
          <w:color w:val="000000" w:themeColor="text1"/>
          <w14:textFill>
            <w14:solidFill>
              <w14:schemeClr w14:val="tx1"/>
            </w14:solidFill>
          </w14:textFill>
        </w:rPr>
        <w:t>线形较好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可实施性更强</w:t>
      </w:r>
      <w:r>
        <w:rPr>
          <w:rFonts w:hint="eastAsia"/>
          <w:color w:val="000000" w:themeColor="text1"/>
          <w14:textFill>
            <w14:solidFill>
              <w14:schemeClr w14:val="tx1"/>
            </w14:solidFill>
          </w14:textFill>
        </w:rPr>
        <w:t>等优点。且方案不涉及占用生态保护红线、基本农田，项目实施对环境影响在采取相应措施后，对环境影响可控，因此从生态保护角度分析，线路选线可行</w:t>
      </w:r>
      <w:r>
        <w:rPr>
          <w:rFonts w:hint="eastAsia"/>
          <w:color w:val="000000" w:themeColor="text1"/>
          <w:kern w:val="0"/>
          <w:szCs w:val="24"/>
          <w:lang w:val="zh-CN"/>
          <w14:textFill>
            <w14:solidFill>
              <w14:schemeClr w14:val="tx1"/>
            </w14:solidFill>
          </w14:textFill>
        </w:rPr>
        <w:t>。</w:t>
      </w:r>
    </w:p>
    <w:p w14:paraId="2CD3E1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推荐线路路线平纵线形合理，避免了穿越成片农田，尽量少占耕地和林地，对基本农田、生态保护红线等生态环境敏感目标予以绕避。项目对于平面交叉线路，合理布置通道，以保证群众正常的生产、生活交往的需要。重视工程对地表水资源的保护，保持原有的水网体系和灌排体系，使新建的桥涵、排水沟、截水沟等排水设施形成完整的排水系统。重视环境保护，尽量少破坏或不破坏原有的自然生态，与周围环境、景观相协调。</w:t>
      </w:r>
    </w:p>
    <w:p w14:paraId="48022CF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综上所述，本项目建设符合国家产业政策、区域规划，工程选线较为合理。</w:t>
      </w:r>
    </w:p>
    <w:p w14:paraId="57691E42">
      <w:pPr>
        <w:pStyle w:val="118"/>
        <w:rPr>
          <w:color w:val="000000" w:themeColor="text1"/>
          <w14:textFill>
            <w14:solidFill>
              <w14:schemeClr w14:val="tx1"/>
            </w14:solidFill>
          </w14:textFill>
        </w:rPr>
      </w:pPr>
      <w:r>
        <w:rPr>
          <w:color w:val="000000" w:themeColor="text1"/>
          <w14:textFill>
            <w14:solidFill>
              <w14:schemeClr w14:val="tx1"/>
            </w14:solidFill>
          </w14:textFill>
        </w:rPr>
        <w:t>与环境功能区划的相容性分析</w:t>
      </w:r>
    </w:p>
    <w:p w14:paraId="0BEDBA54">
      <w:pPr>
        <w:ind w:firstLine="480"/>
        <w:rPr>
          <w:color w:val="000000" w:themeColor="text1"/>
          <w14:textFill>
            <w14:solidFill>
              <w14:schemeClr w14:val="tx1"/>
            </w14:solidFill>
          </w14:textFill>
        </w:rPr>
      </w:pPr>
      <w:r>
        <w:rPr>
          <w:color w:val="000000" w:themeColor="text1"/>
          <w14:textFill>
            <w14:solidFill>
              <w14:schemeClr w14:val="tx1"/>
            </w14:solidFill>
          </w14:textFill>
        </w:rPr>
        <w:t>项目周边地表水体主要为</w:t>
      </w:r>
      <w:r>
        <w:rPr>
          <w:rFonts w:hint="eastAsia"/>
          <w:color w:val="000000" w:themeColor="text1"/>
          <w14:textFill>
            <w14:solidFill>
              <w14:schemeClr w14:val="tx1"/>
            </w14:solidFill>
          </w14:textFill>
        </w:rPr>
        <w:t>迳江及福渠</w:t>
      </w:r>
      <w:r>
        <w:rPr>
          <w:color w:val="000000" w:themeColor="text1"/>
          <w14:textFill>
            <w14:solidFill>
              <w14:schemeClr w14:val="tx1"/>
            </w14:solidFill>
          </w14:textFill>
        </w:rPr>
        <w:t>，项目评价范围内所涉及河段水环境功能区类别为Ⅲ类，执行《地表水环境质量标准》（GB3838-2002）中的Ⅲ类标准。项目所经区域属环境空气质量二类功能区，沿线空气环境执行《环境空气质量标准》（GB3095-2012）中的二级标准。</w:t>
      </w:r>
    </w:p>
    <w:p w14:paraId="5BFDA8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项目位于渔溪镇及上迳镇，区域声环境现状位于2类区。项目属于二级公路（交通干线），根据《声环境功能区划分技术规范》（GB/T 15190-2014），将交通干线边界线外一定距离内的区域划分为4a 类声环境功能区：相邻区域为 2 类声环境功能区，距离为 </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m；当临街建筑高于三层楼房以上（含三层）时，将临街建筑面向交通干线一侧至交通干线边界线的区域定为4a 类声环境功能区。</w:t>
      </w:r>
    </w:p>
    <w:p w14:paraId="3E30EDAD">
      <w:pPr>
        <w:ind w:firstLine="480"/>
        <w:rPr>
          <w:color w:val="000000" w:themeColor="text1"/>
          <w14:textFill>
            <w14:solidFill>
              <w14:schemeClr w14:val="tx1"/>
            </w14:solidFill>
          </w14:textFill>
        </w:rPr>
      </w:pPr>
      <w:r>
        <w:rPr>
          <w:color w:val="000000" w:themeColor="text1"/>
          <w14:textFill>
            <w14:solidFill>
              <w14:schemeClr w14:val="tx1"/>
            </w14:solidFill>
          </w14:textFill>
        </w:rPr>
        <w:t>项目为生态型建设项目，属于公路工程，根据工程建设的环境影响分析，项目对公路沿线声环境、生态环境、大气环境以及水环境等的影响范围和影响程度均不大，不会导致区域环境功能区划属性和功能要求的改变。因此，本工程建设满足环境功能区划的要求。</w:t>
      </w:r>
    </w:p>
    <w:p w14:paraId="4AD088E8">
      <w:pPr>
        <w:pStyle w:val="118"/>
        <w:rPr>
          <w:color w:val="000000" w:themeColor="text1"/>
          <w14:textFill>
            <w14:solidFill>
              <w14:schemeClr w14:val="tx1"/>
            </w14:solidFill>
          </w14:textFill>
        </w:rPr>
      </w:pPr>
      <w:bookmarkStart w:id="458" w:name="2.9.3.2与规划的符合性分析"/>
      <w:bookmarkEnd w:id="458"/>
      <w:bookmarkStart w:id="459" w:name="2.9.1占地合理性分析"/>
      <w:bookmarkEnd w:id="459"/>
      <w:bookmarkStart w:id="460" w:name="2.9.3.1与环境功能区划的相容性分析"/>
      <w:bookmarkEnd w:id="460"/>
      <w:r>
        <w:rPr>
          <w:color w:val="000000" w:themeColor="text1"/>
          <w14:textFill>
            <w14:solidFill>
              <w14:schemeClr w14:val="tx1"/>
            </w14:solidFill>
          </w14:textFill>
        </w:rPr>
        <w:t>用地合理性</w:t>
      </w:r>
    </w:p>
    <w:p w14:paraId="41159BE7">
      <w:pPr>
        <w:ind w:firstLine="480"/>
        <w:rPr>
          <w:color w:val="000000" w:themeColor="text1"/>
          <w:spacing w:val="-2"/>
          <w14:textFill>
            <w14:solidFill>
              <w14:schemeClr w14:val="tx1"/>
            </w14:solidFill>
          </w14:textFill>
        </w:rPr>
      </w:pPr>
      <w:r>
        <w:rPr>
          <w:rFonts w:hint="eastAsia" w:cs="Times New Roman"/>
          <w:color w:val="000000" w:themeColor="text1"/>
          <w:shd w:val="clear" w:color="auto" w:fill="FFFFFF"/>
          <w14:textFill>
            <w14:solidFill>
              <w14:schemeClr w14:val="tx1"/>
            </w14:solidFill>
          </w14:textFill>
        </w:rPr>
        <w:t>路线起于上迳镇牌边村，起点与G324平交，终点至黄檗山万福寺，设置接线接入规划黄檗文化产业园</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路线全长5.200km</w:t>
      </w:r>
      <w:r>
        <w:rPr>
          <w:color w:val="000000" w:themeColor="text1"/>
          <w:lang w:val="zh-CN"/>
          <w14:textFill>
            <w14:solidFill>
              <w14:schemeClr w14:val="tx1"/>
            </w14:solidFill>
          </w14:textFill>
        </w:rPr>
        <w:t>，</w:t>
      </w:r>
      <w:r>
        <w:rPr>
          <w:rFonts w:hint="eastAsia"/>
          <w:color w:val="000000" w:themeColor="text1"/>
          <w:spacing w:val="-7"/>
          <w14:textFill>
            <w14:solidFill>
              <w14:schemeClr w14:val="tx1"/>
            </w14:solidFill>
          </w14:textFill>
        </w:rPr>
        <w:t>项目总占地面积 16.</w:t>
      </w:r>
      <w:r>
        <w:rPr>
          <w:color w:val="000000" w:themeColor="text1"/>
          <w:spacing w:val="-7"/>
          <w14:textFill>
            <w14:solidFill>
              <w14:schemeClr w14:val="tx1"/>
            </w14:solidFill>
          </w14:textFill>
        </w:rPr>
        <w:t>7067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，其中永久占地 </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 ，临时占地 </w:t>
      </w:r>
      <w:r>
        <w:rPr>
          <w:color w:val="000000" w:themeColor="text1"/>
          <w:spacing w:val="-7"/>
          <w14:textFill>
            <w14:solidFill>
              <w14:schemeClr w14:val="tx1"/>
            </w14:solidFill>
          </w14:textFill>
        </w:rPr>
        <w:t>2.045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color w:val="000000" w:themeColor="text1"/>
          <w:spacing w:val="-2"/>
          <w14:textFill>
            <w14:solidFill>
              <w14:schemeClr w14:val="tx1"/>
            </w14:solidFill>
          </w14:textFill>
        </w:rPr>
        <w:t>，主要占地面积为</w:t>
      </w:r>
      <w:r>
        <w:rPr>
          <w:rFonts w:hint="eastAsia"/>
          <w:color w:val="000000" w:themeColor="text1"/>
          <w:spacing w:val="-2"/>
          <w14:textFill>
            <w14:solidFill>
              <w14:schemeClr w14:val="tx1"/>
            </w14:solidFill>
          </w14:textFill>
        </w:rPr>
        <w:t>耕地</w:t>
      </w:r>
      <w:r>
        <w:rPr>
          <w:color w:val="000000" w:themeColor="text1"/>
          <w:spacing w:val="-2"/>
          <w14:textFill>
            <w14:solidFill>
              <w14:schemeClr w14:val="tx1"/>
            </w14:solidFill>
          </w14:textFill>
        </w:rPr>
        <w:t>、林地、园地、建设用地，不涉及</w:t>
      </w:r>
      <w:r>
        <w:rPr>
          <w:rFonts w:hint="eastAsia"/>
          <w:color w:val="000000" w:themeColor="text1"/>
          <w:spacing w:val="-2"/>
          <w14:textFill>
            <w14:solidFill>
              <w14:schemeClr w14:val="tx1"/>
            </w14:solidFill>
          </w14:textFill>
        </w:rPr>
        <w:t>生态保护红线和</w:t>
      </w:r>
      <w:r>
        <w:rPr>
          <w:color w:val="000000" w:themeColor="text1"/>
          <w:spacing w:val="-2"/>
          <w14:textFill>
            <w14:solidFill>
              <w14:schemeClr w14:val="tx1"/>
            </w14:solidFill>
          </w14:textFill>
        </w:rPr>
        <w:t>基本农田，所占用农用地主要为水田、旱地，为一般耕地，工程在选线中最大限度地降低了对当地农业生产</w:t>
      </w:r>
      <w:r>
        <w:rPr>
          <w:color w:val="000000" w:themeColor="text1"/>
          <w:spacing w:val="-6"/>
          <w14:textFill>
            <w14:solidFill>
              <w14:schemeClr w14:val="tx1"/>
            </w14:solidFill>
          </w14:textFill>
        </w:rPr>
        <w:t>的影响。</w:t>
      </w:r>
      <w:r>
        <w:rPr>
          <w:color w:val="000000" w:themeColor="text1"/>
          <w14:textFill>
            <w14:solidFill>
              <w14:schemeClr w14:val="tx1"/>
            </w14:solidFill>
          </w14:textFill>
        </w:rPr>
        <w:t>项目永久占地涉及</w:t>
      </w:r>
      <w:r>
        <w:rPr>
          <w:rFonts w:hint="eastAsia"/>
          <w:color w:val="000000" w:themeColor="text1"/>
          <w14:textFill>
            <w14:solidFill>
              <w14:schemeClr w14:val="tx1"/>
            </w14:solidFill>
          </w14:textFill>
        </w:rPr>
        <w:t>少</w:t>
      </w:r>
      <w:r>
        <w:rPr>
          <w:color w:val="000000" w:themeColor="text1"/>
          <w14:textFill>
            <w14:solidFill>
              <w14:schemeClr w14:val="tx1"/>
            </w14:solidFill>
          </w14:textFill>
        </w:rPr>
        <w:t>部分</w:t>
      </w:r>
      <w:r>
        <w:rPr>
          <w:rFonts w:hint="eastAsia"/>
          <w:color w:val="000000" w:themeColor="text1"/>
          <w14:textFill>
            <w14:solidFill>
              <w14:schemeClr w14:val="tx1"/>
            </w14:solidFill>
          </w14:textFill>
        </w:rPr>
        <w:t>国家二级</w:t>
      </w:r>
      <w:r>
        <w:rPr>
          <w:color w:val="000000" w:themeColor="text1"/>
          <w:lang w:val="zh-CN"/>
          <w14:textFill>
            <w14:solidFill>
              <w14:schemeClr w14:val="tx1"/>
            </w14:solidFill>
          </w14:textFill>
        </w:rPr>
        <w:t>生态公益林，</w:t>
      </w:r>
      <w:r>
        <w:rPr>
          <w:color w:val="000000" w:themeColor="text1"/>
          <w14:textFill>
            <w14:solidFill>
              <w14:schemeClr w14:val="tx1"/>
            </w14:solidFill>
          </w14:textFill>
        </w:rPr>
        <w:t>已取得福建省林业局出具的使用林地审核同意书（附件5），</w:t>
      </w:r>
      <w:r>
        <w:rPr>
          <w:color w:val="000000" w:themeColor="text1"/>
          <w:spacing w:val="-6"/>
          <w14:textFill>
            <w14:solidFill>
              <w14:schemeClr w14:val="tx1"/>
            </w14:solidFill>
          </w14:textFill>
        </w:rPr>
        <w:t>项目选线对沿线的资源占用较合理</w:t>
      </w:r>
      <w:r>
        <w:rPr>
          <w:color w:val="000000" w:themeColor="text1"/>
          <w:spacing w:val="-2"/>
          <w14:textFill>
            <w14:solidFill>
              <w14:schemeClr w14:val="tx1"/>
            </w14:solidFill>
          </w14:textFill>
        </w:rPr>
        <w:t>。</w:t>
      </w:r>
    </w:p>
    <w:p w14:paraId="4473EC77">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项目建设环境影响合理性分析</w:t>
      </w:r>
    </w:p>
    <w:p w14:paraId="26B0857D">
      <w:pPr>
        <w:ind w:firstLine="476"/>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（1）施工期</w:t>
      </w:r>
    </w:p>
    <w:p w14:paraId="23C74669">
      <w:pPr>
        <w:ind w:firstLine="476"/>
        <w:rPr>
          <w:color w:val="000000" w:themeColor="text1"/>
          <w:spacing w:val="-2"/>
          <w14:textFill>
            <w14:solidFill>
              <w14:schemeClr w14:val="tx1"/>
            </w14:solidFill>
          </w14:textFill>
        </w:rPr>
      </w:pPr>
      <w:r>
        <w:rPr>
          <w:rFonts w:hint="eastAsia"/>
          <w:color w:val="000000" w:themeColor="text1"/>
          <w:spacing w:val="-2"/>
          <w14:textFill>
            <w14:solidFill>
              <w14:schemeClr w14:val="tx1"/>
            </w14:solidFill>
          </w14:textFill>
        </w:rPr>
        <w:t>本项目公路建设施工期主要影响为：施工生活生产废水、施工粉尘、施工噪声、</w:t>
      </w:r>
      <w:r>
        <w:rPr>
          <w:rFonts w:hint="eastAsia"/>
          <w:color w:val="000000" w:themeColor="text1"/>
          <w14:textFill>
            <w14:solidFill>
              <w14:schemeClr w14:val="tx1"/>
            </w14:solidFill>
          </w14:textFill>
        </w:rPr>
        <w:t>固体废物以及施工期生态环境影响（土地占用、动植物影响、生态公益林、水土流失等）</w:t>
      </w:r>
      <w:r>
        <w:rPr>
          <w:rFonts w:hint="eastAsia"/>
          <w:color w:val="000000" w:themeColor="text1"/>
          <w:spacing w:val="-2"/>
          <w14:textFill>
            <w14:solidFill>
              <w14:schemeClr w14:val="tx1"/>
            </w14:solidFill>
          </w14:textFill>
        </w:rPr>
        <w:t>。从环境影响分析：（1）施工期落实好施工废水</w:t>
      </w:r>
      <w:r>
        <w:rPr>
          <w:color w:val="000000" w:themeColor="text1"/>
          <w14:textFill>
            <w14:solidFill>
              <w14:schemeClr w14:val="tx1"/>
            </w14:solidFill>
          </w14:textFill>
        </w:rPr>
        <w:t>经</w:t>
      </w:r>
      <w:r>
        <w:rPr>
          <w:rFonts w:hint="eastAsia"/>
          <w:color w:val="000000" w:themeColor="text1"/>
          <w14:textFill>
            <w14:solidFill>
              <w14:schemeClr w14:val="tx1"/>
            </w14:solidFill>
          </w14:textFill>
        </w:rPr>
        <w:t>简单</w:t>
      </w:r>
      <w:r>
        <w:rPr>
          <w:color w:val="000000" w:themeColor="text1"/>
          <w14:textFill>
            <w14:solidFill>
              <w14:schemeClr w14:val="tx1"/>
            </w14:solidFill>
          </w14:textFill>
        </w:rPr>
        <w:t>隔油沉淀后循环使用</w:t>
      </w:r>
      <w:r>
        <w:rPr>
          <w:rFonts w:hint="eastAsia"/>
          <w:color w:val="000000" w:themeColor="text1"/>
          <w14:textFill>
            <w14:solidFill>
              <w14:schemeClr w14:val="tx1"/>
            </w14:solidFill>
          </w14:textFill>
        </w:rPr>
        <w:t>，不外排，施工生活污水纳入区域排污系统；施工污废水经采取相应措施后，对周边水环境影响较小；（2）施工扬尘在采取洒水降尘、施工围挡、遮盖等防护措施后，对沿线环境空气质量的影响可控；（3）施工期生活垃圾委托当地环卫部门及时清运，土石方经项目综合利用后，剩余弃方拟运往福清市城市管理委员会批准的余方指定堆放点进行综合利用。（4）施工期施工噪声对周边敏感点存在一定影响，因此，施工单位在组织施工时，选用低噪声的设备，合理规划施工时间，夜间禁止施工，同时在施工场界做围挡措施。（5）生态影响：项目永久性占地的主要类型是林地和耕地，其次为园地、</w:t>
      </w:r>
      <w:r>
        <w:rPr>
          <w:rFonts w:hint="eastAsia"/>
          <w:color w:val="000000" w:themeColor="text1"/>
          <w:spacing w:val="-7"/>
          <w14:textFill>
            <w14:solidFill>
              <w14:schemeClr w14:val="tx1"/>
            </w14:solidFill>
          </w14:textFill>
        </w:rPr>
        <w:t>其他农用地</w:t>
      </w:r>
      <w:r>
        <w:rPr>
          <w:rFonts w:hint="eastAsia"/>
          <w:color w:val="000000" w:themeColor="text1"/>
          <w14:textFill>
            <w14:solidFill>
              <w14:schemeClr w14:val="tx1"/>
            </w14:solidFill>
          </w14:textFill>
        </w:rPr>
        <w:t>，各类土地面积占直接影响区相应地类总量的比例都较小不会导致沿线土地利用结构发生重大改变；工程涉及植物均为常见、广布植被或人工植被，在项目区周边地区尚有大量分布，工程破坏不会造成区域物种灭绝或植被类型丧失，对区域总体的植物资源物种多样性和群落多样性影响不大；工程共占用生态公益林面积</w:t>
      </w:r>
      <w:r>
        <w:rPr>
          <w:rFonts w:hint="eastAsia"/>
          <w:color w:val="000000" w:themeColor="text1"/>
          <w:spacing w:val="-7"/>
          <w14:textFill>
            <w14:solidFill>
              <w14:schemeClr w14:val="tx1"/>
            </w14:solidFill>
          </w14:textFill>
        </w:rPr>
        <w:t>0</w:t>
      </w:r>
      <w:r>
        <w:rPr>
          <w:color w:val="000000" w:themeColor="text1"/>
          <w:spacing w:val="-7"/>
          <w14:textFill>
            <w14:solidFill>
              <w14:schemeClr w14:val="tx1"/>
            </w14:solidFill>
          </w14:textFill>
        </w:rPr>
        <w:t>.5538</w:t>
      </w:r>
      <w:r>
        <w:rPr>
          <w:rFonts w:hint="eastAsia"/>
          <w:color w:val="000000" w:themeColor="text1"/>
          <w:spacing w:val="-7"/>
          <w14:textFill>
            <w14:solidFill>
              <w14:schemeClr w14:val="tx1"/>
            </w14:solidFill>
          </w14:textFill>
        </w:rPr>
        <w:t xml:space="preserve"> </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，在设计、施工和运行阶段采取积极有效的生态环境管理措施、环境预防和补偿措施后，可有效减轻工程建设带来的负面影响。</w:t>
      </w:r>
    </w:p>
    <w:p w14:paraId="063C3515">
      <w:pPr>
        <w:ind w:firstLine="480"/>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w:t>
      </w:r>
      <w:r>
        <w:rPr>
          <w:rFonts w:hint="eastAsia"/>
          <w:color w:val="000000" w:themeColor="text1"/>
          <w:spacing w:val="-2"/>
          <w14:textFill>
            <w14:solidFill>
              <w14:schemeClr w14:val="tx1"/>
            </w14:solidFill>
          </w14:textFill>
        </w:rPr>
        <w:t>本项目建设运营期主要环境影响为交通噪声对周边声环境敏感目标的影响，</w:t>
      </w:r>
      <w:r>
        <w:rPr>
          <w:rFonts w:hint="eastAsia"/>
          <w:color w:val="000000" w:themeColor="text1"/>
          <w14:textFill>
            <w14:solidFill>
              <w14:schemeClr w14:val="tx1"/>
            </w14:solidFill>
          </w14:textFill>
        </w:rPr>
        <w:t>从预测结果可以看出，项目运营期沿线敏感目标受交通噪声影响不大，仅部分敏感点夜间出现部分超标，因此，针对部分超标路段及敏感目标应采取相应措施。</w:t>
      </w:r>
    </w:p>
    <w:p w14:paraId="2840710F">
      <w:pPr>
        <w:ind w:firstLine="480"/>
        <w:rPr>
          <w:color w:val="000000" w:themeColor="text1"/>
          <w:spacing w:val="-2"/>
          <w14:textFill>
            <w14:solidFill>
              <w14:schemeClr w14:val="tx1"/>
            </w14:solidFill>
          </w14:textFill>
        </w:rPr>
      </w:pPr>
      <w:r>
        <w:rPr>
          <w:rFonts w:hint="eastAsia"/>
          <w:color w:val="000000" w:themeColor="text1"/>
          <w:szCs w:val="24"/>
          <w14:textFill>
            <w14:solidFill>
              <w14:schemeClr w14:val="tx1"/>
            </w14:solidFill>
          </w14:textFill>
        </w:rPr>
        <w:t>综上分析，从环境影响评价分析，项目施工过程中采取有效的生态环境保护措施、恢复措施和水土保持措施后，可将项目施工中对生态环境带来的负面影响减轻到最低；运营期，</w:t>
      </w:r>
      <w:r>
        <w:rPr>
          <w:rFonts w:hint="eastAsia"/>
          <w:color w:val="000000" w:themeColor="text1"/>
          <w14:textFill>
            <w14:solidFill>
              <w14:schemeClr w14:val="tx1"/>
            </w14:solidFill>
          </w14:textFill>
        </w:rPr>
        <w:t>在土地利用规划中落实噪声防护控制距离，</w:t>
      </w:r>
      <w:r>
        <w:rPr>
          <w:rFonts w:hint="eastAsia"/>
          <w:color w:val="000000" w:themeColor="text1"/>
          <w:szCs w:val="24"/>
          <w14:textFill>
            <w14:solidFill>
              <w14:schemeClr w14:val="tx1"/>
            </w14:solidFill>
          </w14:textFill>
        </w:rPr>
        <w:t>黄檗山万福寺旅游公路选线</w:t>
      </w:r>
      <w:r>
        <w:rPr>
          <w:rFonts w:hint="eastAsia"/>
          <w:color w:val="000000" w:themeColor="text1"/>
          <w14:textFill>
            <w14:solidFill>
              <w14:schemeClr w14:val="tx1"/>
            </w14:solidFill>
          </w14:textFill>
        </w:rPr>
        <w:t>基本合理。</w:t>
      </w:r>
    </w:p>
    <w:p w14:paraId="1DF7E968">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项目临时占地选址合理性分析</w:t>
      </w:r>
    </w:p>
    <w:p w14:paraId="67071FA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）施工临时占地</w:t>
      </w:r>
    </w:p>
    <w:p w14:paraId="141E09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本项目拟设置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处施工场地，</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处表土堆场，施工场地现状敏感性及选址合理性分析详见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_Ref80609698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表3.10-1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4F4CC5C1">
      <w:pPr>
        <w:pStyle w:val="87"/>
        <w:spacing w:before="120"/>
        <w:rPr>
          <w:color w:val="000000" w:themeColor="text1"/>
          <w14:textFill>
            <w14:solidFill>
              <w14:schemeClr w14:val="tx1"/>
            </w14:solidFill>
          </w14:textFill>
        </w:rPr>
      </w:pPr>
      <w:bookmarkStart w:id="461" w:name="_Ref80609698"/>
      <w:r>
        <w:rPr>
          <w:rFonts w:hint="eastAsia"/>
          <w:color w:val="000000" w:themeColor="text1"/>
          <w14:textFill>
            <w14:solidFill>
              <w14:schemeClr w14:val="tx1"/>
            </w14:solidFill>
          </w14:textFill>
        </w:rPr>
        <w:t>临时占地设置合理性分析</w:t>
      </w:r>
      <w:r>
        <w:rPr>
          <w:color w:val="000000" w:themeColor="text1"/>
          <w14:textFill>
            <w14:solidFill>
              <w14:schemeClr w14:val="tx1"/>
            </w14:solidFill>
          </w14:textFill>
        </w:rPr>
        <w:t>表</w:t>
      </w:r>
      <w:bookmarkEnd w:id="461"/>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7"/>
        <w:gridCol w:w="724"/>
        <w:gridCol w:w="726"/>
        <w:gridCol w:w="873"/>
        <w:gridCol w:w="869"/>
        <w:gridCol w:w="2323"/>
        <w:gridCol w:w="3044"/>
      </w:tblGrid>
      <w:tr w14:paraId="2908EF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tblHeader/>
          <w:jc w:val="center"/>
        </w:trPr>
        <w:tc>
          <w:tcPr>
            <w:tcW w:w="391" w:type="pct"/>
            <w:vAlign w:val="center"/>
          </w:tcPr>
          <w:p w14:paraId="79365F9E">
            <w:pPr>
              <w:pStyle w:val="105"/>
              <w:jc w:val="center"/>
              <w:rPr>
                <w:snapToGrid w:val="0"/>
                <w:color w:val="000000" w:themeColor="text1"/>
                <w:sz w:val="18"/>
                <w:szCs w:val="18"/>
                <w14:textFill>
                  <w14:solidFill>
                    <w14:schemeClr w14:val="tx1"/>
                  </w14:solidFill>
                </w14:textFill>
              </w:rPr>
            </w:pPr>
            <w:bookmarkStart w:id="462" w:name="_Hlk148344636"/>
            <w:r>
              <w:rPr>
                <w:snapToGrid w:val="0"/>
                <w:color w:val="000000" w:themeColor="text1"/>
                <w:sz w:val="18"/>
                <w:szCs w:val="18"/>
                <w14:textFill>
                  <w14:solidFill>
                    <w14:schemeClr w14:val="tx1"/>
                  </w14:solidFill>
                </w14:textFill>
              </w:rPr>
              <w:t>项目</w:t>
            </w:r>
          </w:p>
        </w:tc>
        <w:tc>
          <w:tcPr>
            <w:tcW w:w="390" w:type="pct"/>
            <w:vAlign w:val="center"/>
          </w:tcPr>
          <w:p w14:paraId="70317505">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位置</w:t>
            </w:r>
          </w:p>
        </w:tc>
        <w:tc>
          <w:tcPr>
            <w:tcW w:w="391" w:type="pct"/>
            <w:vAlign w:val="center"/>
          </w:tcPr>
          <w:p w14:paraId="22D7D7B7">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面积（hm</w:t>
            </w:r>
            <w:r>
              <w:rPr>
                <w:snapToGrid w:val="0"/>
                <w:color w:val="000000" w:themeColor="text1"/>
                <w:sz w:val="18"/>
                <w:szCs w:val="18"/>
                <w:vertAlign w:val="superscript"/>
                <w14:textFill>
                  <w14:solidFill>
                    <w14:schemeClr w14:val="tx1"/>
                  </w14:solidFill>
                </w14:textFill>
              </w:rPr>
              <w:t>2</w:t>
            </w:r>
            <w:r>
              <w:rPr>
                <w:snapToGrid w:val="0"/>
                <w:color w:val="000000" w:themeColor="text1"/>
                <w:sz w:val="18"/>
                <w:szCs w:val="18"/>
                <w14:textFill>
                  <w14:solidFill>
                    <w14:schemeClr w14:val="tx1"/>
                  </w14:solidFill>
                </w14:textFill>
              </w:rPr>
              <w:t>）</w:t>
            </w:r>
          </w:p>
        </w:tc>
        <w:tc>
          <w:tcPr>
            <w:tcW w:w="470" w:type="pct"/>
            <w:vAlign w:val="center"/>
          </w:tcPr>
          <w:p w14:paraId="45135487">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占地</w:t>
            </w:r>
          </w:p>
          <w:p w14:paraId="1A3354EC">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类型</w:t>
            </w:r>
          </w:p>
        </w:tc>
        <w:tc>
          <w:tcPr>
            <w:tcW w:w="468" w:type="pct"/>
            <w:vAlign w:val="center"/>
          </w:tcPr>
          <w:p w14:paraId="5D6B69E2">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场地用途</w:t>
            </w:r>
          </w:p>
        </w:tc>
        <w:tc>
          <w:tcPr>
            <w:tcW w:w="1251" w:type="pct"/>
            <w:vAlign w:val="center"/>
          </w:tcPr>
          <w:p w14:paraId="13A53377">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主要环境现状及周边敏感目标分布</w:t>
            </w:r>
          </w:p>
        </w:tc>
        <w:tc>
          <w:tcPr>
            <w:tcW w:w="1639" w:type="pct"/>
            <w:vAlign w:val="center"/>
          </w:tcPr>
          <w:p w14:paraId="42DC1414">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合理性分析</w:t>
            </w:r>
          </w:p>
        </w:tc>
      </w:tr>
      <w:tr w14:paraId="5A6982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91" w:type="pct"/>
            <w:vAlign w:val="center"/>
          </w:tcPr>
          <w:p w14:paraId="3276FD55">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1#</w:t>
            </w:r>
            <w:r>
              <w:rPr>
                <w:rFonts w:hint="eastAsia"/>
                <w:snapToGrid w:val="0"/>
                <w:color w:val="000000" w:themeColor="text1"/>
                <w:sz w:val="18"/>
                <w:szCs w:val="18"/>
                <w14:textFill>
                  <w14:solidFill>
                    <w14:schemeClr w14:val="tx1"/>
                  </w14:solidFill>
                </w14:textFill>
              </w:rPr>
              <w:t>施工场地</w:t>
            </w:r>
          </w:p>
        </w:tc>
        <w:tc>
          <w:tcPr>
            <w:tcW w:w="390" w:type="pct"/>
            <w:vAlign w:val="center"/>
          </w:tcPr>
          <w:p w14:paraId="4BB94D27">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K1+894右侧</w:t>
            </w:r>
          </w:p>
        </w:tc>
        <w:tc>
          <w:tcPr>
            <w:tcW w:w="391" w:type="pct"/>
            <w:vAlign w:val="center"/>
          </w:tcPr>
          <w:p w14:paraId="091ABCB7">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0.70</w:t>
            </w:r>
          </w:p>
        </w:tc>
        <w:tc>
          <w:tcPr>
            <w:tcW w:w="470" w:type="pct"/>
            <w:vAlign w:val="center"/>
          </w:tcPr>
          <w:p w14:paraId="3E7FFD29">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土地利用类型</w:t>
            </w:r>
            <w:r>
              <w:rPr>
                <w:snapToGrid w:val="0"/>
                <w:color w:val="000000" w:themeColor="text1"/>
                <w:sz w:val="18"/>
                <w:szCs w:val="18"/>
                <w14:textFill>
                  <w14:solidFill>
                    <w14:schemeClr w14:val="tx1"/>
                  </w14:solidFill>
                </w14:textFill>
              </w:rPr>
              <w:t>为</w:t>
            </w:r>
            <w:r>
              <w:rPr>
                <w:rFonts w:hint="eastAsia"/>
                <w:snapToGrid w:val="0"/>
                <w:color w:val="000000" w:themeColor="text1"/>
                <w:sz w:val="18"/>
                <w:szCs w:val="18"/>
                <w14:textFill>
                  <w14:solidFill>
                    <w14:schemeClr w14:val="tx1"/>
                  </w14:solidFill>
                </w14:textFill>
              </w:rPr>
              <w:t>其他草地和其他林地</w:t>
            </w:r>
          </w:p>
        </w:tc>
        <w:tc>
          <w:tcPr>
            <w:tcW w:w="468" w:type="pct"/>
            <w:vAlign w:val="center"/>
          </w:tcPr>
          <w:p w14:paraId="23958E60">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钢筋加工场、预制场、存梁区、材料堆场、小型构件预制场、临时办公值班房等</w:t>
            </w:r>
          </w:p>
        </w:tc>
        <w:tc>
          <w:tcPr>
            <w:tcW w:w="1251" w:type="pct"/>
            <w:vAlign w:val="center"/>
          </w:tcPr>
          <w:p w14:paraId="0423B505">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14:textFill>
                  <w14:solidFill>
                    <w14:schemeClr w14:val="tx1"/>
                  </w14:solidFill>
                </w14:textFill>
              </w:rPr>
              <w:t>现状为杂草地和一般林地（稀疏桉树）</w:t>
            </w:r>
            <w:r>
              <w:rPr>
                <w:rFonts w:hint="eastAsia"/>
                <w:snapToGrid w:val="0"/>
                <w:color w:val="000000" w:themeColor="text1"/>
                <w:sz w:val="18"/>
                <w:szCs w:val="18"/>
                <w14:textFill>
                  <w14:solidFill>
                    <w14:schemeClr w14:val="tx1"/>
                  </w14:solidFill>
                </w14:textFill>
              </w:rPr>
              <w:t>，不涉及基本农田、生态公益林、生态保护红线等生态敏感区。</w:t>
            </w:r>
          </w:p>
          <w:p w14:paraId="3DE67FBC">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敏感目标：周边1</w:t>
            </w:r>
            <w:r>
              <w:rPr>
                <w:snapToGrid w:val="0"/>
                <w:color w:val="000000" w:themeColor="text1"/>
                <w:sz w:val="18"/>
                <w:szCs w:val="18"/>
                <w14:textFill>
                  <w14:solidFill>
                    <w14:schemeClr w14:val="tx1"/>
                  </w14:solidFill>
                </w14:textFill>
              </w:rPr>
              <w:t>00</w:t>
            </w:r>
            <w:r>
              <w:rPr>
                <w:rFonts w:hint="eastAsia"/>
                <w:snapToGrid w:val="0"/>
                <w:color w:val="000000" w:themeColor="text1"/>
                <w:sz w:val="18"/>
                <w:szCs w:val="18"/>
                <w14:textFill>
                  <w14:solidFill>
                    <w14:schemeClr w14:val="tx1"/>
                  </w14:solidFill>
                </w14:textFill>
              </w:rPr>
              <w:t>m无居民点，最近敏感点为东北侧1</w:t>
            </w:r>
            <w:r>
              <w:rPr>
                <w:snapToGrid w:val="0"/>
                <w:color w:val="000000" w:themeColor="text1"/>
                <w:sz w:val="18"/>
                <w:szCs w:val="18"/>
                <w14:textFill>
                  <w14:solidFill>
                    <w14:schemeClr w14:val="tx1"/>
                  </w14:solidFill>
                </w14:textFill>
              </w:rPr>
              <w:t>30</w:t>
            </w:r>
            <w:r>
              <w:rPr>
                <w:rFonts w:hint="eastAsia"/>
                <w:snapToGrid w:val="0"/>
                <w:color w:val="000000" w:themeColor="text1"/>
                <w:sz w:val="18"/>
                <w:szCs w:val="18"/>
                <w14:textFill>
                  <w14:solidFill>
                    <w14:schemeClr w14:val="tx1"/>
                  </w14:solidFill>
                </w14:textFill>
              </w:rPr>
              <w:t>m的基督教洋下堂和西南侧</w:t>
            </w:r>
            <w:r>
              <w:rPr>
                <w:snapToGrid w:val="0"/>
                <w:color w:val="000000" w:themeColor="text1"/>
                <w:sz w:val="18"/>
                <w:szCs w:val="18"/>
                <w14:textFill>
                  <w14:solidFill>
                    <w14:schemeClr w14:val="tx1"/>
                  </w14:solidFill>
                </w14:textFill>
              </w:rPr>
              <w:t>141</w:t>
            </w:r>
            <w:r>
              <w:rPr>
                <w:rFonts w:hint="eastAsia"/>
                <w:snapToGrid w:val="0"/>
                <w:color w:val="000000" w:themeColor="text1"/>
                <w:sz w:val="18"/>
                <w:szCs w:val="18"/>
                <w14:textFill>
                  <w14:solidFill>
                    <w14:schemeClr w14:val="tx1"/>
                  </w14:solidFill>
                </w14:textFill>
              </w:rPr>
              <w:t>m火烧埔。</w:t>
            </w:r>
          </w:p>
        </w:tc>
        <w:tc>
          <w:tcPr>
            <w:tcW w:w="1639" w:type="pct"/>
            <w:vAlign w:val="center"/>
          </w:tcPr>
          <w:p w14:paraId="7D6A5CC5">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①生态影响方面：施工场地不涉及生态敏感目标，不占用基本农田，用地为杂草地和一般林地，用地不敏感，选址基本合理，但考虑到四周临近基本农田，因此施工场地应严格控制施工边界，施工场地边界设置围墙围挡措施，严禁超范围占地，严禁向农田等随意倾倒垃圾和弃土、弃渣和施工废水；</w:t>
            </w:r>
          </w:p>
          <w:p w14:paraId="66C11F48">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②施工噪声、粉尘影响方面：</w:t>
            </w:r>
            <w:r>
              <w:rPr>
                <w:snapToGrid w:val="0"/>
                <w:color w:val="000000" w:themeColor="text1"/>
                <w:sz w:val="18"/>
                <w:szCs w:val="18"/>
                <w14:textFill>
                  <w14:solidFill>
                    <w14:schemeClr w14:val="tx1"/>
                  </w14:solidFill>
                </w14:textFill>
              </w:rPr>
              <w:t>1</w:t>
            </w:r>
            <w:r>
              <w:rPr>
                <w:rFonts w:hint="eastAsia"/>
                <w:snapToGrid w:val="0"/>
                <w:color w:val="000000" w:themeColor="text1"/>
                <w:sz w:val="18"/>
                <w:szCs w:val="18"/>
                <w14:textFill>
                  <w14:solidFill>
                    <w14:schemeClr w14:val="tx1"/>
                  </w14:solidFill>
                </w14:textFill>
              </w:rPr>
              <w:t>#施工场地作为周边1</w:t>
            </w:r>
            <w:r>
              <w:rPr>
                <w:snapToGrid w:val="0"/>
                <w:color w:val="000000" w:themeColor="text1"/>
                <w:sz w:val="18"/>
                <w:szCs w:val="18"/>
                <w14:textFill>
                  <w14:solidFill>
                    <w14:schemeClr w14:val="tx1"/>
                  </w14:solidFill>
                </w14:textFill>
              </w:rPr>
              <w:t>00</w:t>
            </w:r>
            <w:r>
              <w:rPr>
                <w:rFonts w:hint="eastAsia"/>
                <w:snapToGrid w:val="0"/>
                <w:color w:val="000000" w:themeColor="text1"/>
                <w:sz w:val="18"/>
                <w:szCs w:val="18"/>
                <w14:textFill>
                  <w14:solidFill>
                    <w14:schemeClr w14:val="tx1"/>
                  </w14:solidFill>
                </w14:textFill>
              </w:rPr>
              <w:t>m无居民点，因此，施工过程落实报告提出针对性的措施，施工噪声及扬尘对周边环境影响较小，选址基本合理。</w:t>
            </w:r>
          </w:p>
          <w:p w14:paraId="645466D6">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综上分析，</w:t>
            </w:r>
            <w:r>
              <w:rPr>
                <w:snapToGrid w:val="0"/>
                <w:color w:val="000000" w:themeColor="text1"/>
                <w:sz w:val="18"/>
                <w:szCs w:val="18"/>
                <w14:textFill>
                  <w14:solidFill>
                    <w14:schemeClr w14:val="tx1"/>
                  </w14:solidFill>
                </w14:textFill>
              </w:rPr>
              <w:t>1</w:t>
            </w:r>
            <w:r>
              <w:rPr>
                <w:rFonts w:hint="eastAsia"/>
                <w:snapToGrid w:val="0"/>
                <w:color w:val="000000" w:themeColor="text1"/>
                <w:sz w:val="18"/>
                <w:szCs w:val="18"/>
                <w14:textFill>
                  <w14:solidFill>
                    <w14:schemeClr w14:val="tx1"/>
                  </w14:solidFill>
                </w14:textFill>
              </w:rPr>
              <w:t>#施工场地距离敏感目标较远，在严格控制施工边界，落实本次评价提出的环保措施的前提下，选址基本合理。</w:t>
            </w:r>
          </w:p>
        </w:tc>
      </w:tr>
      <w:tr w14:paraId="32DF0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91" w:type="pct"/>
            <w:vAlign w:val="center"/>
          </w:tcPr>
          <w:p w14:paraId="60D1B96C">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2#</w:t>
            </w:r>
            <w:r>
              <w:rPr>
                <w:rFonts w:hint="eastAsia"/>
                <w:snapToGrid w:val="0"/>
                <w:color w:val="000000" w:themeColor="text1"/>
                <w:sz w:val="18"/>
                <w:szCs w:val="22"/>
                <w14:textFill>
                  <w14:solidFill>
                    <w14:schemeClr w14:val="tx1"/>
                  </w14:solidFill>
                </w14:textFill>
              </w:rPr>
              <w:t>施工场地</w:t>
            </w:r>
          </w:p>
        </w:tc>
        <w:tc>
          <w:tcPr>
            <w:tcW w:w="390" w:type="pct"/>
            <w:vAlign w:val="center"/>
          </w:tcPr>
          <w:p w14:paraId="0788BB21">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K4+480</w:t>
            </w:r>
            <w:r>
              <w:rPr>
                <w:rFonts w:hint="eastAsia"/>
                <w:snapToGrid w:val="0"/>
                <w:color w:val="000000" w:themeColor="text1"/>
                <w:sz w:val="18"/>
                <w:szCs w:val="22"/>
                <w14:textFill>
                  <w14:solidFill>
                    <w14:schemeClr w14:val="tx1"/>
                  </w14:solidFill>
                </w14:textFill>
              </w:rPr>
              <w:t>左侧</w:t>
            </w:r>
          </w:p>
        </w:tc>
        <w:tc>
          <w:tcPr>
            <w:tcW w:w="391" w:type="pct"/>
            <w:vAlign w:val="center"/>
          </w:tcPr>
          <w:p w14:paraId="5BB02C43">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0.35</w:t>
            </w:r>
          </w:p>
        </w:tc>
        <w:tc>
          <w:tcPr>
            <w:tcW w:w="470" w:type="pct"/>
            <w:vAlign w:val="center"/>
          </w:tcPr>
          <w:p w14:paraId="6E4A1DF6">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一般林地和其他林地</w:t>
            </w:r>
          </w:p>
        </w:tc>
        <w:tc>
          <w:tcPr>
            <w:tcW w:w="468" w:type="pct"/>
            <w:vAlign w:val="center"/>
          </w:tcPr>
          <w:p w14:paraId="10C2EF10">
            <w:pPr>
              <w:pStyle w:val="105"/>
              <w:jc w:val="center"/>
              <w:rPr>
                <w:snapToGrid w:val="0"/>
                <w:color w:val="000000" w:themeColor="text1"/>
                <w:sz w:val="18"/>
                <w:szCs w:val="22"/>
                <w14:textFill>
                  <w14:solidFill>
                    <w14:schemeClr w14:val="tx1"/>
                  </w14:solidFill>
                </w14:textFill>
              </w:rPr>
            </w:pPr>
            <w:r>
              <w:rPr>
                <w:snapToGrid w:val="0"/>
                <w:color w:val="000000" w:themeColor="text1"/>
                <w:sz w:val="18"/>
                <w:szCs w:val="22"/>
                <w14:textFill>
                  <w14:solidFill>
                    <w14:schemeClr w14:val="tx1"/>
                  </w14:solidFill>
                </w14:textFill>
              </w:rPr>
              <w:t>施工材料存放点</w:t>
            </w:r>
            <w:r>
              <w:rPr>
                <w:rFonts w:hint="eastAsia"/>
                <w:snapToGrid w:val="0"/>
                <w:color w:val="000000" w:themeColor="text1"/>
                <w:sz w:val="18"/>
                <w:szCs w:val="22"/>
                <w14:textFill>
                  <w14:solidFill>
                    <w14:schemeClr w14:val="tx1"/>
                  </w14:solidFill>
                </w14:textFill>
              </w:rPr>
              <w:t>、水稳</w:t>
            </w:r>
            <w:bookmarkStart w:id="463" w:name="hmcheck_43d8d21eee3b4c1d828d1caa5b63b74a"/>
            <w:r>
              <w:rPr>
                <w:rFonts w:hint="eastAsia"/>
                <w:snapToGrid w:val="0"/>
                <w:color w:val="000000" w:themeColor="text1"/>
                <w:sz w:val="18"/>
                <w:szCs w:val="22"/>
                <w:shd w:val="clear" w:fill="FFAFAA"/>
                <w14:textFill>
                  <w14:solidFill>
                    <w14:schemeClr w14:val="tx1"/>
                  </w14:solidFill>
                </w14:textFill>
              </w:rPr>
              <w:t>拌合站</w:t>
            </w:r>
            <w:bookmarkEnd w:id="463"/>
            <w:r>
              <w:rPr>
                <w:rFonts w:hint="eastAsia"/>
                <w:snapToGrid w:val="0"/>
                <w:color w:val="000000" w:themeColor="text1"/>
                <w:sz w:val="18"/>
                <w:szCs w:val="22"/>
                <w14:textFill>
                  <w14:solidFill>
                    <w14:schemeClr w14:val="tx1"/>
                  </w14:solidFill>
                </w14:textFill>
              </w:rPr>
              <w:t>等</w:t>
            </w:r>
          </w:p>
        </w:tc>
        <w:tc>
          <w:tcPr>
            <w:tcW w:w="1251" w:type="pct"/>
            <w:vAlign w:val="center"/>
          </w:tcPr>
          <w:p w14:paraId="7CBE0431">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现状为湿地松和景观树种植基地，不涉及基本农田、生态公益林、生态保护红线等生态敏感区。周边无</w:t>
            </w:r>
            <w:r>
              <w:rPr>
                <w:snapToGrid w:val="0"/>
                <w:color w:val="000000" w:themeColor="text1"/>
                <w:sz w:val="18"/>
                <w:szCs w:val="22"/>
                <w14:textFill>
                  <w14:solidFill>
                    <w14:schemeClr w14:val="tx1"/>
                  </w14:solidFill>
                </w14:textFill>
              </w:rPr>
              <w:t>200m</w:t>
            </w:r>
            <w:r>
              <w:rPr>
                <w:rFonts w:hint="eastAsia"/>
                <w:snapToGrid w:val="0"/>
                <w:color w:val="000000" w:themeColor="text1"/>
                <w:sz w:val="18"/>
                <w:szCs w:val="22"/>
                <w14:textFill>
                  <w14:solidFill>
                    <w14:schemeClr w14:val="tx1"/>
                  </w14:solidFill>
                </w14:textFill>
              </w:rPr>
              <w:t>无居民点。</w:t>
            </w:r>
          </w:p>
        </w:tc>
        <w:tc>
          <w:tcPr>
            <w:tcW w:w="1639" w:type="pct"/>
            <w:vAlign w:val="center"/>
          </w:tcPr>
          <w:p w14:paraId="061CBC79">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①生态影响方面：2</w:t>
            </w:r>
            <w:r>
              <w:rPr>
                <w:snapToGrid w:val="0"/>
                <w:color w:val="000000" w:themeColor="text1"/>
                <w:sz w:val="18"/>
                <w:szCs w:val="18"/>
                <w14:textFill>
                  <w14:solidFill>
                    <w14:schemeClr w14:val="tx1"/>
                  </w14:solidFill>
                </w14:textFill>
              </w:rPr>
              <w:t>#</w:t>
            </w:r>
            <w:r>
              <w:rPr>
                <w:rFonts w:hint="eastAsia"/>
                <w:snapToGrid w:val="0"/>
                <w:color w:val="000000" w:themeColor="text1"/>
                <w:sz w:val="18"/>
                <w:szCs w:val="18"/>
                <w14:textFill>
                  <w14:solidFill>
                    <w14:schemeClr w14:val="tx1"/>
                  </w14:solidFill>
                </w14:textFill>
              </w:rPr>
              <w:t>施工场地不涉及生态敏感目标，不占用基本农田，用地为</w:t>
            </w:r>
            <w:r>
              <w:rPr>
                <w:rFonts w:hint="eastAsia"/>
                <w:snapToGrid w:val="0"/>
                <w:color w:val="000000" w:themeColor="text1"/>
                <w:sz w:val="18"/>
                <w:szCs w:val="22"/>
                <w14:textFill>
                  <w14:solidFill>
                    <w14:schemeClr w14:val="tx1"/>
                  </w14:solidFill>
                </w14:textFill>
              </w:rPr>
              <w:t>一般林地和其他林地</w:t>
            </w:r>
            <w:r>
              <w:rPr>
                <w:rFonts w:hint="eastAsia"/>
                <w:snapToGrid w:val="0"/>
                <w:color w:val="000000" w:themeColor="text1"/>
                <w:sz w:val="18"/>
                <w:szCs w:val="18"/>
                <w14:textFill>
                  <w14:solidFill>
                    <w14:schemeClr w14:val="tx1"/>
                  </w14:solidFill>
                </w14:textFill>
              </w:rPr>
              <w:t>，用地不敏感，选址合理；</w:t>
            </w:r>
          </w:p>
          <w:p w14:paraId="581D2187">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②施工噪声、粉尘影响方面：周边</w:t>
            </w:r>
            <w:r>
              <w:rPr>
                <w:snapToGrid w:val="0"/>
                <w:color w:val="000000" w:themeColor="text1"/>
                <w:sz w:val="18"/>
                <w:szCs w:val="22"/>
                <w14:textFill>
                  <w14:solidFill>
                    <w14:schemeClr w14:val="tx1"/>
                  </w14:solidFill>
                </w14:textFill>
              </w:rPr>
              <w:t>200m</w:t>
            </w:r>
            <w:r>
              <w:rPr>
                <w:rFonts w:hint="eastAsia"/>
                <w:snapToGrid w:val="0"/>
                <w:color w:val="000000" w:themeColor="text1"/>
                <w:sz w:val="18"/>
                <w:szCs w:val="22"/>
                <w14:textFill>
                  <w14:solidFill>
                    <w14:schemeClr w14:val="tx1"/>
                  </w14:solidFill>
                </w14:textFill>
              </w:rPr>
              <w:t>无居民点</w:t>
            </w:r>
            <w:r>
              <w:rPr>
                <w:rFonts w:hint="eastAsia"/>
                <w:snapToGrid w:val="0"/>
                <w:color w:val="000000" w:themeColor="text1"/>
                <w:sz w:val="18"/>
                <w:szCs w:val="18"/>
                <w14:textFill>
                  <w14:solidFill>
                    <w14:schemeClr w14:val="tx1"/>
                  </w14:solidFill>
                </w14:textFill>
              </w:rPr>
              <w:t>，施工噪声、粉尘影响对居民影响较小。</w:t>
            </w:r>
          </w:p>
          <w:p w14:paraId="4279FAC7">
            <w:pPr>
              <w:pStyle w:val="105"/>
              <w:jc w:val="left"/>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综上分析，选址合理。</w:t>
            </w:r>
          </w:p>
        </w:tc>
      </w:tr>
      <w:tr w14:paraId="77781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91" w:type="pct"/>
            <w:vAlign w:val="center"/>
          </w:tcPr>
          <w:p w14:paraId="2417347C">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1</w:t>
            </w:r>
            <w:r>
              <w:rPr>
                <w:snapToGrid w:val="0"/>
                <w:color w:val="000000" w:themeColor="text1"/>
                <w:sz w:val="18"/>
                <w:szCs w:val="18"/>
                <w14:textFill>
                  <w14:solidFill>
                    <w14:schemeClr w14:val="tx1"/>
                  </w14:solidFill>
                </w14:textFill>
              </w:rPr>
              <w:t>#</w:t>
            </w:r>
            <w:r>
              <w:rPr>
                <w:rFonts w:hint="eastAsia"/>
                <w:snapToGrid w:val="0"/>
                <w:color w:val="000000" w:themeColor="text1"/>
                <w:sz w:val="18"/>
                <w:szCs w:val="18"/>
                <w14:textFill>
                  <w14:solidFill>
                    <w14:schemeClr w14:val="tx1"/>
                  </w14:solidFill>
                </w14:textFill>
              </w:rPr>
              <w:t>表土堆场</w:t>
            </w:r>
          </w:p>
        </w:tc>
        <w:tc>
          <w:tcPr>
            <w:tcW w:w="390" w:type="pct"/>
            <w:vAlign w:val="center"/>
          </w:tcPr>
          <w:p w14:paraId="4D7CF087">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K0+660 右侧100m</w:t>
            </w:r>
          </w:p>
        </w:tc>
        <w:tc>
          <w:tcPr>
            <w:tcW w:w="391" w:type="pct"/>
            <w:vAlign w:val="center"/>
          </w:tcPr>
          <w:p w14:paraId="6DD9EA32">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0.52</w:t>
            </w:r>
          </w:p>
        </w:tc>
        <w:tc>
          <w:tcPr>
            <w:tcW w:w="470" w:type="pct"/>
            <w:vAlign w:val="center"/>
          </w:tcPr>
          <w:p w14:paraId="62A385AC">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园地（</w:t>
            </w:r>
            <w:r>
              <w:rPr>
                <w:rFonts w:hint="eastAsia"/>
                <w:snapToGrid w:val="0"/>
                <w:color w:val="000000" w:themeColor="text1"/>
                <w:sz w:val="18"/>
                <w:szCs w:val="18"/>
                <w14:textFill>
                  <w14:solidFill>
                    <w14:schemeClr w14:val="tx1"/>
                  </w14:solidFill>
                </w14:textFill>
              </w:rPr>
              <w:t>龙眼林</w:t>
            </w:r>
            <w:r>
              <w:rPr>
                <w:snapToGrid w:val="0"/>
                <w:color w:val="000000" w:themeColor="text1"/>
                <w:sz w:val="18"/>
                <w:szCs w:val="18"/>
                <w14:textFill>
                  <w14:solidFill>
                    <w14:schemeClr w14:val="tx1"/>
                  </w14:solidFill>
                </w14:textFill>
              </w:rPr>
              <w:t>）</w:t>
            </w:r>
          </w:p>
        </w:tc>
        <w:tc>
          <w:tcPr>
            <w:tcW w:w="468" w:type="pct"/>
            <w:vAlign w:val="center"/>
          </w:tcPr>
          <w:p w14:paraId="21EE2196">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表土堆放</w:t>
            </w:r>
          </w:p>
        </w:tc>
        <w:tc>
          <w:tcPr>
            <w:tcW w:w="1251" w:type="pct"/>
            <w:vAlign w:val="center"/>
          </w:tcPr>
          <w:p w14:paraId="02FD7456">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现状为龙眼林，不涉及基本农田、生态公益林、生态保护红线等生态敏感区。</w:t>
            </w:r>
          </w:p>
          <w:p w14:paraId="0093F740">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敏感目标：</w:t>
            </w:r>
            <w:r>
              <w:rPr>
                <w:rFonts w:hint="eastAsia"/>
                <w:snapToGrid w:val="0"/>
                <w:color w:val="000000" w:themeColor="text1"/>
                <w:sz w:val="18"/>
                <w:szCs w:val="22"/>
                <w14:textFill>
                  <w14:solidFill>
                    <w14:schemeClr w14:val="tx1"/>
                  </w14:solidFill>
                </w14:textFill>
              </w:rPr>
              <w:t>南侧</w:t>
            </w:r>
            <w:r>
              <w:rPr>
                <w:snapToGrid w:val="0"/>
                <w:color w:val="000000" w:themeColor="text1"/>
                <w:sz w:val="18"/>
                <w:szCs w:val="22"/>
                <w14:textFill>
                  <w14:solidFill>
                    <w14:schemeClr w14:val="tx1"/>
                  </w14:solidFill>
                </w14:textFill>
              </w:rPr>
              <w:t>50m为</w:t>
            </w:r>
            <w:r>
              <w:rPr>
                <w:rFonts w:hint="eastAsia"/>
                <w:snapToGrid w:val="0"/>
                <w:color w:val="000000" w:themeColor="text1"/>
                <w:sz w:val="18"/>
                <w:szCs w:val="22"/>
                <w14:textFill>
                  <w14:solidFill>
                    <w14:schemeClr w14:val="tx1"/>
                  </w14:solidFill>
                </w14:textFill>
              </w:rPr>
              <w:t>鳗鱼养殖，1</w:t>
            </w:r>
            <w:r>
              <w:rPr>
                <w:snapToGrid w:val="0"/>
                <w:color w:val="000000" w:themeColor="text1"/>
                <w:sz w:val="18"/>
                <w:szCs w:val="22"/>
                <w14:textFill>
                  <w14:solidFill>
                    <w14:schemeClr w14:val="tx1"/>
                  </w14:solidFill>
                </w14:textFill>
              </w:rPr>
              <w:t>74m为</w:t>
            </w:r>
            <w:r>
              <w:rPr>
                <w:rFonts w:hint="eastAsia"/>
                <w:snapToGrid w:val="0"/>
                <w:color w:val="000000" w:themeColor="text1"/>
                <w:sz w:val="18"/>
                <w:szCs w:val="22"/>
                <w14:textFill>
                  <w14:solidFill>
                    <w14:schemeClr w14:val="tx1"/>
                  </w14:solidFill>
                </w14:textFill>
              </w:rPr>
              <w:t>上张村林泉，北侧</w:t>
            </w:r>
            <w:r>
              <w:rPr>
                <w:snapToGrid w:val="0"/>
                <w:color w:val="000000" w:themeColor="text1"/>
                <w:sz w:val="18"/>
                <w:szCs w:val="22"/>
                <w14:textFill>
                  <w14:solidFill>
                    <w14:schemeClr w14:val="tx1"/>
                  </w14:solidFill>
                </w14:textFill>
              </w:rPr>
              <w:t>118m为</w:t>
            </w:r>
            <w:r>
              <w:rPr>
                <w:rFonts w:hint="eastAsia"/>
                <w:snapToGrid w:val="0"/>
                <w:color w:val="000000" w:themeColor="text1"/>
                <w:sz w:val="18"/>
                <w:szCs w:val="22"/>
                <w14:textFill>
                  <w14:solidFill>
                    <w14:schemeClr w14:val="tx1"/>
                  </w14:solidFill>
                </w14:textFill>
              </w:rPr>
              <w:t>菜堂寺。</w:t>
            </w:r>
          </w:p>
        </w:tc>
        <w:tc>
          <w:tcPr>
            <w:tcW w:w="1639" w:type="pct"/>
            <w:vAlign w:val="center"/>
          </w:tcPr>
          <w:p w14:paraId="2F5733D5">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根据水保方案拟定临时表土堆场，占地为园地，不涉及基本农田和生态保护红线，虽然该处距离</w:t>
            </w:r>
            <w:r>
              <w:rPr>
                <w:rFonts w:hint="eastAsia"/>
                <w:snapToGrid w:val="0"/>
                <w:color w:val="000000" w:themeColor="text1"/>
                <w:sz w:val="18"/>
                <w:szCs w:val="22"/>
                <w14:textFill>
                  <w14:solidFill>
                    <w14:schemeClr w14:val="tx1"/>
                  </w14:solidFill>
                </w14:textFill>
              </w:rPr>
              <w:t>鳗鱼养殖</w:t>
            </w:r>
            <w:r>
              <w:rPr>
                <w:rFonts w:hint="eastAsia"/>
                <w:snapToGrid w:val="0"/>
                <w:color w:val="000000" w:themeColor="text1"/>
                <w:sz w:val="18"/>
                <w:szCs w:val="18"/>
                <w14:textFill>
                  <w14:solidFill>
                    <w14:schemeClr w14:val="tx1"/>
                  </w14:solidFill>
                </w14:textFill>
              </w:rPr>
              <w:t>较近，但是作为表土堆场，在落实表土袋装、遮盖拦挡措施后，不会对其造成影响。因此，选址基本合理。</w:t>
            </w:r>
          </w:p>
        </w:tc>
      </w:tr>
      <w:tr w14:paraId="0DD9A2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91" w:type="pct"/>
            <w:vAlign w:val="center"/>
          </w:tcPr>
          <w:p w14:paraId="2DB817C8">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2#</w:t>
            </w:r>
            <w:r>
              <w:rPr>
                <w:rFonts w:hint="eastAsia"/>
                <w:snapToGrid w:val="0"/>
                <w:color w:val="000000" w:themeColor="text1"/>
                <w:sz w:val="18"/>
                <w:szCs w:val="18"/>
                <w14:textFill>
                  <w14:solidFill>
                    <w14:schemeClr w14:val="tx1"/>
                  </w14:solidFill>
                </w14:textFill>
              </w:rPr>
              <w:t>表土堆场</w:t>
            </w:r>
          </w:p>
        </w:tc>
        <w:tc>
          <w:tcPr>
            <w:tcW w:w="390" w:type="pct"/>
            <w:vAlign w:val="center"/>
          </w:tcPr>
          <w:p w14:paraId="52F76F22">
            <w:pPr>
              <w:pStyle w:val="105"/>
              <w:jc w:val="center"/>
              <w:rPr>
                <w:snapToGrid w:val="0"/>
                <w:color w:val="000000" w:themeColor="text1"/>
                <w:sz w:val="18"/>
                <w:szCs w:val="18"/>
                <w14:textFill>
                  <w14:solidFill>
                    <w14:schemeClr w14:val="tx1"/>
                  </w14:solidFill>
                </w14:textFill>
              </w:rPr>
            </w:pPr>
            <w:r>
              <w:rPr>
                <w:rFonts w:eastAsia="Times New Roman" w:cs="Times New Roman"/>
                <w:snapToGrid w:val="0"/>
                <w:color w:val="000000" w:themeColor="text1"/>
                <w:spacing w:val="-1"/>
                <w:sz w:val="18"/>
                <w:szCs w:val="18"/>
                <w14:textFill>
                  <w14:solidFill>
                    <w14:schemeClr w14:val="tx1"/>
                  </w14:solidFill>
                </w14:textFill>
              </w:rPr>
              <w:t>K3+</w:t>
            </w:r>
            <w:r>
              <w:rPr>
                <w:rFonts w:eastAsia="Times New Roman" w:cs="Times New Roman"/>
                <w:snapToGrid w:val="0"/>
                <w:color w:val="000000" w:themeColor="text1"/>
                <w:spacing w:val="-2"/>
                <w:sz w:val="18"/>
                <w:szCs w:val="18"/>
                <w14:textFill>
                  <w14:solidFill>
                    <w14:schemeClr w14:val="tx1"/>
                  </w14:solidFill>
                </w14:textFill>
              </w:rPr>
              <w:t>320</w:t>
            </w:r>
            <w:r>
              <w:rPr>
                <w:rFonts w:eastAsia="Times New Roman" w:cs="Times New Roman"/>
                <w:snapToGrid w:val="0"/>
                <w:color w:val="000000" w:themeColor="text1"/>
                <w:spacing w:val="44"/>
                <w:sz w:val="18"/>
                <w:szCs w:val="18"/>
                <w14:textFill>
                  <w14:solidFill>
                    <w14:schemeClr w14:val="tx1"/>
                  </w14:solidFill>
                </w14:textFill>
              </w:rPr>
              <w:t xml:space="preserve"> </w:t>
            </w:r>
            <w:r>
              <w:rPr>
                <w:snapToGrid w:val="0"/>
                <w:color w:val="000000" w:themeColor="text1"/>
                <w:spacing w:val="-2"/>
                <w:sz w:val="18"/>
                <w:szCs w:val="18"/>
                <w14:textFill>
                  <w14:solidFill>
                    <w14:schemeClr w14:val="tx1"/>
                  </w14:solidFill>
                </w14:textFill>
              </w:rPr>
              <w:t>右侧</w:t>
            </w:r>
          </w:p>
        </w:tc>
        <w:tc>
          <w:tcPr>
            <w:tcW w:w="391" w:type="pct"/>
            <w:vAlign w:val="center"/>
          </w:tcPr>
          <w:p w14:paraId="6638FCEF">
            <w:pPr>
              <w:pStyle w:val="105"/>
              <w:jc w:val="center"/>
              <w:rPr>
                <w:snapToGrid w:val="0"/>
                <w:color w:val="000000" w:themeColor="text1"/>
                <w:sz w:val="18"/>
                <w:szCs w:val="18"/>
                <w14:textFill>
                  <w14:solidFill>
                    <w14:schemeClr w14:val="tx1"/>
                  </w14:solidFill>
                </w14:textFill>
              </w:rPr>
            </w:pPr>
            <w:r>
              <w:rPr>
                <w:rFonts w:eastAsia="Times New Roman" w:cs="Times New Roman"/>
                <w:snapToGrid w:val="0"/>
                <w:color w:val="000000" w:themeColor="text1"/>
                <w:spacing w:val="-1"/>
                <w:sz w:val="18"/>
                <w:szCs w:val="18"/>
                <w14:textFill>
                  <w14:solidFill>
                    <w14:schemeClr w14:val="tx1"/>
                  </w14:solidFill>
                </w14:textFill>
              </w:rPr>
              <w:t>0.28</w:t>
            </w:r>
          </w:p>
        </w:tc>
        <w:tc>
          <w:tcPr>
            <w:tcW w:w="470" w:type="pct"/>
            <w:vAlign w:val="center"/>
          </w:tcPr>
          <w:p w14:paraId="6DBC1F40">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pacing w:val="-7"/>
                <w:sz w:val="18"/>
                <w:szCs w:val="22"/>
                <w14:textFill>
                  <w14:solidFill>
                    <w14:schemeClr w14:val="tx1"/>
                  </w14:solidFill>
                </w14:textFill>
              </w:rPr>
              <w:t>荒草地</w:t>
            </w:r>
          </w:p>
        </w:tc>
        <w:tc>
          <w:tcPr>
            <w:tcW w:w="468" w:type="pct"/>
            <w:vAlign w:val="center"/>
          </w:tcPr>
          <w:p w14:paraId="4E34DB30">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表土堆放</w:t>
            </w:r>
          </w:p>
        </w:tc>
        <w:tc>
          <w:tcPr>
            <w:tcW w:w="1251" w:type="pct"/>
            <w:vAlign w:val="center"/>
          </w:tcPr>
          <w:p w14:paraId="3B6F3E92">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现状为</w:t>
            </w:r>
            <w:r>
              <w:rPr>
                <w:rFonts w:hint="eastAsia"/>
                <w:snapToGrid w:val="0"/>
                <w:color w:val="000000" w:themeColor="text1"/>
                <w:spacing w:val="-7"/>
                <w:sz w:val="18"/>
                <w:szCs w:val="22"/>
                <w14:textFill>
                  <w14:solidFill>
                    <w14:schemeClr w14:val="tx1"/>
                  </w14:solidFill>
                </w14:textFill>
              </w:rPr>
              <w:t>荒草地</w:t>
            </w:r>
            <w:r>
              <w:rPr>
                <w:rFonts w:hint="eastAsia"/>
                <w:snapToGrid w:val="0"/>
                <w:color w:val="000000" w:themeColor="text1"/>
                <w:sz w:val="18"/>
                <w:szCs w:val="22"/>
                <w14:textFill>
                  <w14:solidFill>
                    <w14:schemeClr w14:val="tx1"/>
                  </w14:solidFill>
                </w14:textFill>
              </w:rPr>
              <w:t>，不涉及基本农田、生态公益林、生态保护红线等生态敏感区。</w:t>
            </w:r>
          </w:p>
          <w:p w14:paraId="2D2FA892">
            <w:pPr>
              <w:pStyle w:val="105"/>
              <w:jc w:val="center"/>
              <w:rPr>
                <w:snapToGrid w:val="0"/>
                <w:color w:val="000000" w:themeColor="text1"/>
                <w:szCs w:val="18"/>
                <w14:textFill>
                  <w14:solidFill>
                    <w14:schemeClr w14:val="tx1"/>
                  </w14:solidFill>
                </w14:textFill>
              </w:rPr>
            </w:pPr>
            <w:r>
              <w:rPr>
                <w:rFonts w:hint="eastAsia"/>
                <w:snapToGrid w:val="0"/>
                <w:color w:val="000000" w:themeColor="text1"/>
                <w:sz w:val="18"/>
                <w:szCs w:val="22"/>
                <w14:textFill>
                  <w14:solidFill>
                    <w14:schemeClr w14:val="tx1"/>
                  </w14:solidFill>
                </w14:textFill>
              </w:rPr>
              <w:t>敏感目标：东南侧</w:t>
            </w:r>
            <w:r>
              <w:rPr>
                <w:snapToGrid w:val="0"/>
                <w:color w:val="000000" w:themeColor="text1"/>
                <w:sz w:val="18"/>
                <w:szCs w:val="22"/>
                <w14:textFill>
                  <w14:solidFill>
                    <w14:schemeClr w14:val="tx1"/>
                  </w14:solidFill>
                </w14:textFill>
              </w:rPr>
              <w:t>60m为</w:t>
            </w:r>
            <w:r>
              <w:rPr>
                <w:rFonts w:hint="eastAsia"/>
                <w:snapToGrid w:val="0"/>
                <w:color w:val="000000" w:themeColor="text1"/>
                <w:sz w:val="18"/>
                <w:szCs w:val="22"/>
                <w14:textFill>
                  <w14:solidFill>
                    <w14:schemeClr w14:val="tx1"/>
                  </w14:solidFill>
                </w14:textFill>
              </w:rPr>
              <w:t>西山，西侧</w:t>
            </w:r>
            <w:r>
              <w:rPr>
                <w:snapToGrid w:val="0"/>
                <w:color w:val="000000" w:themeColor="text1"/>
                <w:sz w:val="18"/>
                <w:szCs w:val="22"/>
                <w14:textFill>
                  <w14:solidFill>
                    <w14:schemeClr w14:val="tx1"/>
                  </w14:solidFill>
                </w14:textFill>
              </w:rPr>
              <w:t>34m为</w:t>
            </w:r>
            <w:r>
              <w:rPr>
                <w:rFonts w:hint="eastAsia"/>
                <w:snapToGrid w:val="0"/>
                <w:color w:val="000000" w:themeColor="text1"/>
                <w:sz w:val="18"/>
                <w:szCs w:val="22"/>
                <w14:textFill>
                  <w14:solidFill>
                    <w14:schemeClr w14:val="tx1"/>
                  </w14:solidFill>
                </w14:textFill>
              </w:rPr>
              <w:t>木厝洋，东北侧</w:t>
            </w:r>
            <w:r>
              <w:rPr>
                <w:snapToGrid w:val="0"/>
                <w:color w:val="000000" w:themeColor="text1"/>
                <w:sz w:val="18"/>
                <w:szCs w:val="22"/>
                <w14:textFill>
                  <w14:solidFill>
                    <w14:schemeClr w14:val="tx1"/>
                  </w14:solidFill>
                </w14:textFill>
              </w:rPr>
              <w:t>36m为</w:t>
            </w:r>
            <w:r>
              <w:rPr>
                <w:rFonts w:hint="eastAsia"/>
                <w:snapToGrid w:val="0"/>
                <w:color w:val="000000" w:themeColor="text1"/>
                <w:sz w:val="18"/>
                <w:szCs w:val="22"/>
                <w14:textFill>
                  <w14:solidFill>
                    <w14:schemeClr w14:val="tx1"/>
                  </w14:solidFill>
                </w14:textFill>
              </w:rPr>
              <w:t>朱里。</w:t>
            </w:r>
          </w:p>
        </w:tc>
        <w:tc>
          <w:tcPr>
            <w:tcW w:w="1639" w:type="pct"/>
            <w:vMerge w:val="restart"/>
            <w:vAlign w:val="center"/>
          </w:tcPr>
          <w:p w14:paraId="14AA6230">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根据水保方案拟定临时表土堆场，占地为</w:t>
            </w:r>
            <w:r>
              <w:rPr>
                <w:rFonts w:hint="eastAsia"/>
                <w:snapToGrid w:val="0"/>
                <w:color w:val="000000" w:themeColor="text1"/>
                <w:spacing w:val="-7"/>
                <w:sz w:val="18"/>
                <w:szCs w:val="22"/>
                <w14:textFill>
                  <w14:solidFill>
                    <w14:schemeClr w14:val="tx1"/>
                  </w14:solidFill>
                </w14:textFill>
              </w:rPr>
              <w:t>荒草地、耕地</w:t>
            </w:r>
            <w:r>
              <w:rPr>
                <w:rFonts w:hint="eastAsia"/>
                <w:snapToGrid w:val="0"/>
                <w:color w:val="000000" w:themeColor="text1"/>
                <w:sz w:val="18"/>
                <w:szCs w:val="18"/>
                <w14:textFill>
                  <w14:solidFill>
                    <w14:schemeClr w14:val="tx1"/>
                  </w14:solidFill>
                </w14:textFill>
              </w:rPr>
              <w:t>，不涉及基本农田和生态保护红线。受周边用地限制（基本农田及耕地），该表土堆场距离居民区较近，但是作为表土堆场，在落实表土袋装、遮盖拦挡措施后，对居民区影响可控，综上选址基本合理。</w:t>
            </w:r>
          </w:p>
        </w:tc>
      </w:tr>
      <w:tr w14:paraId="24E11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4" w:hRule="atLeast"/>
          <w:jc w:val="center"/>
        </w:trPr>
        <w:tc>
          <w:tcPr>
            <w:tcW w:w="391" w:type="pct"/>
            <w:vAlign w:val="center"/>
          </w:tcPr>
          <w:p w14:paraId="3320C266">
            <w:pPr>
              <w:pStyle w:val="105"/>
              <w:jc w:val="center"/>
              <w:rPr>
                <w:snapToGrid w:val="0"/>
                <w:color w:val="000000" w:themeColor="text1"/>
                <w:sz w:val="18"/>
                <w:szCs w:val="18"/>
                <w14:textFill>
                  <w14:solidFill>
                    <w14:schemeClr w14:val="tx1"/>
                  </w14:solidFill>
                </w14:textFill>
              </w:rPr>
            </w:pPr>
            <w:r>
              <w:rPr>
                <w:snapToGrid w:val="0"/>
                <w:color w:val="000000" w:themeColor="text1"/>
                <w:sz w:val="18"/>
                <w:szCs w:val="18"/>
                <w14:textFill>
                  <w14:solidFill>
                    <w14:schemeClr w14:val="tx1"/>
                  </w14:solidFill>
                </w14:textFill>
              </w:rPr>
              <w:t>3#</w:t>
            </w:r>
            <w:r>
              <w:rPr>
                <w:rFonts w:hint="eastAsia"/>
                <w:snapToGrid w:val="0"/>
                <w:color w:val="000000" w:themeColor="text1"/>
                <w:sz w:val="18"/>
                <w:szCs w:val="18"/>
                <w14:textFill>
                  <w14:solidFill>
                    <w14:schemeClr w14:val="tx1"/>
                  </w14:solidFill>
                </w14:textFill>
              </w:rPr>
              <w:t>表土堆场</w:t>
            </w:r>
          </w:p>
        </w:tc>
        <w:tc>
          <w:tcPr>
            <w:tcW w:w="390" w:type="pct"/>
            <w:vAlign w:val="center"/>
          </w:tcPr>
          <w:p w14:paraId="6C2C034D">
            <w:pPr>
              <w:pStyle w:val="105"/>
              <w:jc w:val="center"/>
              <w:rPr>
                <w:snapToGrid w:val="0"/>
                <w:color w:val="000000" w:themeColor="text1"/>
                <w:sz w:val="18"/>
                <w:szCs w:val="18"/>
                <w14:textFill>
                  <w14:solidFill>
                    <w14:schemeClr w14:val="tx1"/>
                  </w14:solidFill>
                </w14:textFill>
              </w:rPr>
            </w:pPr>
            <w:r>
              <w:rPr>
                <w:rFonts w:eastAsia="Times New Roman" w:cs="Times New Roman"/>
                <w:snapToGrid w:val="0"/>
                <w:color w:val="000000" w:themeColor="text1"/>
                <w:sz w:val="18"/>
                <w:szCs w:val="18"/>
                <w14:textFill>
                  <w14:solidFill>
                    <w14:schemeClr w14:val="tx1"/>
                  </w14:solidFill>
                </w14:textFill>
              </w:rPr>
              <w:t xml:space="preserve">LK0+090 </w:t>
            </w:r>
            <w:r>
              <w:rPr>
                <w:snapToGrid w:val="0"/>
                <w:color w:val="000000" w:themeColor="text1"/>
                <w:sz w:val="18"/>
                <w:szCs w:val="18"/>
                <w14:textFill>
                  <w14:solidFill>
                    <w14:schemeClr w14:val="tx1"/>
                  </w14:solidFill>
                </w14:textFill>
              </w:rPr>
              <w:t>右侧</w:t>
            </w:r>
          </w:p>
        </w:tc>
        <w:tc>
          <w:tcPr>
            <w:tcW w:w="391" w:type="pct"/>
            <w:vAlign w:val="center"/>
          </w:tcPr>
          <w:p w14:paraId="5F753802">
            <w:pPr>
              <w:pStyle w:val="105"/>
              <w:jc w:val="center"/>
              <w:rPr>
                <w:snapToGrid w:val="0"/>
                <w:color w:val="000000" w:themeColor="text1"/>
                <w:sz w:val="18"/>
                <w:szCs w:val="18"/>
                <w14:textFill>
                  <w14:solidFill>
                    <w14:schemeClr w14:val="tx1"/>
                  </w14:solidFill>
                </w14:textFill>
              </w:rPr>
            </w:pPr>
            <w:r>
              <w:rPr>
                <w:rFonts w:eastAsia="Times New Roman" w:cs="Times New Roman"/>
                <w:snapToGrid w:val="0"/>
                <w:color w:val="000000" w:themeColor="text1"/>
                <w:sz w:val="18"/>
                <w:szCs w:val="18"/>
                <w14:textFill>
                  <w14:solidFill>
                    <w14:schemeClr w14:val="tx1"/>
                  </w14:solidFill>
                </w14:textFill>
              </w:rPr>
              <w:t>0.11</w:t>
            </w:r>
          </w:p>
        </w:tc>
        <w:tc>
          <w:tcPr>
            <w:tcW w:w="470" w:type="pct"/>
            <w:vAlign w:val="center"/>
          </w:tcPr>
          <w:p w14:paraId="012100B3">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22"/>
                <w14:textFill>
                  <w14:solidFill>
                    <w14:schemeClr w14:val="tx1"/>
                  </w14:solidFill>
                </w14:textFill>
              </w:rPr>
              <w:t>耕地（旱地）</w:t>
            </w:r>
          </w:p>
        </w:tc>
        <w:tc>
          <w:tcPr>
            <w:tcW w:w="468" w:type="pct"/>
            <w:vAlign w:val="center"/>
          </w:tcPr>
          <w:p w14:paraId="1854D0A3">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表土堆放</w:t>
            </w:r>
          </w:p>
        </w:tc>
        <w:tc>
          <w:tcPr>
            <w:tcW w:w="1251" w:type="pct"/>
            <w:vAlign w:val="center"/>
          </w:tcPr>
          <w:p w14:paraId="0A7576BF">
            <w:pPr>
              <w:pStyle w:val="105"/>
              <w:jc w:val="center"/>
              <w:rPr>
                <w:snapToGrid w:val="0"/>
                <w:color w:val="000000" w:themeColor="text1"/>
                <w:sz w:val="18"/>
                <w:szCs w:val="22"/>
                <w14:textFill>
                  <w14:solidFill>
                    <w14:schemeClr w14:val="tx1"/>
                  </w14:solidFill>
                </w14:textFill>
              </w:rPr>
            </w:pPr>
            <w:r>
              <w:rPr>
                <w:rFonts w:hint="eastAsia"/>
                <w:snapToGrid w:val="0"/>
                <w:color w:val="000000" w:themeColor="text1"/>
                <w:sz w:val="18"/>
                <w:szCs w:val="22"/>
                <w14:textFill>
                  <w14:solidFill>
                    <w14:schemeClr w14:val="tx1"/>
                  </w14:solidFill>
                </w14:textFill>
              </w:rPr>
              <w:t>现状为耕地（旱地），种植，不涉及基本农田、生态公益林、生态保护红线等生态敏感区。</w:t>
            </w:r>
          </w:p>
          <w:p w14:paraId="766A2CB3">
            <w:pPr>
              <w:pStyle w:val="105"/>
              <w:jc w:val="center"/>
              <w:rPr>
                <w:snapToGrid w:val="0"/>
                <w:color w:val="000000" w:themeColor="text1"/>
                <w:sz w:val="18"/>
                <w:szCs w:val="18"/>
                <w14:textFill>
                  <w14:solidFill>
                    <w14:schemeClr w14:val="tx1"/>
                  </w14:solidFill>
                </w14:textFill>
              </w:rPr>
            </w:pPr>
            <w:r>
              <w:rPr>
                <w:rFonts w:hint="eastAsia"/>
                <w:snapToGrid w:val="0"/>
                <w:color w:val="000000" w:themeColor="text1"/>
                <w:sz w:val="18"/>
                <w:szCs w:val="18"/>
                <w14:textFill>
                  <w14:solidFill>
                    <w14:schemeClr w14:val="tx1"/>
                  </w14:solidFill>
                </w14:textFill>
              </w:rPr>
              <w:t>敏感目标：东南侧约</w:t>
            </w:r>
            <w:r>
              <w:rPr>
                <w:snapToGrid w:val="0"/>
                <w:color w:val="000000" w:themeColor="text1"/>
                <w:sz w:val="18"/>
                <w:szCs w:val="18"/>
                <w14:textFill>
                  <w14:solidFill>
                    <w14:schemeClr w14:val="tx1"/>
                  </w14:solidFill>
                </w14:textFill>
              </w:rPr>
              <w:t>75</w:t>
            </w:r>
            <w:r>
              <w:rPr>
                <w:rFonts w:hint="eastAsia"/>
                <w:snapToGrid w:val="0"/>
                <w:color w:val="000000" w:themeColor="text1"/>
                <w:sz w:val="18"/>
                <w:szCs w:val="18"/>
                <w14:textFill>
                  <w14:solidFill>
                    <w14:schemeClr w14:val="tx1"/>
                  </w14:solidFill>
                </w14:textFill>
              </w:rPr>
              <w:t>m为</w:t>
            </w:r>
            <w:r>
              <w:rPr>
                <w:rFonts w:hint="eastAsia"/>
                <w:snapToGrid w:val="0"/>
                <w:color w:val="000000" w:themeColor="text1"/>
                <w:sz w:val="18"/>
                <w:szCs w:val="22"/>
                <w14:textFill>
                  <w14:solidFill>
                    <w14:schemeClr w14:val="tx1"/>
                  </w14:solidFill>
                </w14:textFill>
              </w:rPr>
              <w:t>联华村三落厝。</w:t>
            </w:r>
          </w:p>
        </w:tc>
        <w:tc>
          <w:tcPr>
            <w:tcW w:w="1639" w:type="pct"/>
            <w:vMerge w:val="continue"/>
            <w:vAlign w:val="center"/>
          </w:tcPr>
          <w:p w14:paraId="5BE6B7B8">
            <w:pPr>
              <w:pStyle w:val="105"/>
              <w:jc w:val="center"/>
              <w:rPr>
                <w:snapToGrid w:val="0"/>
                <w:color w:val="000000" w:themeColor="text1"/>
                <w:sz w:val="18"/>
                <w:szCs w:val="18"/>
                <w14:textFill>
                  <w14:solidFill>
                    <w14:schemeClr w14:val="tx1"/>
                  </w14:solidFill>
                </w14:textFill>
              </w:rPr>
            </w:pPr>
          </w:p>
        </w:tc>
      </w:tr>
      <w:bookmarkEnd w:id="462"/>
    </w:tbl>
    <w:p w14:paraId="1F00EB08">
      <w:pPr>
        <w:pStyle w:val="124"/>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综上，本项目设置临时施工场地和表土堆场选址基本合理，考虑到施工期间施工临时</w:t>
      </w:r>
      <w:bookmarkStart w:id="464" w:name="hmcheck_584f9f06c0d548878e12e868f068382f"/>
      <w:r>
        <w:rPr>
          <w:rFonts w:hint="eastAsia"/>
          <w:color w:val="000000" w:themeColor="text1"/>
          <w:shd w:val="clear" w:fill="FFAFAA"/>
          <w14:textFill>
            <w14:solidFill>
              <w14:schemeClr w14:val="tx1"/>
            </w14:solidFill>
          </w14:textFill>
        </w:rPr>
        <w:t>占地</w:t>
      </w:r>
      <w:bookmarkEnd w:id="464"/>
      <w:r>
        <w:rPr>
          <w:rFonts w:hint="eastAsia"/>
          <w:color w:val="000000" w:themeColor="text1"/>
          <w14:textFill>
            <w14:solidFill>
              <w14:schemeClr w14:val="tx1"/>
            </w14:solidFill>
          </w14:textFill>
        </w:rPr>
        <w:t>设置存在的不确定性，施工阶段施工场地和表土堆场调整及设置要求提出原则性限制条件，主要有：</w:t>
      </w:r>
    </w:p>
    <w:p w14:paraId="054A4EF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①严禁在生态保护红线、生态公益林、基本农田和河道岸线等保护范围内设置施工场地、表土堆场等临时占地；</w:t>
      </w:r>
    </w:p>
    <w:p w14:paraId="05E183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②施工场地涉及水稳站、预制梁场等产生粉尘、高噪声设施应尽量远离居民区，否则应采取严格的粉尘和减噪措施；</w:t>
      </w:r>
    </w:p>
    <w:p w14:paraId="2F55BFB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③各类施工场地设置使用期间，施工废水经处理后回用，不得外排；</w:t>
      </w:r>
    </w:p>
    <w:p w14:paraId="3D7EFEE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④施工期废气要做到达标排放，要加强洒水降尘，水稳站粉料罐和</w:t>
      </w:r>
      <w:bookmarkStart w:id="465" w:name="hmcheck_5b9404fcbaa044d0ad681f1c233d2b1b"/>
      <w:r>
        <w:rPr>
          <w:rFonts w:hint="eastAsia"/>
          <w:color w:val="000000" w:themeColor="text1"/>
          <w:shd w:val="clear" w:fill="FFAFAA"/>
          <w14:textFill>
            <w14:solidFill>
              <w14:schemeClr w14:val="tx1"/>
            </w14:solidFill>
          </w14:textFill>
        </w:rPr>
        <w:t>拌和</w:t>
      </w:r>
      <w:bookmarkEnd w:id="465"/>
      <w:r>
        <w:rPr>
          <w:rFonts w:hint="eastAsia"/>
          <w:color w:val="000000" w:themeColor="text1"/>
          <w14:textFill>
            <w14:solidFill>
              <w14:schemeClr w14:val="tx1"/>
            </w14:solidFill>
          </w14:textFill>
        </w:rPr>
        <w:t>设备等要配备除尘净化装置；施工场地噪声要满足《建设施工场界环境噪声排放标准》的要求。</w:t>
      </w:r>
    </w:p>
    <w:p w14:paraId="2B25451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（2）施工便道</w:t>
      </w:r>
    </w:p>
    <w:p w14:paraId="60AEC4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根据项目施工图设计，初步设置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条施工便道，施工便道合理性分析详见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_Ref149555821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表3.10-2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0F165F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综上分析，项目施工便道设置基本合理，但应结合现状，严格控制施工边界，减少占地。</w:t>
      </w:r>
    </w:p>
    <w:p w14:paraId="302CC2A1">
      <w:pPr>
        <w:ind w:firstLine="480"/>
        <w:rPr>
          <w:color w:val="000000" w:themeColor="text1"/>
          <w14:textFill>
            <w14:solidFill>
              <w14:schemeClr w14:val="tx1"/>
            </w14:solidFill>
          </w14:textFill>
        </w:rPr>
      </w:pPr>
    </w:p>
    <w:p w14:paraId="26B91AE5">
      <w:pPr>
        <w:ind w:firstLine="480"/>
        <w:rPr>
          <w:color w:val="000000" w:themeColor="text1"/>
          <w14:textFill>
            <w14:solidFill>
              <w14:schemeClr w14:val="tx1"/>
            </w14:solidFill>
          </w14:textFill>
        </w:rPr>
      </w:pPr>
    </w:p>
    <w:p w14:paraId="0C5EE6E1">
      <w:pPr>
        <w:ind w:firstLine="480"/>
        <w:rPr>
          <w:color w:val="000000" w:themeColor="text1"/>
          <w14:textFill>
            <w14:solidFill>
              <w14:schemeClr w14:val="tx1"/>
            </w14:solidFill>
          </w14:textFill>
        </w:rPr>
      </w:pPr>
    </w:p>
    <w:p w14:paraId="060575B8">
      <w:pPr>
        <w:ind w:firstLine="480"/>
        <w:rPr>
          <w:color w:val="000000" w:themeColor="text1"/>
          <w14:textFill>
            <w14:solidFill>
              <w14:schemeClr w14:val="tx1"/>
            </w14:solidFill>
          </w14:textFill>
        </w:rPr>
      </w:pPr>
    </w:p>
    <w:p w14:paraId="228178EF">
      <w:pPr>
        <w:ind w:firstLine="480"/>
        <w:rPr>
          <w:color w:val="000000" w:themeColor="text1"/>
          <w14:textFill>
            <w14:solidFill>
              <w14:schemeClr w14:val="tx1"/>
            </w14:solidFill>
          </w14:textFill>
        </w:rPr>
      </w:pPr>
    </w:p>
    <w:p w14:paraId="4D9BB7C5">
      <w:pPr>
        <w:ind w:firstLine="480"/>
        <w:rPr>
          <w:color w:val="000000" w:themeColor="text1"/>
          <w14:textFill>
            <w14:solidFill>
              <w14:schemeClr w14:val="tx1"/>
            </w14:solidFill>
          </w14:textFill>
        </w:rPr>
      </w:pPr>
    </w:p>
    <w:p w14:paraId="35F394D0">
      <w:pPr>
        <w:ind w:firstLine="480"/>
        <w:rPr>
          <w:color w:val="000000" w:themeColor="text1"/>
          <w14:textFill>
            <w14:solidFill>
              <w14:schemeClr w14:val="tx1"/>
            </w14:solidFill>
          </w14:textFill>
        </w:rPr>
      </w:pPr>
    </w:p>
    <w:p w14:paraId="70C4B44A">
      <w:pPr>
        <w:pStyle w:val="87"/>
        <w:spacing w:before="120"/>
        <w:rPr>
          <w:color w:val="000000" w:themeColor="text1"/>
          <w14:textFill>
            <w14:solidFill>
              <w14:schemeClr w14:val="tx1"/>
            </w14:solidFill>
          </w14:textFill>
        </w:rPr>
      </w:pPr>
      <w:bookmarkStart w:id="466" w:name="_Ref149555821"/>
      <w:r>
        <w:rPr>
          <w:rFonts w:hint="eastAsia"/>
          <w:color w:val="000000" w:themeColor="text1"/>
          <w14:textFill>
            <w14:solidFill>
              <w14:schemeClr w14:val="tx1"/>
            </w14:solidFill>
          </w14:textFill>
        </w:rPr>
        <w:t>施工便道设置合理性分析</w:t>
      </w:r>
      <w:bookmarkEnd w:id="466"/>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277"/>
        <w:gridCol w:w="992"/>
        <w:gridCol w:w="851"/>
        <w:gridCol w:w="4673"/>
        <w:gridCol w:w="1277"/>
      </w:tblGrid>
      <w:tr w14:paraId="6262F3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73" w:hRule="atLeast"/>
          <w:tblHeader/>
          <w:jc w:val="center"/>
        </w:trPr>
        <w:tc>
          <w:tcPr>
            <w:tcW w:w="704" w:type="pct"/>
            <w:vAlign w:val="center"/>
          </w:tcPr>
          <w:p w14:paraId="07FC218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项目名称</w:t>
            </w:r>
          </w:p>
        </w:tc>
        <w:tc>
          <w:tcPr>
            <w:tcW w:w="547" w:type="pct"/>
            <w:vAlign w:val="center"/>
          </w:tcPr>
          <w:p w14:paraId="4A9DC78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功能</w:t>
            </w:r>
          </w:p>
        </w:tc>
        <w:tc>
          <w:tcPr>
            <w:tcW w:w="469" w:type="pct"/>
            <w:vAlign w:val="center"/>
          </w:tcPr>
          <w:p w14:paraId="5CA1006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桩号</w:t>
            </w:r>
          </w:p>
        </w:tc>
        <w:tc>
          <w:tcPr>
            <w:tcW w:w="2576" w:type="pct"/>
            <w:vAlign w:val="center"/>
          </w:tcPr>
          <w:p w14:paraId="08D1D42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合理性分析</w:t>
            </w:r>
          </w:p>
        </w:tc>
        <w:tc>
          <w:tcPr>
            <w:tcW w:w="704" w:type="pct"/>
            <w:vAlign w:val="center"/>
          </w:tcPr>
          <w:p w14:paraId="16AE341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调整建议</w:t>
            </w:r>
          </w:p>
        </w:tc>
      </w:tr>
      <w:tr w14:paraId="5352BDA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9" w:hRule="atLeast"/>
          <w:tblHeader/>
          <w:jc w:val="center"/>
        </w:trPr>
        <w:tc>
          <w:tcPr>
            <w:tcW w:w="704" w:type="pct"/>
            <w:vAlign w:val="center"/>
          </w:tcPr>
          <w:p w14:paraId="6299D54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1#施工便道</w:t>
            </w:r>
          </w:p>
        </w:tc>
        <w:tc>
          <w:tcPr>
            <w:tcW w:w="547" w:type="pct"/>
            <w:vAlign w:val="center"/>
          </w:tcPr>
          <w:p w14:paraId="740A353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1#表土堆场</w:t>
            </w:r>
            <w:r>
              <w:rPr>
                <w:rFonts w:hint="eastAsia"/>
                <w:color w:val="000000" w:themeColor="text1"/>
                <w14:textFill>
                  <w14:solidFill>
                    <w14:schemeClr w14:val="tx1"/>
                  </w14:solidFill>
                </w14:textFill>
              </w:rPr>
              <w:t>施工便道</w:t>
            </w:r>
          </w:p>
        </w:tc>
        <w:tc>
          <w:tcPr>
            <w:tcW w:w="469" w:type="pct"/>
            <w:vAlign w:val="center"/>
          </w:tcPr>
          <w:p w14:paraId="2F3DD2A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K0+660右侧</w:t>
            </w:r>
          </w:p>
        </w:tc>
        <w:tc>
          <w:tcPr>
            <w:tcW w:w="2576" w:type="pct"/>
            <w:vAlign w:val="center"/>
          </w:tcPr>
          <w:p w14:paraId="47F4A74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位于</w:t>
            </w:r>
            <w:r>
              <w:rPr>
                <w:color w:val="000000" w:themeColor="text1"/>
                <w14:textFill>
                  <w14:solidFill>
                    <w14:schemeClr w14:val="tx1"/>
                  </w14:solidFill>
                </w14:textFill>
              </w:rPr>
              <w:t>K0+660右侧，</w:t>
            </w:r>
            <w:r>
              <w:rPr>
                <w:rFonts w:hint="eastAsia"/>
                <w:color w:val="000000" w:themeColor="text1"/>
                <w14:textFill>
                  <w14:solidFill>
                    <w14:schemeClr w14:val="tx1"/>
                  </w14:solidFill>
                </w14:textFill>
              </w:rPr>
              <w:t>拟建公路连接</w:t>
            </w:r>
            <w:r>
              <w:rPr>
                <w:color w:val="000000" w:themeColor="text1"/>
                <w14:textFill>
                  <w14:solidFill>
                    <w14:schemeClr w14:val="tx1"/>
                  </w14:solidFill>
                </w14:textFill>
              </w:rPr>
              <w:t>1#表土堆场</w:t>
            </w:r>
            <w:r>
              <w:rPr>
                <w:rFonts w:hint="eastAsia"/>
                <w:color w:val="000000" w:themeColor="text1"/>
                <w14:textFill>
                  <w14:solidFill>
                    <w14:schemeClr w14:val="tx1"/>
                  </w14:solidFill>
                </w14:textFill>
              </w:rPr>
              <w:t>，利用现有道路机耕道拓宽作为施工便道，</w:t>
            </w:r>
            <w:r>
              <w:rPr>
                <w:color w:val="000000" w:themeColor="text1"/>
                <w14:textFill>
                  <w14:solidFill>
                    <w14:schemeClr w14:val="tx1"/>
                  </w14:solidFill>
                </w14:textFill>
              </w:rPr>
              <w:t>施工结束使用后，</w:t>
            </w:r>
            <w:r>
              <w:rPr>
                <w:rFonts w:hint="eastAsia"/>
                <w:color w:val="000000" w:themeColor="text1"/>
                <w14:textFill>
                  <w14:solidFill>
                    <w14:schemeClr w14:val="tx1"/>
                  </w14:solidFill>
                </w14:textFill>
              </w:rPr>
              <w:t>进行路面整治并</w:t>
            </w:r>
            <w:bookmarkStart w:id="467" w:name="hmcheck_cd81c5a34dae4f7fba8bb4bbf1c61b46"/>
            <w:r>
              <w:rPr>
                <w:rFonts w:hint="eastAsia"/>
                <w:color w:val="000000" w:themeColor="text1"/>
                <w:shd w:val="clear" w:fill="FFAFAA"/>
                <w14:textFill>
                  <w14:solidFill>
                    <w14:schemeClr w14:val="tx1"/>
                  </w14:solidFill>
                </w14:textFill>
              </w:rPr>
              <w:t>恢复至</w:t>
            </w:r>
            <w:bookmarkEnd w:id="467"/>
            <w:r>
              <w:rPr>
                <w:rFonts w:hint="eastAsia"/>
                <w:color w:val="000000" w:themeColor="text1"/>
                <w14:textFill>
                  <w14:solidFill>
                    <w14:schemeClr w14:val="tx1"/>
                  </w14:solidFill>
                </w14:textFill>
              </w:rPr>
              <w:t>原地貌。</w:t>
            </w:r>
          </w:p>
        </w:tc>
        <w:tc>
          <w:tcPr>
            <w:tcW w:w="704" w:type="pct"/>
            <w:vAlign w:val="center"/>
          </w:tcPr>
          <w:p w14:paraId="721282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F8C1A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50" w:hRule="atLeast"/>
          <w:tblHeader/>
          <w:jc w:val="center"/>
        </w:trPr>
        <w:tc>
          <w:tcPr>
            <w:tcW w:w="704" w:type="pct"/>
            <w:vAlign w:val="center"/>
          </w:tcPr>
          <w:p w14:paraId="1213297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2#施工便道</w:t>
            </w:r>
          </w:p>
        </w:tc>
        <w:tc>
          <w:tcPr>
            <w:tcW w:w="547" w:type="pct"/>
            <w:vAlign w:val="center"/>
          </w:tcPr>
          <w:p w14:paraId="41AFD17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终点及</w:t>
            </w:r>
            <w:r>
              <w:rPr>
                <w:color w:val="000000" w:themeColor="text1"/>
                <w14:textFill>
                  <w14:solidFill>
                    <w14:schemeClr w14:val="tx1"/>
                  </w14:solidFill>
                </w14:textFill>
              </w:rPr>
              <w:t>3#表土堆场</w:t>
            </w:r>
            <w:r>
              <w:rPr>
                <w:rFonts w:hint="eastAsia"/>
                <w:color w:val="000000" w:themeColor="text1"/>
                <w14:textFill>
                  <w14:solidFill>
                    <w14:schemeClr w14:val="tx1"/>
                  </w14:solidFill>
                </w14:textFill>
              </w:rPr>
              <w:t>施工便道</w:t>
            </w:r>
          </w:p>
        </w:tc>
        <w:tc>
          <w:tcPr>
            <w:tcW w:w="469" w:type="pct"/>
            <w:vAlign w:val="center"/>
          </w:tcPr>
          <w:p w14:paraId="7E404EB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终点</w:t>
            </w:r>
            <w:r>
              <w:rPr>
                <w:color w:val="000000" w:themeColor="text1"/>
                <w14:textFill>
                  <w14:solidFill>
                    <w14:schemeClr w14:val="tx1"/>
                  </w14:solidFill>
                </w14:textFill>
              </w:rPr>
              <w:t>右侧</w:t>
            </w:r>
          </w:p>
        </w:tc>
        <w:tc>
          <w:tcPr>
            <w:tcW w:w="2576" w:type="pct"/>
            <w:vAlign w:val="center"/>
          </w:tcPr>
          <w:p w14:paraId="75026B1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位于终点，连接枝钟路，利用现有道路机耕道，</w:t>
            </w:r>
            <w:r>
              <w:rPr>
                <w:color w:val="000000" w:themeColor="text1"/>
                <w14:textFill>
                  <w14:solidFill>
                    <w14:schemeClr w14:val="tx1"/>
                  </w14:solidFill>
                </w14:textFill>
              </w:rPr>
              <w:t>现状主要为</w:t>
            </w:r>
            <w:r>
              <w:rPr>
                <w:rFonts w:hint="eastAsia"/>
                <w:color w:val="000000" w:themeColor="text1"/>
                <w14:textFill>
                  <w14:solidFill>
                    <w14:schemeClr w14:val="tx1"/>
                  </w14:solidFill>
                </w14:textFill>
              </w:rPr>
              <w:t>园地拓宽作为施工便道，</w:t>
            </w:r>
            <w:r>
              <w:rPr>
                <w:color w:val="000000" w:themeColor="text1"/>
                <w14:textFill>
                  <w14:solidFill>
                    <w14:schemeClr w14:val="tx1"/>
                  </w14:solidFill>
                </w14:textFill>
              </w:rPr>
              <w:t>施工结束使用后，</w:t>
            </w:r>
            <w:r>
              <w:rPr>
                <w:rFonts w:hint="eastAsia"/>
                <w:color w:val="000000" w:themeColor="text1"/>
                <w14:textFill>
                  <w14:solidFill>
                    <w14:schemeClr w14:val="tx1"/>
                  </w14:solidFill>
                </w14:textFill>
              </w:rPr>
              <w:t>进行路面整治并</w:t>
            </w:r>
            <w:bookmarkStart w:id="468" w:name="hmcheck_cf0c5034a8814f3e98d51501d923ae01"/>
            <w:r>
              <w:rPr>
                <w:rFonts w:hint="eastAsia"/>
                <w:color w:val="000000" w:themeColor="text1"/>
                <w:shd w:val="clear" w:fill="FFAFAA"/>
                <w14:textFill>
                  <w14:solidFill>
                    <w14:schemeClr w14:val="tx1"/>
                  </w14:solidFill>
                </w14:textFill>
              </w:rPr>
              <w:t>恢复至</w:t>
            </w:r>
            <w:bookmarkEnd w:id="468"/>
            <w:r>
              <w:rPr>
                <w:rFonts w:hint="eastAsia"/>
                <w:color w:val="000000" w:themeColor="text1"/>
                <w14:textFill>
                  <w14:solidFill>
                    <w14:schemeClr w14:val="tx1"/>
                  </w14:solidFill>
                </w14:textFill>
              </w:rPr>
              <w:t>原地貌，后期按照规划进行建设。</w:t>
            </w:r>
          </w:p>
        </w:tc>
        <w:tc>
          <w:tcPr>
            <w:tcW w:w="704" w:type="pct"/>
            <w:vAlign w:val="center"/>
          </w:tcPr>
          <w:p w14:paraId="3A7F8CC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bl>
    <w:p w14:paraId="2806B5E9">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路由与</w:t>
      </w:r>
      <w:r>
        <w:rPr>
          <w:color w:val="000000" w:themeColor="text1"/>
          <w14:textFill>
            <w14:solidFill>
              <w14:schemeClr w14:val="tx1"/>
            </w14:solidFill>
          </w14:textFill>
        </w:rPr>
        <w:t>生态公益林</w:t>
      </w:r>
      <w:r>
        <w:rPr>
          <w:rFonts w:hint="eastAsia"/>
          <w:color w:val="000000" w:themeColor="text1"/>
          <w14:textFill>
            <w14:solidFill>
              <w14:schemeClr w14:val="tx1"/>
            </w14:solidFill>
          </w14:textFill>
        </w:rPr>
        <w:t>保护要求</w:t>
      </w:r>
      <w:r>
        <w:rPr>
          <w:color w:val="000000" w:themeColor="text1"/>
          <w14:textFill>
            <w14:solidFill>
              <w14:schemeClr w14:val="tx1"/>
            </w14:solidFill>
          </w14:textFill>
        </w:rPr>
        <w:t>符合性分析</w:t>
      </w:r>
    </w:p>
    <w:p w14:paraId="34537E9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根据《建设项目使用林地审核审批管理办法》（</w:t>
      </w:r>
      <w:bookmarkStart w:id="469" w:name="hmcheck_92f38639186349a0b93a142ca1ff689b"/>
      <w:r>
        <w:rPr>
          <w:rFonts w:hint="eastAsia"/>
          <w:color w:val="000000" w:themeColor="text1"/>
          <w:shd w:val="clear" w:fill="B2E9BC"/>
          <w:lang w:eastAsia="zh-CN"/>
          <w14:textFill>
            <w14:solidFill>
              <w14:schemeClr w14:val="tx1"/>
            </w14:solidFill>
          </w14:textFill>
        </w:rPr>
        <w:t>国家林业和草原局</w:t>
      </w:r>
      <w:bookmarkEnd w:id="469"/>
      <w:r>
        <w:rPr>
          <w:rFonts w:hint="eastAsia"/>
          <w:color w:val="000000" w:themeColor="text1"/>
          <w14:textFill>
            <w14:solidFill>
              <w14:schemeClr w14:val="tx1"/>
            </w14:solidFill>
          </w14:textFill>
        </w:rPr>
        <w:t>第35号令）要求，其中“第四条占用和临时占用林地的建设项目应当遵守林地分级管理的规定：（二）国务院批准、同意的建设项目，国务院有关部门和省级人民政府及其有关部门批准的基础设施、公共事业、民生建设项目，可以使用Ⅱ级及其以下保护林地。”</w:t>
      </w:r>
    </w:p>
    <w:p w14:paraId="19C1A4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国家级公益林管理办法》（2017年4月28日）：第九条“严格控制勘查、开采矿藏和工程建设使用国家级公益林地。确需使用的，严格按照《建设项目使用林地审核审批管理办法》有关规定办理使用林地手续。涉及林木采伐的，按相关规定依法办理林木采伐手续。经审核审批同意使用的国家级公益林地，可按照本办法第十八条、第十九条的规定实行占补平衡，并按本办法第二十三条的规定报告</w:t>
      </w:r>
      <w:bookmarkStart w:id="470" w:name="hmcheck_79a9a2e650c6417090928ed72e74e7b3"/>
      <w:r>
        <w:rPr>
          <w:rFonts w:hint="eastAsia"/>
          <w:color w:val="000000" w:themeColor="text1"/>
          <w:shd w:val="clear" w:fill="B2E9BC"/>
          <w:lang w:eastAsia="zh-CN"/>
          <w14:textFill>
            <w14:solidFill>
              <w14:schemeClr w14:val="tx1"/>
            </w14:solidFill>
          </w14:textFill>
        </w:rPr>
        <w:t>国家林业和草原局</w:t>
      </w:r>
      <w:bookmarkEnd w:id="470"/>
      <w:r>
        <w:rPr>
          <w:rFonts w:hint="eastAsia"/>
          <w:color w:val="000000" w:themeColor="text1"/>
          <w14:textFill>
            <w14:solidFill>
              <w14:schemeClr w14:val="tx1"/>
            </w14:solidFill>
          </w14:textFill>
        </w:rPr>
        <w:t>和财政部。”</w:t>
      </w:r>
    </w:p>
    <w:p w14:paraId="76B3DD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协调性分析：</w:t>
      </w:r>
      <w:r>
        <w:rPr>
          <w:rFonts w:hint="eastAsia"/>
          <w:color w:val="000000" w:themeColor="text1"/>
          <w:szCs w:val="24"/>
          <w14:textFill>
            <w14:solidFill>
              <w14:schemeClr w14:val="tx1"/>
            </w14:solidFill>
          </w14:textFill>
        </w:rPr>
        <w:t>本工程</w:t>
      </w:r>
      <w:r>
        <w:rPr>
          <w:rFonts w:hint="eastAsia"/>
          <w:color w:val="000000" w:themeColor="text1"/>
          <w14:textFill>
            <w14:solidFill>
              <w14:schemeClr w14:val="tx1"/>
            </w14:solidFill>
          </w14:textFill>
        </w:rPr>
        <w:t>用地</w:t>
      </w:r>
      <w:r>
        <w:rPr>
          <w:color w:val="000000" w:themeColor="text1"/>
          <w14:textFill>
            <w14:solidFill>
              <w14:schemeClr w14:val="tx1"/>
            </w14:solidFill>
          </w14:textFill>
        </w:rPr>
        <w:t>不可避免</w:t>
      </w:r>
      <w:r>
        <w:rPr>
          <w:rFonts w:hint="eastAsia"/>
          <w:color w:val="000000" w:themeColor="text1"/>
          <w14:textFill>
            <w14:solidFill>
              <w14:schemeClr w14:val="tx1"/>
            </w14:solidFill>
          </w14:textFill>
        </w:rPr>
        <w:t>地</w:t>
      </w:r>
      <w:r>
        <w:rPr>
          <w:color w:val="000000" w:themeColor="text1"/>
          <w14:textFill>
            <w14:solidFill>
              <w14:schemeClr w14:val="tx1"/>
            </w14:solidFill>
          </w14:textFill>
        </w:rPr>
        <w:t>占用到</w:t>
      </w:r>
      <w:r>
        <w:rPr>
          <w:rFonts w:hint="eastAsia"/>
          <w:color w:val="000000" w:themeColor="text1"/>
          <w14:textFill>
            <w14:solidFill>
              <w14:schemeClr w14:val="tx1"/>
            </w14:solidFill>
          </w14:textFill>
        </w:rPr>
        <w:t>生态公益林（国家二级），面积共</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工程作为</w:t>
      </w:r>
      <w:r>
        <w:rPr>
          <w:rFonts w:hint="eastAsia"/>
          <w:color w:val="000000" w:themeColor="text1"/>
          <w14:textFill>
            <w14:solidFill>
              <w14:schemeClr w14:val="tx1"/>
            </w14:solidFill>
          </w14:textFill>
        </w:rPr>
        <w:t>区域交通基础设施</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占用生态公益林面积相对福清市总体比例很小，不会损害其主导生态功能的持续发挥，对其整体生态服务能力影响不大；同时通过现场调查，拟建公路周边林区附近有与拟占用生态公益林结构类似或更优的相同植被类型的分布，经“占一补一”后，区域生态公益林的生态服务能力不会有较大变化。202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月</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日，福建省林业局批复了使用林地审核同意书（附件</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），同意本项目使用林地。因此，本项目符合</w:t>
      </w:r>
      <w:r>
        <w:rPr>
          <w:color w:val="000000" w:themeColor="text1"/>
          <w14:textFill>
            <w14:solidFill>
              <w14:schemeClr w14:val="tx1"/>
            </w14:solidFill>
          </w14:textFill>
        </w:rPr>
        <w:t>生态公益林</w:t>
      </w:r>
      <w:r>
        <w:rPr>
          <w:rFonts w:hint="eastAsia"/>
          <w:color w:val="000000" w:themeColor="text1"/>
          <w14:textFill>
            <w14:solidFill>
              <w14:schemeClr w14:val="tx1"/>
            </w14:solidFill>
          </w14:textFill>
        </w:rPr>
        <w:t>保护要求。</w:t>
      </w:r>
    </w:p>
    <w:p w14:paraId="26DF0D71">
      <w:pPr>
        <w:pStyle w:val="118"/>
        <w:rPr>
          <w:color w:val="000000" w:themeColor="text1"/>
          <w14:textFill>
            <w14:solidFill>
              <w14:schemeClr w14:val="tx1"/>
            </w14:solidFill>
          </w14:textFill>
        </w:rPr>
      </w:pPr>
      <w:bookmarkStart w:id="471" w:name="_Hlk143545967"/>
      <w:r>
        <w:rPr>
          <w:rFonts w:hint="eastAsia"/>
          <w:color w:val="000000" w:themeColor="text1"/>
          <w14:textFill>
            <w14:solidFill>
              <w14:schemeClr w14:val="tx1"/>
            </w14:solidFill>
          </w14:textFill>
        </w:rPr>
        <w:t>路由与福建省古树名木保护条例的协调性分析</w:t>
      </w:r>
    </w:p>
    <w:p w14:paraId="1293D6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根据《福建省古树名木保护管理办法》（福建省人民政府令第</w:t>
      </w:r>
      <w:r>
        <w:rPr>
          <w:color w:val="000000" w:themeColor="text1"/>
          <w14:textFill>
            <w14:solidFill>
              <w14:schemeClr w14:val="tx1"/>
            </w14:solidFill>
          </w14:textFill>
        </w:rPr>
        <w:t>217</w:t>
      </w:r>
      <w:r>
        <w:rPr>
          <w:rFonts w:hint="eastAsia"/>
          <w:color w:val="000000" w:themeColor="text1"/>
          <w14:textFill>
            <w14:solidFill>
              <w14:schemeClr w14:val="tx1"/>
            </w14:solidFill>
          </w14:textFill>
        </w:rPr>
        <w:t>号，</w:t>
      </w:r>
      <w:r>
        <w:rPr>
          <w:color w:val="000000" w:themeColor="text1"/>
          <w14:textFill>
            <w14:solidFill>
              <w14:schemeClr w14:val="tx1"/>
            </w14:solidFill>
          </w14:textFill>
        </w:rPr>
        <w:t>2021</w:t>
      </w:r>
      <w:r>
        <w:rPr>
          <w:rFonts w:hint="eastAsia"/>
          <w:color w:val="000000" w:themeColor="text1"/>
          <w14:textFill>
            <w14:solidFill>
              <w14:schemeClr w14:val="tx1"/>
            </w14:solidFill>
          </w14:textFill>
        </w:rPr>
        <w:t>年）相关保护内容：“第二十七条古树名木按照不小于树冠垂直投影外5米划定保护范围。</w:t>
      </w:r>
      <w:r>
        <w:rPr>
          <w:rFonts w:hint="eastAsia"/>
          <w:b/>
          <w:bCs/>
          <w:color w:val="000000" w:themeColor="text1"/>
          <w14:textFill>
            <w14:solidFill>
              <w14:schemeClr w14:val="tx1"/>
            </w14:solidFill>
          </w14:textFill>
        </w:rPr>
        <w:t>第二十九条</w:t>
      </w:r>
      <w:r>
        <w:rPr>
          <w:rFonts w:hint="eastAsia"/>
          <w:color w:val="000000" w:themeColor="text1"/>
          <w14:textFill>
            <w14:solidFill>
              <w14:schemeClr w14:val="tx1"/>
            </w14:solidFill>
          </w14:textFill>
        </w:rPr>
        <w:t>　禁止在古树名木保护范围内新建、扩建建筑物或者构筑物。国家和省重点基础设施、民生保障以及公共事业项目确需在古树名木保护范围内进行建设施工，无法避让的，建设单位应当在施工前制定古树名木保护方案，并报所在地县级人民政府古树名木主管部门备案。县级人民政府古树名木主管部门应当对保护方案的制定和落实进行指导、监督。第三十条　有下列情形之一的，可以申请对古树名木进行移植，实行异地保护：（一）生存环境已不适宜古树名木继续生长，可能导致古树名木死亡的；（二）古树名木的生长状况对公众生命、财产安全可能造成危害，且采取防护措施后仍无法消除隐患的； （三）因国家和省重点基础设施、民生保障及公共事业项目建设确实无法避让的。移植古树名木应当制定移植方案，并依法审批。第三十一条　移植古树名木应当落实移植费用以及移植后不少于5年的养护费用，属于本办法第三十条第一款第一项、第二项情形的，由县级人民政府承担；属于本办法第三十条第一款第三项情形的，由申请移植人承担。”</w:t>
      </w:r>
    </w:p>
    <w:p w14:paraId="644D0553">
      <w:pPr>
        <w:ind w:firstLine="482"/>
        <w:rPr>
          <w:bCs/>
          <w:color w:val="000000" w:themeColor="text1"/>
          <w14:textFill>
            <w14:solidFill>
              <w14:schemeClr w14:val="tx1"/>
            </w14:solidFill>
          </w14:textFill>
        </w:rPr>
      </w:pPr>
      <w:r>
        <w:rPr>
          <w:rFonts w:hint="eastAsia"/>
          <w:b/>
          <w:color w:val="000000" w:themeColor="text1"/>
          <w14:textFill>
            <w14:solidFill>
              <w14:schemeClr w14:val="tx1"/>
            </w14:solidFill>
          </w14:textFill>
        </w:rPr>
        <w:t>符合性分析：</w:t>
      </w:r>
      <w:r>
        <w:rPr>
          <w:rFonts w:hint="eastAsia"/>
          <w:bCs/>
          <w:color w:val="000000" w:themeColor="text1"/>
          <w14:textFill>
            <w14:solidFill>
              <w14:schemeClr w14:val="tx1"/>
            </w14:solidFill>
          </w14:textFill>
        </w:rPr>
        <w:t>根据调查，项目占地红线范围内不涉及挂牌古树名木</w:t>
      </w:r>
      <w:r>
        <w:rPr>
          <w:rFonts w:hint="eastAsia"/>
          <w:color w:val="000000" w:themeColor="text1"/>
          <w14:textFill>
            <w14:solidFill>
              <w14:schemeClr w14:val="tx1"/>
            </w14:solidFill>
          </w14:textFill>
        </w:rPr>
        <w:t>，施工场地、表土堆场和施工便道等临时占地周边亦不涉及古树名木，但项目3</w:t>
      </w:r>
      <w:r>
        <w:rPr>
          <w:color w:val="000000" w:themeColor="text1"/>
          <w14:textFill>
            <w14:solidFill>
              <w14:schemeClr w14:val="tx1"/>
            </w14:solidFill>
          </w14:textFill>
        </w:rPr>
        <w:t>00</w:t>
      </w:r>
      <w:r>
        <w:rPr>
          <w:rFonts w:hint="eastAsia"/>
          <w:color w:val="000000" w:themeColor="text1"/>
          <w14:textFill>
            <w14:solidFill>
              <w14:schemeClr w14:val="tx1"/>
            </w14:solidFill>
          </w14:textFill>
        </w:rPr>
        <w:t>m评价范围内涉及</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株挂牌古树，最近距离本项目用地红线为</w:t>
      </w:r>
      <w:r>
        <w:rPr>
          <w:color w:val="000000" w:themeColor="text1"/>
          <w14:textFill>
            <w14:solidFill>
              <w14:schemeClr w14:val="tx1"/>
            </w14:solidFill>
          </w14:textFill>
        </w:rPr>
        <w:t>90</w:t>
      </w:r>
      <w:r>
        <w:rPr>
          <w:rFonts w:hint="eastAsia"/>
          <w:color w:val="000000" w:themeColor="text1"/>
          <w14:textFill>
            <w14:solidFill>
              <w14:schemeClr w14:val="tx1"/>
            </w14:solidFill>
          </w14:textFill>
        </w:rPr>
        <w:t>m，并且远离项目各类临时占地，因此，项目实施时严格施工边界，不会对区域古树名木造成影响，</w:t>
      </w:r>
      <w:r>
        <w:rPr>
          <w:rFonts w:hint="eastAsia"/>
          <w:bCs/>
          <w:color w:val="000000" w:themeColor="text1"/>
          <w14:textFill>
            <w14:solidFill>
              <w14:schemeClr w14:val="tx1"/>
            </w14:solidFill>
          </w14:textFill>
        </w:rPr>
        <w:t>项目建设</w:t>
      </w:r>
      <w:r>
        <w:rPr>
          <w:bCs/>
          <w:color w:val="000000" w:themeColor="text1"/>
          <w14:textFill>
            <w14:solidFill>
              <w14:schemeClr w14:val="tx1"/>
            </w14:solidFill>
          </w14:textFill>
        </w:rPr>
        <w:t>与</w:t>
      </w:r>
      <w:r>
        <w:rPr>
          <w:rFonts w:hint="eastAsia"/>
          <w:bCs/>
          <w:color w:val="000000" w:themeColor="text1"/>
          <w14:textFill>
            <w14:solidFill>
              <w14:schemeClr w14:val="tx1"/>
            </w14:solidFill>
          </w14:textFill>
        </w:rPr>
        <w:t>《福建省古树名木保护管理办法》可以</w:t>
      </w:r>
      <w:r>
        <w:rPr>
          <w:bCs/>
          <w:color w:val="000000" w:themeColor="text1"/>
          <w14:textFill>
            <w14:solidFill>
              <w14:schemeClr w14:val="tx1"/>
            </w14:solidFill>
          </w14:textFill>
        </w:rPr>
        <w:t>协调。</w:t>
      </w:r>
    </w:p>
    <w:bookmarkEnd w:id="471"/>
    <w:p w14:paraId="73E1F14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路由与湿地保护符合性分析</w:t>
      </w:r>
    </w:p>
    <w:p w14:paraId="4B1295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（1）湿地保护相关规定</w:t>
      </w:r>
    </w:p>
    <w:p w14:paraId="3340945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2021年12月24日，中华人民共和国第十三届全国人民代表大会常务委员会第三十二次会议通过《中华人民共和国湿地保护法》，自2022年6月1日起施行。《中华人民共和国湿地保护法》第十九条提出：“国家严格控制占用湿地。禁止占用国家重要湿地，国家重大项目、防灾减灾项目、重要水利及保护设施项目、湿地保护项目等除外。建设项目选址、选线应当避让湿地，无法避让的应当尽量减少占用，并采取必要措施减轻对湿地生态功能的不利影响。建设项目规划选址、选线审批或者核准时，涉及国家重要湿地的，应当征求国务院林业草原主管部门的意见；涉及省级重要湿地或者一般湿地的，应当按照管理权限，征求县级以上地方人民政府授权的部门的意见。”</w:t>
      </w:r>
    </w:p>
    <w:p w14:paraId="6EEE5B5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建省湿地保护条例》（2022年11月24日修订）第十七条“建设项目选址、选线应当避让湿地，无法避让的应当尽量减少占用，并采取必要措施减轻对湿地生态功能的不利影响。建设项目规划选址、选线审批或者核准时，涉及省级重要湿地的，应当按照管理权限，征求省人民政府授权部门的意见，在省人民政府授权部门出具意见前，应当组织湿地保护专家论证；涉及一般湿地的，应当按照管理权限，征求县级人民政府授权部门的意见。”</w:t>
      </w:r>
    </w:p>
    <w:p w14:paraId="231F1D4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（2）符合性分析</w:t>
      </w:r>
    </w:p>
    <w:p w14:paraId="6A2357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本项目为公路工程，根据《</w:t>
      </w:r>
      <w:r>
        <w:rPr>
          <w:rFonts w:cs="Times New Roman"/>
          <w:color w:val="000000" w:themeColor="text1"/>
          <w:kern w:val="0"/>
          <w:szCs w:val="24"/>
          <w:lang w:val="zh-CN"/>
          <w14:textFill>
            <w14:solidFill>
              <w14:schemeClr w14:val="tx1"/>
            </w14:solidFill>
          </w14:textFill>
        </w:rPr>
        <w:t>黄檗山万福寺旅游公路项目对福清市一般湿地生态功能影响评价报告》及叠图分析，该项目涉及占用一般湿地面积9060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（其中：一般湿地名录面积697</w:t>
      </w:r>
      <w:r>
        <w:rPr>
          <w:rFonts w:hint="eastAsia" w:cs="Times New Roman"/>
          <w:color w:val="000000" w:themeColor="text1"/>
          <w:kern w:val="0"/>
          <w:szCs w:val="24"/>
          <w:lang w:val="zh-CN"/>
          <w14:textFill>
            <w14:solidFill>
              <w14:schemeClr w14:val="tx1"/>
            </w14:solidFill>
          </w14:textFill>
        </w:rPr>
        <w:t xml:space="preserve"> 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），类型为沟渠、河流水面、坑塘水面和内陆滩涂</w:t>
      </w: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_Ref192516652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），未占用国家重要湿地。</w:t>
      </w:r>
    </w:p>
    <w:p w14:paraId="1263FD8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cs="Times New Roman"/>
          <w:color w:val="000000" w:themeColor="text1"/>
          <w:kern w:val="0"/>
          <w:szCs w:val="24"/>
          <w:lang w:val="zh-CN"/>
          <w14:textFill>
            <w14:solidFill>
              <w14:schemeClr w14:val="tx1"/>
            </w14:solidFill>
          </w14:textFill>
        </w:rPr>
        <w:t>黄檗山万福寺旅游公路项目对福清市一般湿地生态功能影响评价报告</w:t>
      </w:r>
      <w:r>
        <w:rPr>
          <w:rFonts w:hint="eastAsia" w:cs="Times New Roman"/>
          <w:color w:val="000000" w:themeColor="text1"/>
          <w:kern w:val="0"/>
          <w:szCs w:val="24"/>
          <w:lang w:val="zh-CN"/>
          <w14:textFill>
            <w14:solidFill>
              <w14:schemeClr w14:val="tx1"/>
            </w14:solidFill>
          </w14:textFill>
        </w:rPr>
        <w:t>》的评价结论：</w:t>
      </w:r>
      <w:r>
        <w:rPr>
          <w:rFonts w:hint="eastAsia"/>
          <w:color w:val="000000" w:themeColor="text1"/>
          <w14:textFill>
            <w14:solidFill>
              <w14:schemeClr w14:val="tx1"/>
            </w14:solidFill>
          </w14:textFill>
        </w:rPr>
        <w:t>项目对湿地生态功能影响评价指标主要包括：对湿地生态环境的影响、对湿地支持服务功能的影响、对湿地调节服务功能的影响、对湿地供给服务功能的影响、对湿地文化服务功能的影响等。①对湿地生态环境的影响评价指标包括：湿地重要程度、湿地类型、面积；湿地斑块破碎化程度；湿地水环境；湿地土壤环境。通过对以上各指标的综合分析，该工程对一般湿地生态环境总的影响为中低度影响。②对湿地支持服务功能的影响评价指标包括：维持生物多样性。该工程对一般湿地支持服务功能总的影响为中低度影响。③对湿地调节服务功能影响评价指标包括：调节洪水；补充地下水；保持土壤；消浪护岸；净化水质；固碳释氧；调节气候。通过对以上各指标的综合分析，该工程对一般湿地调节服务功能总的影响为中低度影响。④对湿地供给服务功能影响评价指标包括：食物生产；水资源供给；原材料供给。通过对以上各指标的综合分析，该工程对一般湿地供给服务功能总的影响为中低度影响。⑤对湿地文化服务功能影响评价指标包括：游娱休疗；科普宣教。通过对以上各指标的综合分析，该工程对一般湿地文化服务功能总的影响为中低度影响。综上所述，黄檗山万福寺旅游公路工程对福清市一般湿地生态功能影响总体评价为中低度影响。并且项目已取得《</w:t>
      </w:r>
      <w:r>
        <w:rPr>
          <w:rFonts w:cs="Times New Roman"/>
          <w:color w:val="000000" w:themeColor="text1"/>
          <w:kern w:val="0"/>
          <w:szCs w:val="24"/>
          <w:lang w:val="zh-CN"/>
          <w14:textFill>
            <w14:solidFill>
              <w14:schemeClr w14:val="tx1"/>
            </w14:solidFill>
          </w14:textFill>
        </w:rPr>
        <w:t>福清市自然资源和规划局关于黄檗山万福寺旅游公路项目使用湿地的意见函</w:t>
      </w:r>
      <w:r>
        <w:rPr>
          <w:rFonts w:hint="eastAsia"/>
          <w:color w:val="000000" w:themeColor="text1"/>
          <w14:textFill>
            <w14:solidFill>
              <w14:schemeClr w14:val="tx1"/>
            </w14:solidFill>
          </w14:textFill>
        </w:rPr>
        <w:t>》</w:t>
      </w:r>
      <w:r>
        <w:rPr>
          <w:rFonts w:cs="Times New Roman"/>
          <w:color w:val="000000" w:themeColor="text1"/>
          <w:kern w:val="0"/>
          <w:szCs w:val="24"/>
          <w:lang w:val="zh-CN"/>
          <w14:textFill>
            <w14:solidFill>
              <w14:schemeClr w14:val="tx1"/>
            </w14:solidFill>
          </w14:textFill>
        </w:rPr>
        <w:t>融自然函</w:t>
      </w:r>
      <w:bookmarkStart w:id="472" w:name="hmcheck_a9efbf86c3b94b04b2251f2fb50649fb"/>
      <w:r>
        <w:rPr>
          <w:rFonts w:cs="Times New Roman"/>
          <w:color w:val="000000" w:themeColor="text1"/>
          <w:kern w:val="0"/>
          <w:szCs w:val="24"/>
          <w:shd w:val="clear" w:fill="FFAFAA"/>
          <w:lang w:val="zh-CN"/>
          <w14:textFill>
            <w14:solidFill>
              <w14:schemeClr w14:val="tx1"/>
            </w14:solidFill>
          </w14:textFill>
        </w:rPr>
        <w:t>（2024</w:t>
      </w:r>
      <w:r>
        <w:rPr>
          <w:rFonts w:hint="eastAsia" w:cs="Times New Roman"/>
          <w:color w:val="000000" w:themeColor="text1"/>
          <w:kern w:val="0"/>
          <w:szCs w:val="24"/>
          <w:shd w:val="clear" w:fill="FFAFAA"/>
          <w:lang w:val="zh-CN"/>
          <w14:textFill>
            <w14:solidFill>
              <w14:schemeClr w14:val="tx1"/>
            </w14:solidFill>
          </w14:textFill>
        </w:rPr>
        <w:t>）</w:t>
      </w:r>
      <w:bookmarkEnd w:id="472"/>
      <w:r>
        <w:rPr>
          <w:rFonts w:cs="Times New Roman"/>
          <w:color w:val="000000" w:themeColor="text1"/>
          <w:kern w:val="0"/>
          <w:szCs w:val="24"/>
          <w:lang w:val="zh-CN"/>
          <w14:textFill>
            <w14:solidFill>
              <w14:schemeClr w14:val="tx1"/>
            </w14:solidFill>
          </w14:textFill>
        </w:rPr>
        <w:t>723 号</w:t>
      </w:r>
      <w:r>
        <w:rPr>
          <w:rFonts w:hint="eastAsia"/>
          <w:color w:val="000000" w:themeColor="text1"/>
          <w14:textFill>
            <w14:solidFill>
              <w14:schemeClr w14:val="tx1"/>
            </w14:solidFill>
          </w14:textFill>
        </w:rPr>
        <w:t>）、</w:t>
      </w:r>
      <w:r>
        <w:rPr>
          <w:rFonts w:cs="Times New Roman"/>
          <w:color w:val="000000" w:themeColor="text1"/>
          <w:kern w:val="0"/>
          <w:szCs w:val="24"/>
          <w:lang w:val="zh-CN"/>
          <w14:textFill>
            <w14:solidFill>
              <w14:schemeClr w14:val="tx1"/>
            </w14:solidFill>
          </w14:textFill>
        </w:rPr>
        <w:t>福清市水利局《关于同意黄檗山万福寺旅游公路项目使用河流水面、内陆滩涂、坑塘水面和沟渠的意见》（融水利</w:t>
      </w:r>
      <w:r>
        <w:rPr>
          <w:rFonts w:hint="eastAsia" w:cs="Times New Roman"/>
          <w:color w:val="000000" w:themeColor="text1"/>
          <w:kern w:val="0"/>
          <w:szCs w:val="24"/>
          <w:lang w:val="zh-CN"/>
          <w14:textFill>
            <w14:solidFill>
              <w14:schemeClr w14:val="tx1"/>
            </w14:solidFill>
          </w14:textFill>
        </w:rPr>
        <w:t>〔2024〕582号</w:t>
      </w:r>
      <w:r>
        <w:rPr>
          <w:rFonts w:cs="Times New Roman"/>
          <w:color w:val="000000" w:themeColor="text1"/>
          <w:kern w:val="0"/>
          <w:szCs w:val="24"/>
          <w:lang w:val="zh-CN"/>
          <w14:textFill>
            <w14:solidFill>
              <w14:schemeClr w14:val="tx1"/>
            </w14:solidFill>
          </w14:textFill>
        </w:rPr>
        <w:t>）</w:t>
      </w:r>
      <w:r>
        <w:rPr>
          <w:rFonts w:hint="eastAsia"/>
          <w:color w:val="000000" w:themeColor="text1"/>
          <w14:textFill>
            <w14:solidFill>
              <w14:schemeClr w14:val="tx1"/>
            </w14:solidFill>
          </w14:textFill>
        </w:rPr>
        <w:t>：原则同意该项目占用湿地。因此，项目建设与《中华人民共和国湿地保护法》《福建省湿地保护条例》不相冲突。</w:t>
      </w:r>
    </w:p>
    <w:p w14:paraId="19BE6676">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与生态功能区划符合性分析</w:t>
      </w:r>
    </w:p>
    <w:p w14:paraId="4FE319C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根据《福建省生态功能区划》，本项目线路所经过的地区属于线路所在地的生态功能单元为“</w:t>
      </w:r>
      <w:r>
        <w:rPr>
          <w:rFonts w:cs="Times New Roman"/>
          <w:color w:val="000000" w:themeColor="text1"/>
          <w:kern w:val="0"/>
          <w:szCs w:val="24"/>
          <w:lang w:val="zh-CN"/>
          <w14:textFill>
            <w14:solidFill>
              <w14:schemeClr w14:val="tx1"/>
            </w14:solidFill>
          </w14:textFill>
        </w:rPr>
        <w:t>Ⅱ闽东南生态区</w:t>
      </w:r>
      <w:r>
        <w:rPr>
          <w:rFonts w:hint="eastAsia" w:cs="Times New Roman"/>
          <w:color w:val="000000" w:themeColor="text1"/>
          <w:kern w:val="0"/>
          <w:szCs w:val="24"/>
          <w:lang w:val="zh-CN"/>
          <w14:textFill>
            <w14:solidFill>
              <w14:schemeClr w14:val="tx1"/>
            </w14:solidFill>
          </w14:textFill>
        </w:rPr>
        <w:t>——</w:t>
      </w:r>
      <w:r>
        <w:rPr>
          <w:rFonts w:cs="Times New Roman"/>
          <w:color w:val="000000" w:themeColor="text1"/>
          <w:kern w:val="0"/>
          <w:szCs w:val="24"/>
          <w:lang w:val="zh-CN"/>
          <w14:textFill>
            <w14:solidFill>
              <w14:schemeClr w14:val="tx1"/>
            </w14:solidFill>
          </w14:textFill>
        </w:rPr>
        <w:t>Ⅱ</w:t>
      </w:r>
      <w:r>
        <w:rPr>
          <w:rFonts w:cs="Times New Roman"/>
          <w:color w:val="000000" w:themeColor="text1"/>
          <w:kern w:val="0"/>
          <w:szCs w:val="24"/>
          <w:vertAlign w:val="sub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闽东南沿海台丘平原与近岸海域生态</w:t>
      </w:r>
      <w:r>
        <w:rPr>
          <w:rFonts w:hint="eastAsia"/>
          <w:color w:val="000000" w:themeColor="text1"/>
          <w:kern w:val="0"/>
          <w:szCs w:val="24"/>
          <w:lang w:val="zh-CN"/>
          <w14:textFill>
            <w14:solidFill>
              <w14:schemeClr w14:val="tx1"/>
            </w14:solidFill>
          </w14:textFill>
        </w:rPr>
        <w:t>亚</w:t>
      </w:r>
      <w:r>
        <w:rPr>
          <w:color w:val="000000" w:themeColor="text1"/>
          <w:kern w:val="0"/>
          <w:szCs w:val="24"/>
          <w:lang w:val="zh-CN"/>
          <w14:textFill>
            <w14:solidFill>
              <w14:schemeClr w14:val="tx1"/>
            </w14:solidFill>
          </w14:textFill>
        </w:rPr>
        <w:t>区</w:t>
      </w:r>
      <w:r>
        <w:rPr>
          <w:rFonts w:hint="eastAsia"/>
          <w:color w:val="000000" w:themeColor="text1"/>
          <w:kern w:val="0"/>
          <w:szCs w:val="24"/>
          <w:lang w:val="zh-CN"/>
          <w14:textFill>
            <w14:solidFill>
              <w14:schemeClr w14:val="tx1"/>
            </w14:solidFill>
          </w14:textFill>
        </w:rPr>
        <w:t>——</w:t>
      </w:r>
      <w:r>
        <w:rPr>
          <w:rFonts w:cs="Times New Roman"/>
          <w:color w:val="000000" w:themeColor="text1"/>
          <w:kern w:val="0"/>
          <w:szCs w:val="24"/>
          <w:lang w:val="zh-CN"/>
          <w14:textFill>
            <w14:solidFill>
              <w14:schemeClr w14:val="tx1"/>
            </w14:solidFill>
          </w14:textFill>
        </w:rPr>
        <w:t>5203 福 清一平潭城镇和集约化高优农</w:t>
      </w:r>
      <w:r>
        <w:rPr>
          <w:color w:val="000000" w:themeColor="text1"/>
          <w14:textFill>
            <w14:solidFill>
              <w14:schemeClr w14:val="tx1"/>
            </w14:solidFill>
          </w14:textFill>
        </w:rPr>
        <w:t>业生态功能区</w:t>
      </w:r>
      <w:r>
        <w:rPr>
          <w:rFonts w:hint="eastAsia"/>
          <w:color w:val="000000" w:themeColor="text1"/>
          <w14:textFill>
            <w14:solidFill>
              <w14:schemeClr w14:val="tx1"/>
            </w14:solidFill>
          </w14:textFill>
        </w:rPr>
        <w:t>”，根据《福清市生态功能区划》，本项目线路位于福清西南部城镇与工业环境</w:t>
      </w:r>
      <w:bookmarkStart w:id="473" w:name="hmcheck_f398e5c028e7413d88a643ca09e969b7"/>
      <w:r>
        <w:rPr>
          <w:rFonts w:hint="eastAsia"/>
          <w:color w:val="000000" w:themeColor="text1"/>
          <w:shd w:val="clear" w:fill="B2E9BC"/>
          <w:lang w:eastAsia="zh-CN"/>
          <w14:textFill>
            <w14:solidFill>
              <w14:schemeClr w14:val="tx1"/>
            </w14:solidFill>
          </w14:textFill>
        </w:rPr>
        <w:t>生态</w:t>
      </w:r>
      <w:bookmarkEnd w:id="473"/>
      <w:r>
        <w:rPr>
          <w:rFonts w:hint="eastAsia"/>
          <w:color w:val="000000" w:themeColor="text1"/>
          <w14:textFill>
            <w14:solidFill>
              <w14:schemeClr w14:val="tx1"/>
            </w14:solidFill>
          </w14:textFill>
        </w:rPr>
        <w:t>功能小区（520118108）和兴化湾渔业养殖与旅游环境生态功能小区（520118112）。</w:t>
      </w:r>
      <w:r>
        <w:rPr>
          <w:color w:val="000000" w:themeColor="text1"/>
          <w14:textFill>
            <w14:solidFill>
              <w14:schemeClr w14:val="tx1"/>
            </w14:solidFill>
          </w14:textFill>
        </w:rPr>
        <w:t>项目与</w:t>
      </w:r>
      <w:r>
        <w:rPr>
          <w:rFonts w:hint="eastAsia"/>
          <w:color w:val="000000" w:themeColor="text1"/>
          <w14:textFill>
            <w14:solidFill>
              <w14:schemeClr w14:val="tx1"/>
            </w14:solidFill>
          </w14:textFill>
        </w:rPr>
        <w:t>福建省</w:t>
      </w:r>
      <w:r>
        <w:rPr>
          <w:color w:val="000000" w:themeColor="text1"/>
          <w14:textFill>
            <w14:solidFill>
              <w14:schemeClr w14:val="tx1"/>
            </w14:solidFill>
          </w14:textFill>
        </w:rPr>
        <w:t>生态功能区划位置关系图详见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_Ref148946245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图3.10-1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，与福清市生态功能区划位置关系详见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_Ref148946289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图3.10-2</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722A9142">
      <w:pPr>
        <w:ind w:firstLine="480"/>
        <w:rPr>
          <w:color w:val="000000" w:themeColor="text1"/>
          <w14:textFill>
            <w14:solidFill>
              <w14:schemeClr w14:val="tx1"/>
            </w14:solidFill>
          </w14:textFill>
        </w:rPr>
      </w:pPr>
      <w:r>
        <w:rPr>
          <w:color w:val="000000" w:themeColor="text1"/>
          <w14:textFill>
            <w14:solidFill>
              <w14:schemeClr w14:val="tx1"/>
            </w14:solidFill>
          </w14:textFill>
        </w:rPr>
        <w:t>由表可知，</w:t>
      </w:r>
      <w:r>
        <w:rPr>
          <w:rFonts w:hint="eastAsia"/>
          <w:color w:val="000000" w:themeColor="text1"/>
          <w14:textFill>
            <w14:solidFill>
              <w14:schemeClr w14:val="tx1"/>
            </w14:solidFill>
          </w14:textFill>
        </w:rPr>
        <w:t>本项目建设在采取合理的防护和恢复措施后，不会加剧区域生态环境问题，也不会对该生态功能区的生态保护措施和发展方向产生大的影响，因此，本次评价认为</w:t>
      </w:r>
      <w:r>
        <w:rPr>
          <w:color w:val="000000" w:themeColor="text1"/>
          <w14:textFill>
            <w14:solidFill>
              <w14:schemeClr w14:val="tx1"/>
            </w14:solidFill>
          </w14:textFill>
        </w:rPr>
        <w:t>项目建设</w:t>
      </w:r>
      <w:r>
        <w:rPr>
          <w:rFonts w:hint="eastAsia"/>
          <w:color w:val="000000" w:themeColor="text1"/>
          <w14:textFill>
            <w14:solidFill>
              <w14:schemeClr w14:val="tx1"/>
            </w14:solidFill>
          </w14:textFill>
        </w:rPr>
        <w:t>与</w:t>
      </w:r>
      <w:r>
        <w:rPr>
          <w:color w:val="000000" w:themeColor="text1"/>
          <w14:textFill>
            <w14:solidFill>
              <w14:schemeClr w14:val="tx1"/>
            </w14:solidFill>
          </w14:textFill>
        </w:rPr>
        <w:t>《福建省生态功能区划</w:t>
      </w:r>
      <w:r>
        <w:rPr>
          <w:rFonts w:hint="eastAsia"/>
          <w:color w:val="000000" w:themeColor="text1"/>
          <w14:textFill>
            <w14:solidFill>
              <w14:schemeClr w14:val="tx1"/>
            </w14:solidFill>
          </w14:textFill>
        </w:rPr>
        <w:t>》《福清市生态功能区划》是相互协调的</w:t>
      </w:r>
      <w:r>
        <w:rPr>
          <w:color w:val="000000" w:themeColor="text1"/>
          <w14:textFill>
            <w14:solidFill>
              <w14:schemeClr w14:val="tx1"/>
            </w14:solidFill>
          </w14:textFill>
        </w:rPr>
        <w:t>。</w:t>
      </w:r>
    </w:p>
    <w:p w14:paraId="4A0CD928">
      <w:pPr>
        <w:pStyle w:val="87"/>
        <w:spacing w:before="120"/>
        <w:ind w:firstLine="360"/>
        <w:rPr>
          <w:color w:val="000000" w:themeColor="text1"/>
          <w14:textFill>
            <w14:solidFill>
              <w14:schemeClr w14:val="tx1"/>
            </w14:solidFill>
          </w14:textFill>
        </w:rPr>
      </w:pPr>
      <w:r>
        <w:rPr>
          <w:rFonts w:hint="eastAsia"/>
          <w:color w:val="000000" w:themeColor="text1"/>
          <w14:textFill>
            <w14:solidFill>
              <w14:schemeClr w14:val="tx1"/>
            </w14:solidFill>
          </w14:textFill>
        </w:rPr>
        <w:t>与福建省生态功能区划符合性分析表</w:t>
      </w:r>
    </w:p>
    <w:tbl>
      <w:tblPr>
        <w:tblStyle w:val="15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38"/>
        <w:gridCol w:w="580"/>
        <w:gridCol w:w="722"/>
        <w:gridCol w:w="1013"/>
        <w:gridCol w:w="1390"/>
        <w:gridCol w:w="1006"/>
        <w:gridCol w:w="559"/>
        <w:gridCol w:w="1970"/>
        <w:gridCol w:w="1415"/>
      </w:tblGrid>
      <w:tr w14:paraId="03A0DE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0" w:type="auto"/>
            <w:gridSpan w:val="3"/>
            <w:tcMar>
              <w:left w:w="57" w:type="dxa"/>
              <w:right w:w="57" w:type="dxa"/>
            </w:tcMar>
            <w:vAlign w:val="center"/>
          </w:tcPr>
          <w:p w14:paraId="59C31272">
            <w:pPr>
              <w:pStyle w:val="105"/>
              <w:widowControl w:val="0"/>
              <w:jc w:val="center"/>
              <w:rPr>
                <w:rFonts w:eastAsia="Times New Roman"/>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生态功能单元分区</w:t>
            </w:r>
          </w:p>
        </w:tc>
        <w:tc>
          <w:tcPr>
            <w:tcW w:w="990" w:type="dxa"/>
            <w:tcMar>
              <w:left w:w="57" w:type="dxa"/>
              <w:right w:w="57" w:type="dxa"/>
            </w:tcMar>
            <w:vAlign w:val="center"/>
          </w:tcPr>
          <w:p w14:paraId="3D97F78D">
            <w:pPr>
              <w:pStyle w:val="105"/>
              <w:widowControl w:val="0"/>
              <w:jc w:val="center"/>
              <w:rPr>
                <w:rFonts w:eastAsia="Times New Roman"/>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所在区域与面积</w:t>
            </w:r>
          </w:p>
        </w:tc>
        <w:tc>
          <w:tcPr>
            <w:tcW w:w="1390" w:type="dxa"/>
            <w:tcMar>
              <w:left w:w="57" w:type="dxa"/>
              <w:right w:w="57" w:type="dxa"/>
            </w:tcMar>
            <w:vAlign w:val="center"/>
          </w:tcPr>
          <w:p w14:paraId="5B126287">
            <w:pPr>
              <w:pStyle w:val="105"/>
              <w:widowControl w:val="0"/>
              <w:jc w:val="center"/>
              <w:rPr>
                <w:color w:val="000000" w:themeColor="text1"/>
                <w:sz w:val="18"/>
                <w:szCs w:val="22"/>
                <w:lang w:val="zh-TW" w:eastAsia="zh-TW"/>
                <w14:textFill>
                  <w14:solidFill>
                    <w14:schemeClr w14:val="tx1"/>
                  </w14:solidFill>
                </w14:textFill>
              </w:rPr>
            </w:pPr>
            <w:r>
              <w:rPr>
                <w:rFonts w:hint="eastAsia"/>
                <w:color w:val="000000" w:themeColor="text1"/>
                <w:sz w:val="18"/>
                <w:szCs w:val="22"/>
                <w:lang w:val="zh-TW" w:eastAsia="zh-TW"/>
                <w14:textFill>
                  <w14:solidFill>
                    <w14:schemeClr w14:val="tx1"/>
                  </w14:solidFill>
                </w14:textFill>
              </w:rPr>
              <w:t>主要生态环境问题</w:t>
            </w:r>
          </w:p>
        </w:tc>
        <w:tc>
          <w:tcPr>
            <w:tcW w:w="1006" w:type="dxa"/>
            <w:tcMar>
              <w:left w:w="57" w:type="dxa"/>
              <w:right w:w="57" w:type="dxa"/>
            </w:tcMar>
            <w:vAlign w:val="center"/>
          </w:tcPr>
          <w:p w14:paraId="505EDEFB">
            <w:pPr>
              <w:pStyle w:val="105"/>
              <w:widowControl w:val="0"/>
              <w:jc w:val="center"/>
              <w:rPr>
                <w:color w:val="000000" w:themeColor="text1"/>
                <w:sz w:val="18"/>
                <w:szCs w:val="22"/>
                <w:lang w:val="zh-TW" w:eastAsia="zh-TW"/>
                <w14:textFill>
                  <w14:solidFill>
                    <w14:schemeClr w14:val="tx1"/>
                  </w14:solidFill>
                </w14:textFill>
              </w:rPr>
            </w:pPr>
            <w:r>
              <w:rPr>
                <w:rFonts w:hint="eastAsia"/>
                <w:color w:val="000000" w:themeColor="text1"/>
                <w:sz w:val="18"/>
                <w:szCs w:val="22"/>
                <w:lang w:val="zh-TW" w:eastAsia="zh-TW"/>
                <w14:textFill>
                  <w14:solidFill>
                    <w14:schemeClr w14:val="tx1"/>
                  </w14:solidFill>
                </w14:textFill>
              </w:rPr>
              <w:t>生态环境敏感性</w:t>
            </w:r>
          </w:p>
        </w:tc>
        <w:tc>
          <w:tcPr>
            <w:tcW w:w="559" w:type="dxa"/>
            <w:tcMar>
              <w:left w:w="57" w:type="dxa"/>
              <w:right w:w="57" w:type="dxa"/>
            </w:tcMar>
            <w:vAlign w:val="center"/>
          </w:tcPr>
          <w:p w14:paraId="22B31201">
            <w:pPr>
              <w:pStyle w:val="105"/>
              <w:widowControl w:val="0"/>
              <w:jc w:val="center"/>
              <w:rPr>
                <w:color w:val="000000" w:themeColor="text1"/>
                <w:sz w:val="18"/>
                <w:szCs w:val="22"/>
                <w:lang w:val="zh-TW" w:eastAsia="zh-TW"/>
                <w14:textFill>
                  <w14:solidFill>
                    <w14:schemeClr w14:val="tx1"/>
                  </w14:solidFill>
                </w14:textFill>
              </w:rPr>
            </w:pPr>
            <w:r>
              <w:rPr>
                <w:rFonts w:hint="eastAsia"/>
                <w:color w:val="000000" w:themeColor="text1"/>
                <w:sz w:val="18"/>
                <w:szCs w:val="22"/>
                <w:lang w:val="zh-TW" w:eastAsia="zh-TW"/>
                <w14:textFill>
                  <w14:solidFill>
                    <w14:schemeClr w14:val="tx1"/>
                  </w14:solidFill>
                </w14:textFill>
              </w:rPr>
              <w:t>主要生态系统服务和功能</w:t>
            </w:r>
          </w:p>
        </w:tc>
        <w:tc>
          <w:tcPr>
            <w:tcW w:w="1970" w:type="dxa"/>
            <w:tcMar>
              <w:left w:w="57" w:type="dxa"/>
              <w:right w:w="57" w:type="dxa"/>
            </w:tcMar>
            <w:vAlign w:val="center"/>
          </w:tcPr>
          <w:p w14:paraId="6B37A51F">
            <w:pPr>
              <w:pStyle w:val="105"/>
              <w:widowControl w:val="0"/>
              <w:jc w:val="center"/>
              <w:rPr>
                <w:rFonts w:eastAsia="PMingLiU"/>
                <w:color w:val="000000" w:themeColor="text1"/>
                <w:sz w:val="18"/>
                <w:szCs w:val="22"/>
                <w:lang w:val="zh-TW" w:eastAsia="zh-TW"/>
                <w14:textFill>
                  <w14:solidFill>
                    <w14:schemeClr w14:val="tx1"/>
                  </w14:solidFill>
                </w14:textFill>
              </w:rPr>
            </w:pPr>
            <w:r>
              <w:rPr>
                <w:rFonts w:hint="eastAsia"/>
                <w:color w:val="000000" w:themeColor="text1"/>
                <w:sz w:val="18"/>
                <w:szCs w:val="22"/>
                <w:lang w:val="zh-TW" w:eastAsia="zh-TW"/>
                <w14:textFill>
                  <w14:solidFill>
                    <w14:schemeClr w14:val="tx1"/>
                  </w14:solidFill>
                </w14:textFill>
              </w:rPr>
              <w:t>保护措施与</w:t>
            </w:r>
          </w:p>
          <w:p w14:paraId="7C408CFA">
            <w:pPr>
              <w:pStyle w:val="105"/>
              <w:widowControl w:val="0"/>
              <w:jc w:val="center"/>
              <w:rPr>
                <w:rFonts w:eastAsia="PMingLiU"/>
                <w:color w:val="000000" w:themeColor="text1"/>
                <w:sz w:val="18"/>
                <w:szCs w:val="22"/>
                <w:lang w:val="zh-TW" w:eastAsia="zh-TW"/>
                <w14:textFill>
                  <w14:solidFill>
                    <w14:schemeClr w14:val="tx1"/>
                  </w14:solidFill>
                </w14:textFill>
              </w:rPr>
            </w:pPr>
            <w:r>
              <w:rPr>
                <w:rFonts w:hint="eastAsia"/>
                <w:color w:val="000000" w:themeColor="text1"/>
                <w:sz w:val="18"/>
                <w:szCs w:val="22"/>
                <w:lang w:val="zh-TW" w:eastAsia="zh-TW"/>
                <w14:textFill>
                  <w14:solidFill>
                    <w14:schemeClr w14:val="tx1"/>
                  </w14:solidFill>
                </w14:textFill>
              </w:rPr>
              <w:t>发展方向</w:t>
            </w:r>
          </w:p>
        </w:tc>
        <w:tc>
          <w:tcPr>
            <w:tcW w:w="1415" w:type="dxa"/>
            <w:tcMar>
              <w:left w:w="57" w:type="dxa"/>
              <w:right w:w="57" w:type="dxa"/>
            </w:tcMar>
            <w:vAlign w:val="center"/>
          </w:tcPr>
          <w:p w14:paraId="2A7ACA16">
            <w:pPr>
              <w:pStyle w:val="105"/>
              <w:widowControl w:val="0"/>
              <w:jc w:val="center"/>
              <w:rPr>
                <w:color w:val="000000" w:themeColor="text1"/>
                <w:sz w:val="18"/>
                <w:szCs w:val="22"/>
                <w:lang w:val="zh-TW" w:eastAsia="zh-TW"/>
                <w14:textFill>
                  <w14:solidFill>
                    <w14:schemeClr w14:val="tx1"/>
                  </w14:solidFill>
                </w14:textFill>
              </w:rPr>
            </w:pPr>
            <w:r>
              <w:rPr>
                <w:rFonts w:hint="eastAsia"/>
                <w:color w:val="000000" w:themeColor="text1"/>
                <w:sz w:val="18"/>
                <w:szCs w:val="22"/>
                <w:lang w:val="zh-TW" w:eastAsia="zh-TW"/>
                <w14:textFill>
                  <w14:solidFill>
                    <w14:schemeClr w14:val="tx1"/>
                  </w14:solidFill>
                </w14:textFill>
              </w:rPr>
              <w:t>符合性分析</w:t>
            </w:r>
          </w:p>
        </w:tc>
      </w:tr>
      <w:tr w14:paraId="449CE3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438" w:type="dxa"/>
            <w:tcMar>
              <w:left w:w="57" w:type="dxa"/>
              <w:right w:w="57" w:type="dxa"/>
            </w:tcMar>
            <w:vAlign w:val="center"/>
          </w:tcPr>
          <w:p w14:paraId="5DEB417D">
            <w:pPr>
              <w:pStyle w:val="105"/>
              <w:widowControl w:val="0"/>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Ⅱ闽东南生态区</w:t>
            </w:r>
          </w:p>
        </w:tc>
        <w:tc>
          <w:tcPr>
            <w:tcW w:w="580" w:type="dxa"/>
            <w:tcMar>
              <w:left w:w="57" w:type="dxa"/>
              <w:right w:w="57" w:type="dxa"/>
            </w:tcMar>
            <w:vAlign w:val="center"/>
          </w:tcPr>
          <w:p w14:paraId="10C4672A">
            <w:pPr>
              <w:pStyle w:val="105"/>
              <w:widowControl w:val="0"/>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Ⅱ2闽东南沿海台丘平原与近岸海域生态亚区</w:t>
            </w:r>
          </w:p>
        </w:tc>
        <w:tc>
          <w:tcPr>
            <w:tcW w:w="722" w:type="dxa"/>
            <w:tcMar>
              <w:left w:w="57" w:type="dxa"/>
              <w:right w:w="57" w:type="dxa"/>
            </w:tcMar>
            <w:vAlign w:val="center"/>
          </w:tcPr>
          <w:p w14:paraId="57BCB0B8">
            <w:pPr>
              <w:pStyle w:val="105"/>
              <w:widowControl w:val="0"/>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5203 福 清一平潭城镇和集约化高优农业生态功能区</w:t>
            </w:r>
          </w:p>
        </w:tc>
        <w:tc>
          <w:tcPr>
            <w:tcW w:w="990" w:type="dxa"/>
            <w:tcMar>
              <w:left w:w="57" w:type="dxa"/>
              <w:right w:w="57" w:type="dxa"/>
            </w:tcMar>
            <w:vAlign w:val="center"/>
          </w:tcPr>
          <w:p w14:paraId="2F47CFA2">
            <w:pPr>
              <w:pStyle w:val="105"/>
              <w:widowControl w:val="0"/>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福清市大部分乡镇和平潭全县，面积 1163.15km2</w:t>
            </w:r>
          </w:p>
        </w:tc>
        <w:tc>
          <w:tcPr>
            <w:tcW w:w="1390" w:type="dxa"/>
            <w:tcMar>
              <w:left w:w="57" w:type="dxa"/>
              <w:right w:w="57" w:type="dxa"/>
            </w:tcMar>
            <w:vAlign w:val="center"/>
          </w:tcPr>
          <w:p w14:paraId="6958230A">
            <w:pPr>
              <w:pStyle w:val="105"/>
              <w:widowControl w:val="0"/>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水资源短缺；工业点源污染和城镇生活废弃物污染严重，龙江水质恶化；农业面源污染和规模化畜禽养殖污染均很突出；丘陵坡地植被严重退化，土壤侵蚀较严重，石漠化威胁加大。部分木麻黄林老化枯死，防风固沙林防护功能下降，砂矿开采毁林、破坏旅游景点，风沙威胁加大。</w:t>
            </w:r>
          </w:p>
        </w:tc>
        <w:tc>
          <w:tcPr>
            <w:tcW w:w="1006" w:type="dxa"/>
            <w:tcMar>
              <w:left w:w="57" w:type="dxa"/>
              <w:right w:w="57" w:type="dxa"/>
            </w:tcMar>
            <w:vAlign w:val="center"/>
          </w:tcPr>
          <w:p w14:paraId="30CD4713">
            <w:pPr>
              <w:pStyle w:val="105"/>
              <w:widowControl w:val="0"/>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土壤侵蚀轻度敏感与敏感相间分布、酸雨轻度敏感与敏感相间分布、地质灾害轻度敏感与敏感</w:t>
            </w:r>
          </w:p>
        </w:tc>
        <w:tc>
          <w:tcPr>
            <w:tcW w:w="559" w:type="dxa"/>
            <w:tcMar>
              <w:left w:w="57" w:type="dxa"/>
              <w:right w:w="57" w:type="dxa"/>
            </w:tcMar>
            <w:vAlign w:val="center"/>
          </w:tcPr>
          <w:p w14:paraId="69460200">
            <w:pPr>
              <w:pStyle w:val="105"/>
              <w:widowControl w:val="0"/>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福清城镇和集约化高优农业生态功能区</w:t>
            </w:r>
          </w:p>
        </w:tc>
        <w:tc>
          <w:tcPr>
            <w:tcW w:w="1970" w:type="dxa"/>
            <w:tcMar>
              <w:left w:w="57" w:type="dxa"/>
              <w:right w:w="57" w:type="dxa"/>
            </w:tcMar>
            <w:vAlign w:val="center"/>
          </w:tcPr>
          <w:p w14:paraId="7AB21DBE">
            <w:pPr>
              <w:pStyle w:val="105"/>
              <w:widowControl w:val="0"/>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建设生态城镇和生态工业区，发展循环经济和清洁生产，加快城镇环保设施建设，重点治理工业废水和城镇生活废水污染，改善龙江水质；对重点工业区进行空气污染监控；加大污染废弃物的处置力度；增加城镇绿地面积。发展生态农业，控制农业面源污染和规模化畜禽养殖污染；加强丘陵坡地植被恢复和水土流失综合治理；加强324国道和福泉高速路等重要交通干线两侧一重山视域景观建设。平潭岛大规模开发要高度重视风沙和石漠化防治，加强水资源保护，合理发展生态旅游。</w:t>
            </w:r>
          </w:p>
        </w:tc>
        <w:tc>
          <w:tcPr>
            <w:tcW w:w="1415" w:type="dxa"/>
            <w:tcMar>
              <w:left w:w="57" w:type="dxa"/>
              <w:right w:w="57" w:type="dxa"/>
            </w:tcMar>
            <w:vAlign w:val="center"/>
          </w:tcPr>
          <w:p w14:paraId="4C771829">
            <w:pPr>
              <w:pStyle w:val="105"/>
              <w:widowControl w:val="0"/>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工程的建设期间会造成一定的水土流失，但在积极落实各项水土保持措施的情况下，工程施工造成的水土流失是可以得到控制的；工程建成后，随着复绿、复耕措施的实施，区域生态环境将会在一定程度上得以改善。</w:t>
            </w:r>
          </w:p>
          <w:p w14:paraId="3D14CE9B">
            <w:pPr>
              <w:pStyle w:val="105"/>
              <w:widowControl w:val="0"/>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本项目为旅游公路，项目建设促进区域旅游发展，符合小区生态环境建设。</w:t>
            </w:r>
          </w:p>
        </w:tc>
      </w:tr>
    </w:tbl>
    <w:p w14:paraId="0AC03A93">
      <w:pPr>
        <w:pStyle w:val="87"/>
        <w:spacing w:before="120"/>
        <w:ind w:firstLine="360"/>
        <w:rPr>
          <w:color w:val="000000" w:themeColor="text1"/>
          <w14:textFill>
            <w14:solidFill>
              <w14:schemeClr w14:val="tx1"/>
            </w14:solidFill>
          </w14:textFill>
        </w:rPr>
        <w:sectPr>
          <w:footerReference r:id="rId20" w:type="default"/>
          <w:pgSz w:w="11906" w:h="16838"/>
          <w:pgMar w:top="1418" w:right="1418" w:bottom="1418" w:left="1418" w:header="851" w:footer="851" w:gutter="0"/>
          <w:cols w:space="720" w:num="1"/>
          <w:docGrid w:linePitch="326" w:charSpace="0"/>
        </w:sectPr>
      </w:pPr>
    </w:p>
    <w:p w14:paraId="485A9D9A">
      <w:pPr>
        <w:pStyle w:val="87"/>
        <w:spacing w:before="120"/>
        <w:ind w:firstLine="360"/>
        <w:rPr>
          <w:color w:val="000000" w:themeColor="text1"/>
          <w14:textFill>
            <w14:solidFill>
              <w14:schemeClr w14:val="tx1"/>
            </w14:solidFill>
          </w14:textFill>
        </w:rPr>
      </w:pPr>
      <w:r>
        <w:rPr>
          <w:rFonts w:hint="eastAsia"/>
          <w:color w:val="000000" w:themeColor="text1"/>
          <w14:textFill>
            <w14:solidFill>
              <w14:schemeClr w14:val="tx1"/>
            </w14:solidFill>
          </w14:textFill>
        </w:rPr>
        <w:t>与福清市生态功能区划符合性分析表</w:t>
      </w:r>
    </w:p>
    <w:tbl>
      <w:tblPr>
        <w:tblStyle w:val="152"/>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276"/>
        <w:gridCol w:w="1134"/>
        <w:gridCol w:w="567"/>
        <w:gridCol w:w="992"/>
        <w:gridCol w:w="3969"/>
        <w:gridCol w:w="1132"/>
      </w:tblGrid>
      <w:tr w14:paraId="08A249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276" w:type="dxa"/>
            <w:vAlign w:val="center"/>
          </w:tcPr>
          <w:p w14:paraId="1C805279">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生态功能单元分区</w:t>
            </w:r>
          </w:p>
        </w:tc>
        <w:tc>
          <w:tcPr>
            <w:tcW w:w="1134" w:type="dxa"/>
            <w:vAlign w:val="center"/>
          </w:tcPr>
          <w:p w14:paraId="072F1B69">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范围</w:t>
            </w:r>
          </w:p>
        </w:tc>
        <w:tc>
          <w:tcPr>
            <w:tcW w:w="567" w:type="dxa"/>
            <w:vAlign w:val="center"/>
          </w:tcPr>
          <w:p w14:paraId="6D140E8A">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主导</w:t>
            </w:r>
          </w:p>
          <w:p w14:paraId="12231FC9">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功能</w:t>
            </w:r>
          </w:p>
        </w:tc>
        <w:tc>
          <w:tcPr>
            <w:tcW w:w="992" w:type="dxa"/>
            <w:vAlign w:val="center"/>
          </w:tcPr>
          <w:p w14:paraId="6FAA12D5">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辅助</w:t>
            </w:r>
          </w:p>
          <w:p w14:paraId="055D4F41">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功能</w:t>
            </w:r>
          </w:p>
        </w:tc>
        <w:tc>
          <w:tcPr>
            <w:tcW w:w="3969" w:type="dxa"/>
            <w:vAlign w:val="center"/>
          </w:tcPr>
          <w:p w14:paraId="50459676">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生态保育和建设方向</w:t>
            </w:r>
          </w:p>
        </w:tc>
        <w:tc>
          <w:tcPr>
            <w:tcW w:w="1132" w:type="dxa"/>
            <w:vAlign w:val="center"/>
          </w:tcPr>
          <w:p w14:paraId="5CCFDF60">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符合性分析</w:t>
            </w:r>
          </w:p>
        </w:tc>
      </w:tr>
      <w:tr w14:paraId="4D705EC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276" w:type="dxa"/>
            <w:vAlign w:val="center"/>
          </w:tcPr>
          <w:p w14:paraId="46637C8D">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福清西南部城镇与工业环境</w:t>
            </w:r>
            <w:bookmarkStart w:id="474" w:name="hmcheck_107f74e625674b21a4f706b70660f59a"/>
            <w:r>
              <w:rPr>
                <w:rFonts w:hint="eastAsia"/>
                <w:color w:val="000000" w:themeColor="text1"/>
                <w:sz w:val="18"/>
                <w:szCs w:val="22"/>
                <w:shd w:val="clear" w:fill="B2E9BC"/>
                <w:lang w:eastAsia="zh-CN"/>
                <w14:textFill>
                  <w14:solidFill>
                    <w14:schemeClr w14:val="tx1"/>
                  </w14:solidFill>
                </w14:textFill>
              </w:rPr>
              <w:t>生态</w:t>
            </w:r>
            <w:bookmarkEnd w:id="474"/>
            <w:r>
              <w:rPr>
                <w:rFonts w:hint="eastAsia"/>
                <w:color w:val="000000" w:themeColor="text1"/>
                <w:sz w:val="18"/>
                <w:szCs w:val="22"/>
                <w14:textFill>
                  <w14:solidFill>
                    <w14:schemeClr w14:val="tx1"/>
                  </w14:solidFill>
                </w14:textFill>
              </w:rPr>
              <w:t>功能小区（520118108）</w:t>
            </w:r>
          </w:p>
        </w:tc>
        <w:tc>
          <w:tcPr>
            <w:tcW w:w="1134" w:type="dxa"/>
            <w:vAlign w:val="center"/>
          </w:tcPr>
          <w:p w14:paraId="605C2D21">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渔溪、上迳、新厝三镇以及江阴岛</w:t>
            </w:r>
          </w:p>
        </w:tc>
        <w:tc>
          <w:tcPr>
            <w:tcW w:w="567" w:type="dxa"/>
            <w:vAlign w:val="center"/>
          </w:tcPr>
          <w:p w14:paraId="1DF44F53">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城镇生态环境</w:t>
            </w:r>
          </w:p>
        </w:tc>
        <w:tc>
          <w:tcPr>
            <w:tcW w:w="992" w:type="dxa"/>
            <w:vAlign w:val="center"/>
          </w:tcPr>
          <w:p w14:paraId="203A65C7">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交通干线视域景观生态、农业生态环境、沿海防风固沙</w:t>
            </w:r>
          </w:p>
        </w:tc>
        <w:tc>
          <w:tcPr>
            <w:tcW w:w="3969" w:type="dxa"/>
            <w:vAlign w:val="center"/>
          </w:tcPr>
          <w:p w14:paraId="7EBD342C">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①重点：大气污染重点监控，生态城镇与工业区规划和建设，乡镇企业污染和农业面源污染的治理和控制；</w:t>
            </w:r>
          </w:p>
          <w:p w14:paraId="2FB964BB">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②其他相关任务：夏秋台风大潮时海堤的监护和滨海围垦地潮灾的防御，沿海风沙防护林建设。</w:t>
            </w:r>
          </w:p>
        </w:tc>
        <w:tc>
          <w:tcPr>
            <w:tcW w:w="1132" w:type="dxa"/>
            <w:vMerge w:val="restart"/>
            <w:vAlign w:val="center"/>
          </w:tcPr>
          <w:p w14:paraId="1F02DD6E">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本项目建设不会加剧所属生态功能区的生态环境问题，也不会对该生态功能区的生态保育和建设方向产生大的影响。项目建设促进区域旅游发展，符合小区生态环境建设。</w:t>
            </w:r>
          </w:p>
        </w:tc>
      </w:tr>
      <w:tr w14:paraId="13046E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276" w:type="dxa"/>
            <w:vAlign w:val="center"/>
          </w:tcPr>
          <w:p w14:paraId="7B6CDEFD">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兴化湾渔业养殖与旅游环境生态功能小区（520118112）</w:t>
            </w:r>
          </w:p>
        </w:tc>
        <w:tc>
          <w:tcPr>
            <w:tcW w:w="1134" w:type="dxa"/>
            <w:vAlign w:val="center"/>
          </w:tcPr>
          <w:p w14:paraId="3552E630">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市境中南部，包括江镜、上迳、渔溪、江阴、新厝等镇海域</w:t>
            </w:r>
          </w:p>
        </w:tc>
        <w:tc>
          <w:tcPr>
            <w:tcW w:w="567" w:type="dxa"/>
            <w:vAlign w:val="center"/>
          </w:tcPr>
          <w:p w14:paraId="32B0B175">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渔业养殖和海滨旅游区</w:t>
            </w:r>
          </w:p>
        </w:tc>
        <w:tc>
          <w:tcPr>
            <w:tcW w:w="992" w:type="dxa"/>
            <w:vAlign w:val="center"/>
          </w:tcPr>
          <w:p w14:paraId="1E3ED5A0">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w:t>
            </w:r>
          </w:p>
        </w:tc>
        <w:tc>
          <w:tcPr>
            <w:tcW w:w="3969" w:type="dxa"/>
            <w:vAlign w:val="center"/>
          </w:tcPr>
          <w:p w14:paraId="478273AD">
            <w:pPr>
              <w:pStyle w:val="105"/>
              <w:jc w:val="center"/>
              <w:rPr>
                <w:color w:val="000000" w:themeColor="text1"/>
                <w:sz w:val="18"/>
                <w:szCs w:val="22"/>
                <w14:textFill>
                  <w14:solidFill>
                    <w14:schemeClr w14:val="tx1"/>
                  </w14:solidFill>
                </w14:textFill>
              </w:rPr>
            </w:pPr>
            <w:r>
              <w:rPr>
                <w:rFonts w:hint="eastAsia"/>
                <w:color w:val="000000" w:themeColor="text1"/>
                <w:sz w:val="18"/>
                <w:szCs w:val="22"/>
                <w14:textFill>
                  <w14:solidFill>
                    <w14:schemeClr w14:val="tx1"/>
                  </w14:solidFill>
                </w14:textFill>
              </w:rPr>
              <w:t>①重点：根据养殖容量合理布局养殖品种和数量，控制养殖密度，防止养殖</w:t>
            </w:r>
            <w:bookmarkStart w:id="475" w:name="hmcheck_36e466ed115546679211fa0000a83671"/>
            <w:r>
              <w:rPr>
                <w:rFonts w:hint="eastAsia"/>
                <w:color w:val="000000" w:themeColor="text1"/>
                <w:sz w:val="18"/>
                <w:szCs w:val="22"/>
                <w:shd w:val="clear" w:fill="B2E9BC"/>
                <w:lang w:eastAsia="zh-CN"/>
                <w14:textFill>
                  <w14:solidFill>
                    <w14:schemeClr w14:val="tx1"/>
                  </w14:solidFill>
                </w14:textFill>
              </w:rPr>
              <w:t>资源</w:t>
            </w:r>
            <w:bookmarkEnd w:id="475"/>
            <w:r>
              <w:rPr>
                <w:rFonts w:hint="eastAsia"/>
                <w:color w:val="000000" w:themeColor="text1"/>
                <w:sz w:val="18"/>
                <w:szCs w:val="22"/>
                <w14:textFill>
                  <w14:solidFill>
                    <w14:schemeClr w14:val="tx1"/>
                  </w14:solidFill>
                </w14:textFill>
              </w:rPr>
              <w:t>污染，做好病害防治工作，严格控制周边污染物排放，保护养殖区生态环境，保证海水水质符合养殖标准。②其他相关任务：按承载力确定游客数量，维护用于海上旅游活动的海水水质，建设与旅游度假相关的环境设施。抓紧编制旅游区开发规划，合理开发旅游资源，防止资源破坏，注意保护生态环境。</w:t>
            </w:r>
          </w:p>
        </w:tc>
        <w:tc>
          <w:tcPr>
            <w:tcW w:w="1132" w:type="dxa"/>
            <w:vMerge w:val="continue"/>
            <w:vAlign w:val="center"/>
          </w:tcPr>
          <w:p w14:paraId="5BA68E0D">
            <w:pPr>
              <w:pStyle w:val="105"/>
              <w:jc w:val="center"/>
              <w:rPr>
                <w:color w:val="000000" w:themeColor="text1"/>
                <w:sz w:val="18"/>
                <w:szCs w:val="22"/>
                <w14:textFill>
                  <w14:solidFill>
                    <w14:schemeClr w14:val="tx1"/>
                  </w14:solidFill>
                </w14:textFill>
              </w:rPr>
            </w:pPr>
          </w:p>
        </w:tc>
      </w:tr>
    </w:tbl>
    <w:p w14:paraId="6706D940">
      <w:pPr>
        <w:pStyle w:val="105"/>
        <w:spacing w:before="240"/>
        <w:ind w:left="1" w:leftChars="-236" w:hanging="567" w:hangingChars="270"/>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906145</wp:posOffset>
                </wp:positionH>
                <wp:positionV relativeFrom="paragraph">
                  <wp:posOffset>3078480</wp:posOffset>
                </wp:positionV>
                <wp:extent cx="473710" cy="248920"/>
                <wp:effectExtent l="495300" t="0" r="21590" b="341630"/>
                <wp:wrapNone/>
                <wp:docPr id="1622346450" name="对话气泡: 矩形 11"/>
                <wp:cNvGraphicFramePr/>
                <a:graphic xmlns:a="http://schemas.openxmlformats.org/drawingml/2006/main">
                  <a:graphicData uri="http://schemas.microsoft.com/office/word/2010/wordprocessingShape">
                    <wps:wsp>
                      <wps:cNvSpPr/>
                      <wps:spPr>
                        <a:xfrm>
                          <a:off x="0" y="0"/>
                          <a:ext cx="473710" cy="248920"/>
                        </a:xfrm>
                        <a:prstGeom prst="wedgeRectCallout">
                          <a:avLst>
                            <a:gd name="adj1" fmla="val -146204"/>
                            <a:gd name="adj2" fmla="val 164836"/>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21EC48">
                            <w:pPr>
                              <w:pStyle w:val="105"/>
                              <w:spacing w:before="100" w:beforeAutospacing="1" w:after="100" w:afterAutospacing="1"/>
                              <w:rPr>
                                <w:b/>
                                <w:bCs/>
                                <w:color w:val="FF0000"/>
                                <w:sz w:val="20"/>
                                <w:szCs w:val="24"/>
                              </w:rPr>
                            </w:pPr>
                            <w:r>
                              <w:rPr>
                                <w:rFonts w:hint="eastAsia"/>
                                <w:b/>
                                <w:bCs/>
                                <w:color w:val="FF0000"/>
                                <w:sz w:val="20"/>
                                <w:szCs w:val="24"/>
                              </w:rPr>
                              <w:t>线路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1" o:spid="_x0000_s1026" o:spt="61" type="#_x0000_t61" style="position:absolute;left:0pt;margin-left:71.35pt;margin-top:242.4pt;height:19.6pt;width:37.3pt;z-index:251697152;v-text-anchor:middle;mso-width-relative:page;mso-height-relative:page;" fillcolor="#FFFFFF [3212]" filled="t" stroked="t" coordsize="21600,21600" o:gfxdata="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VldEV2QAAAAsBAAAP&#10;AAAAAAAAAAEAIAAAACIAAABkcnMvZG93bnJldi54bWxQSwECFAAUAAAACACHTuJAvABuhsICAAB1&#10;BQAADgAAAAAAAAABACAAAAAoAQAAZHJzL2Uyb0RvYy54bWxQSwUGAAAAAAYABgBZAQAAXAYAAAAA&#10;" adj="-20780,46405">
                <v:fill on="t" focussize="0,0"/>
                <v:stroke weight="0.25pt" color="#000000 [3213]" miterlimit="8" joinstyle="miter"/>
                <v:imagedata o:title=""/>
                <o:lock v:ext="edit" aspectratio="f"/>
                <v:textbox>
                  <w:txbxContent>
                    <w:p w14:paraId="2721EC48">
                      <w:pPr>
                        <w:pStyle w:val="105"/>
                        <w:spacing w:before="100" w:beforeAutospacing="1" w:after="100" w:afterAutospacing="1"/>
                        <w:rPr>
                          <w:b/>
                          <w:bCs/>
                          <w:color w:val="FF0000"/>
                          <w:sz w:val="20"/>
                          <w:szCs w:val="24"/>
                        </w:rPr>
                      </w:pPr>
                      <w:r>
                        <w:rPr>
                          <w:rFonts w:hint="eastAsia"/>
                          <w:b/>
                          <w:bCs/>
                          <w:color w:val="FF0000"/>
                          <w:sz w:val="20"/>
                          <w:szCs w:val="24"/>
                        </w:rPr>
                        <w:t>线路</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margin">
                  <wp:posOffset>-872490</wp:posOffset>
                </wp:positionH>
                <wp:positionV relativeFrom="paragraph">
                  <wp:posOffset>2407285</wp:posOffset>
                </wp:positionV>
                <wp:extent cx="3418205" cy="2372995"/>
                <wp:effectExtent l="0" t="0" r="0" b="0"/>
                <wp:wrapNone/>
                <wp:docPr id="50" name="矩形 50"/>
                <wp:cNvGraphicFramePr/>
                <a:graphic xmlns:a="http://schemas.openxmlformats.org/drawingml/2006/main">
                  <a:graphicData uri="http://schemas.microsoft.com/office/word/2010/wordprocessingShape">
                    <wps:wsp>
                      <wps:cNvSpPr/>
                      <wps:spPr>
                        <a:xfrm>
                          <a:off x="0" y="0"/>
                          <a:ext cx="3418205" cy="237295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F200EA">
                            <w:pPr>
                              <w:spacing w:before="100" w:beforeAutospacing="1" w:after="100" w:afterAutospacing="1" w:line="240" w:lineRule="auto"/>
                              <w:ind w:left="-120" w:leftChars="-50" w:right="-120" w:rightChars="-50" w:firstLine="0" w:firstLineChars="0"/>
                              <w:jc w:val="center"/>
                            </w:pPr>
                            <w:r>
                              <w:drawing>
                                <wp:inline distT="0" distB="0" distL="0" distR="0">
                                  <wp:extent cx="2285365" cy="2066290"/>
                                  <wp:effectExtent l="19050" t="19050" r="19685" b="10160"/>
                                  <wp:docPr id="1622346448" name="图片 162234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48" name="图片 1622346448"/>
                                          <pic:cNvPicPr>
                                            <a:picLocks noChangeAspect="1"/>
                                          </pic:cNvPicPr>
                                        </pic:nvPicPr>
                                        <pic:blipFill>
                                          <a:blip r:embed="rId108"/>
                                          <a:stretch>
                                            <a:fillRect/>
                                          </a:stretch>
                                        </pic:blipFill>
                                        <pic:spPr>
                                          <a:xfrm>
                                            <a:off x="0" y="0"/>
                                            <a:ext cx="2285365" cy="2066290"/>
                                          </a:xfrm>
                                          <a:prstGeom prst="rect">
                                            <a:avLst/>
                                          </a:prstGeom>
                                          <a:ln>
                                            <a:solidFill>
                                              <a:schemeClr val="tx1"/>
                                            </a:solid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7pt;margin-top:189.55pt;height:186.85pt;width:269.15pt;mso-position-horizontal-relative:margin;z-index:251693056;v-text-anchor:middle;mso-width-relative:page;mso-height-relative:page;" filled="f" stroked="f" coordsize="21600,21600" o:gfxdata="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ooQ3XbAAAADAEAAA8AAAAAAAAAAQAgAAAAIgAAAGRycy9kb3ducmV2LnhtbFBLAQIU&#10;ABQAAAAIAIdO4kD9oGmSYgIAALAEAAAOAAAAAAAAAAEAIAAAACoBAABkcnMvZTJvRG9jLnhtbFBL&#10;BQYAAAAABgAGAFkBAAD+BQAAAAA=&#10;">
                <v:fill on="f" focussize="0,0"/>
                <v:stroke on="f" weight="1pt" miterlimit="8" joinstyle="miter"/>
                <v:imagedata o:title=""/>
                <o:lock v:ext="edit" aspectratio="f"/>
                <v:textbox>
                  <w:txbxContent>
                    <w:p w14:paraId="55F200EA">
                      <w:pPr>
                        <w:spacing w:before="100" w:beforeAutospacing="1" w:after="100" w:afterAutospacing="1" w:line="240" w:lineRule="auto"/>
                        <w:ind w:left="-120" w:leftChars="-50" w:right="-120" w:rightChars="-50" w:firstLine="0" w:firstLineChars="0"/>
                        <w:jc w:val="center"/>
                      </w:pPr>
                      <w:r>
                        <w:drawing>
                          <wp:inline distT="0" distB="0" distL="0" distR="0">
                            <wp:extent cx="2285365" cy="2066290"/>
                            <wp:effectExtent l="19050" t="19050" r="19685" b="10160"/>
                            <wp:docPr id="1622346448" name="图片 162234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48" name="图片 1622346448"/>
                                    <pic:cNvPicPr>
                                      <a:picLocks noChangeAspect="1"/>
                                    </pic:cNvPicPr>
                                  </pic:nvPicPr>
                                  <pic:blipFill>
                                    <a:blip r:embed="rId108"/>
                                    <a:stretch>
                                      <a:fillRect/>
                                    </a:stretch>
                                  </pic:blipFill>
                                  <pic:spPr>
                                    <a:xfrm>
                                      <a:off x="0" y="0"/>
                                      <a:ext cx="2285365" cy="2066290"/>
                                    </a:xfrm>
                                    <a:prstGeom prst="rect">
                                      <a:avLst/>
                                    </a:prstGeom>
                                    <a:ln>
                                      <a:solidFill>
                                        <a:schemeClr val="tx1"/>
                                      </a:solidFill>
                                    </a:ln>
                                  </pic:spPr>
                                </pic:pic>
                              </a:graphicData>
                            </a:graphic>
                          </wp:inline>
                        </w:drawing>
                      </w:r>
                    </w:p>
                  </w:txbxContent>
                </v:textbox>
              </v:rect>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2880995</wp:posOffset>
                </wp:positionH>
                <wp:positionV relativeFrom="paragraph">
                  <wp:posOffset>1874520</wp:posOffset>
                </wp:positionV>
                <wp:extent cx="473710" cy="248920"/>
                <wp:effectExtent l="495300" t="0" r="21590" b="341630"/>
                <wp:wrapNone/>
                <wp:docPr id="62" name="对话气泡: 矩形 11"/>
                <wp:cNvGraphicFramePr/>
                <a:graphic xmlns:a="http://schemas.openxmlformats.org/drawingml/2006/main">
                  <a:graphicData uri="http://schemas.microsoft.com/office/word/2010/wordprocessingShape">
                    <wps:wsp>
                      <wps:cNvSpPr/>
                      <wps:spPr>
                        <a:xfrm>
                          <a:off x="0" y="0"/>
                          <a:ext cx="473710" cy="248920"/>
                        </a:xfrm>
                        <a:prstGeom prst="wedgeRectCallout">
                          <a:avLst>
                            <a:gd name="adj1" fmla="val -146204"/>
                            <a:gd name="adj2" fmla="val 164836"/>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D63784">
                            <w:pPr>
                              <w:pStyle w:val="105"/>
                              <w:spacing w:before="100" w:beforeAutospacing="1" w:after="100" w:afterAutospacing="1"/>
                              <w:rPr>
                                <w:b/>
                                <w:bCs/>
                                <w:color w:val="FF0000"/>
                                <w:sz w:val="20"/>
                                <w:szCs w:val="24"/>
                              </w:rPr>
                            </w:pPr>
                            <w:r>
                              <w:rPr>
                                <w:rFonts w:hint="eastAsia"/>
                                <w:b/>
                                <w:bCs/>
                                <w:color w:val="FF0000"/>
                                <w:sz w:val="20"/>
                                <w:szCs w:val="24"/>
                              </w:rPr>
                              <w:t>线路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1" o:spid="_x0000_s1026" o:spt="61" type="#_x0000_t61" style="position:absolute;left:0pt;margin-left:226.85pt;margin-top:147.6pt;height:19.6pt;width:37.3pt;z-index:251695104;v-text-anchor:middle;mso-width-relative:page;mso-height-relative:page;" fillcolor="#FFFFFF [3212]" filled="t" stroked="t" coordsize="21600,21600" o:gfxdata="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KZeEjrbAAAACwEAAA8AAAAA&#10;AAAAAQAgAAAAIgAAAGRycy9kb3ducmV2LnhtbFBLAQIUABQAAAAIAIdO4kCct5QlvAIAAG0FAAAO&#10;AAAAAAAAAAEAIAAAACoBAABkcnMvZTJvRG9jLnhtbFBLBQYAAAAABgAGAFkBAABYBgAAAAA=&#10;" adj="-20780,46405">
                <v:fill on="t" focussize="0,0"/>
                <v:stroke weight="0.25pt" color="#000000 [3213]" miterlimit="8" joinstyle="miter"/>
                <v:imagedata o:title=""/>
                <o:lock v:ext="edit" aspectratio="f"/>
                <v:textbox>
                  <w:txbxContent>
                    <w:p w14:paraId="27D63784">
                      <w:pPr>
                        <w:pStyle w:val="105"/>
                        <w:spacing w:before="100" w:beforeAutospacing="1" w:after="100" w:afterAutospacing="1"/>
                        <w:rPr>
                          <w:b/>
                          <w:bCs/>
                          <w:color w:val="FF0000"/>
                          <w:sz w:val="20"/>
                          <w:szCs w:val="24"/>
                        </w:rPr>
                      </w:pPr>
                      <w:r>
                        <w:rPr>
                          <w:rFonts w:hint="eastAsia"/>
                          <w:b/>
                          <w:bCs/>
                          <w:color w:val="FF0000"/>
                          <w:sz w:val="20"/>
                          <w:szCs w:val="24"/>
                        </w:rPr>
                        <w:t>线路</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2406650</wp:posOffset>
                </wp:positionH>
                <wp:positionV relativeFrom="paragraph">
                  <wp:posOffset>2369185</wp:posOffset>
                </wp:positionV>
                <wp:extent cx="45720" cy="45720"/>
                <wp:effectExtent l="38100" t="38100" r="50165" b="50165"/>
                <wp:wrapNone/>
                <wp:docPr id="9" name="星形: 四角 9"/>
                <wp:cNvGraphicFramePr/>
                <a:graphic xmlns:a="http://schemas.openxmlformats.org/drawingml/2006/main">
                  <a:graphicData uri="http://schemas.microsoft.com/office/word/2010/wordprocessingShape">
                    <wps:wsp>
                      <wps:cNvSpPr/>
                      <wps:spPr>
                        <a:xfrm>
                          <a:off x="0" y="0"/>
                          <a:ext cx="45719" cy="45719"/>
                        </a:xfrm>
                        <a:prstGeom prst="star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9" o:spid="_x0000_s1026" o:spt="187" type="#_x0000_t187" style="position:absolute;left:0pt;margin-left:189.5pt;margin-top:186.55pt;height:3.6pt;width:3.6pt;z-index:251694080;v-text-anchor:middle;mso-width-relative:page;mso-height-relative:page;" filled="f" stroked="t" coordsize="21600,21600" o:gfxdata="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iy4yj9kAAAALAQAADwAAAAAAAAABACAAAAAiAAAAZHJzL2Rv&#10;d25yZXYueG1sUEsBAhQAFAAAAAgAh07iQBzd1ENyAgAA0QQAAA4AAAAAAAAAAQAgAAAAKAEAAGRy&#10;cy9lMm9Eb2MueG1sUEsFBgAAAAAGAAYAWQEAAAwGAAAAAA==&#10;" adj="8100">
                <v:fill on="f" focussize="0,0"/>
                <v:stroke weight="1pt" color="#FF0000 [32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0" distR="0">
            <wp:extent cx="6404610" cy="4523740"/>
            <wp:effectExtent l="38100" t="38100" r="110490" b="105410"/>
            <wp:docPr id="1622346446" name="图片 162234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46" name="图片 1622346446"/>
                    <pic:cNvPicPr>
                      <a:picLocks noChangeAspect="1" noChangeArrowheads="1"/>
                    </pic:cNvPicPr>
                  </pic:nvPicPr>
                  <pic:blipFill>
                    <a:blip r:embed="rId109" cstate="email"/>
                    <a:srcRect/>
                    <a:stretch>
                      <a:fillRect/>
                    </a:stretch>
                  </pic:blipFill>
                  <pic:spPr>
                    <a:xfrm>
                      <a:off x="0" y="0"/>
                      <a:ext cx="6413960" cy="4530788"/>
                    </a:xfrm>
                    <a:prstGeom prst="rect">
                      <a:avLst/>
                    </a:prstGeom>
                    <a:ln w="3175" cap="sq">
                      <a:solidFill>
                        <a:srgbClr val="000000"/>
                      </a:solidFill>
                      <a:miter lim="800000"/>
                      <a:headEnd/>
                      <a:tailEnd/>
                    </a:ln>
                    <a:effectLst>
                      <a:outerShdw blurRad="57150" dist="50800" dir="2700000" algn="tl" rotWithShape="0">
                        <a:srgbClr val="000000">
                          <a:alpha val="40000"/>
                        </a:srgbClr>
                      </a:outerShdw>
                    </a:effectLst>
                  </pic:spPr>
                </pic:pic>
              </a:graphicData>
            </a:graphic>
          </wp:inline>
        </w:drawing>
      </w:r>
    </w:p>
    <w:p w14:paraId="3B9C48E7">
      <w:pPr>
        <w:pStyle w:val="122"/>
        <w:ind w:left="480" w:firstLine="480"/>
        <w:rPr>
          <w:color w:val="000000" w:themeColor="text1"/>
          <w14:textFill>
            <w14:solidFill>
              <w14:schemeClr w14:val="tx1"/>
            </w14:solidFill>
          </w14:textFill>
        </w:rPr>
      </w:pPr>
      <w:bookmarkStart w:id="476" w:name="_Ref148946245"/>
      <w:r>
        <w:rPr>
          <w:rFonts w:hint="eastAsia"/>
          <w:color w:val="000000" w:themeColor="text1"/>
          <w14:textFill>
            <w14:solidFill>
              <w14:schemeClr w14:val="tx1"/>
            </w14:solidFill>
          </w14:textFill>
        </w:rPr>
        <w:t>线路与福建省生态功能区划位置关系图</w:t>
      </w:r>
      <w:bookmarkEnd w:id="476"/>
    </w:p>
    <w:p w14:paraId="3CF0AF4F">
      <w:pPr>
        <w:pStyle w:val="105"/>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2711450</wp:posOffset>
                </wp:positionH>
                <wp:positionV relativeFrom="paragraph">
                  <wp:posOffset>1994535</wp:posOffset>
                </wp:positionV>
                <wp:extent cx="473710" cy="248920"/>
                <wp:effectExtent l="495300" t="0" r="21590" b="341630"/>
                <wp:wrapNone/>
                <wp:docPr id="29" name="对话气泡: 矩形 29"/>
                <wp:cNvGraphicFramePr/>
                <a:graphic xmlns:a="http://schemas.openxmlformats.org/drawingml/2006/main">
                  <a:graphicData uri="http://schemas.microsoft.com/office/word/2010/wordprocessingShape">
                    <wps:wsp>
                      <wps:cNvSpPr/>
                      <wps:spPr>
                        <a:xfrm>
                          <a:off x="0" y="0"/>
                          <a:ext cx="473710" cy="248920"/>
                        </a:xfrm>
                        <a:prstGeom prst="wedgeRectCallout">
                          <a:avLst>
                            <a:gd name="adj1" fmla="val -146204"/>
                            <a:gd name="adj2" fmla="val 164836"/>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58DA46">
                            <w:pPr>
                              <w:pStyle w:val="105"/>
                              <w:spacing w:before="100" w:beforeAutospacing="1" w:after="100" w:afterAutospacing="1"/>
                              <w:rPr>
                                <w:b/>
                                <w:bCs/>
                                <w:color w:val="FF0000"/>
                                <w:sz w:val="20"/>
                                <w:szCs w:val="24"/>
                              </w:rPr>
                            </w:pPr>
                            <w:r>
                              <w:rPr>
                                <w:rFonts w:hint="eastAsia"/>
                                <w:b/>
                                <w:bCs/>
                                <w:color w:val="FF0000"/>
                                <w:sz w:val="20"/>
                                <w:szCs w:val="24"/>
                              </w:rPr>
                              <w:t>线路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9" o:spid="_x0000_s1026" o:spt="61" type="#_x0000_t61" style="position:absolute;left:0pt;margin-left:213.5pt;margin-top:157.05pt;height:19.6pt;width:37.3pt;z-index:251696128;v-text-anchor:middle;mso-width-relative:page;mso-height-relative:page;" fillcolor="#FFFFFF [3212]" filled="t" stroked="t" coordsize="21600,21600" o:gfxdata="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HDL1t7bAAAACwEAAA8AAAAA&#10;AAAAAQAgAAAAIgAAAGRycy9kb3ducmV2LnhtbFBLAQIUABQAAAAIAIdO4kDytt2CvAIAAG0FAAAO&#10;AAAAAAAAAAEAIAAAACoBAABkcnMvZTJvRG9jLnhtbFBLBQYAAAAABgAGAFkBAABYBgAAAAA=&#10;" adj="-20780,46405">
                <v:fill on="t" focussize="0,0"/>
                <v:stroke weight="0.25pt" color="#000000 [3213]" miterlimit="8" joinstyle="miter"/>
                <v:imagedata o:title=""/>
                <o:lock v:ext="edit" aspectratio="f"/>
                <v:textbox>
                  <w:txbxContent>
                    <w:p w14:paraId="1058DA46">
                      <w:pPr>
                        <w:pStyle w:val="105"/>
                        <w:spacing w:before="100" w:beforeAutospacing="1" w:after="100" w:afterAutospacing="1"/>
                        <w:rPr>
                          <w:b/>
                          <w:bCs/>
                          <w:color w:val="FF0000"/>
                          <w:sz w:val="20"/>
                          <w:szCs w:val="24"/>
                        </w:rPr>
                      </w:pPr>
                      <w:r>
                        <w:rPr>
                          <w:rFonts w:hint="eastAsia"/>
                          <w:b/>
                          <w:bCs/>
                          <w:color w:val="FF0000"/>
                          <w:sz w:val="20"/>
                          <w:szCs w:val="24"/>
                        </w:rPr>
                        <w:t>线路</w:t>
                      </w:r>
                    </w:p>
                  </w:txbxContent>
                </v:textbox>
              </v:shape>
            </w:pict>
          </mc:Fallback>
        </mc:AlternateContent>
      </w:r>
      <w:r>
        <w:rPr>
          <w:color w:val="000000" w:themeColor="text1"/>
          <w14:textFill>
            <w14:solidFill>
              <w14:schemeClr w14:val="tx1"/>
            </w14:solidFill>
          </w14:textFill>
        </w:rPr>
        <w:drawing>
          <wp:inline distT="0" distB="0" distL="0" distR="0">
            <wp:extent cx="5991225" cy="5406390"/>
            <wp:effectExtent l="0" t="0" r="9525" b="3810"/>
            <wp:docPr id="1622346452" name="图片 162234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52" name="图片 1622346452"/>
                    <pic:cNvPicPr>
                      <a:picLocks noChangeAspect="1" noChangeArrowheads="1"/>
                    </pic:cNvPicPr>
                  </pic:nvPicPr>
                  <pic:blipFill>
                    <a:blip r:embed="rId110" cstate="email"/>
                    <a:srcRect/>
                    <a:stretch>
                      <a:fillRect/>
                    </a:stretch>
                  </pic:blipFill>
                  <pic:spPr>
                    <a:xfrm>
                      <a:off x="0" y="0"/>
                      <a:ext cx="5998807" cy="5413178"/>
                    </a:xfrm>
                    <a:prstGeom prst="rect">
                      <a:avLst/>
                    </a:prstGeom>
                    <a:noFill/>
                    <a:ln>
                      <a:noFill/>
                    </a:ln>
                  </pic:spPr>
                </pic:pic>
              </a:graphicData>
            </a:graphic>
          </wp:inline>
        </w:drawing>
      </w:r>
    </w:p>
    <w:p w14:paraId="7CE10FB6">
      <w:pPr>
        <w:pStyle w:val="122"/>
        <w:ind w:left="480" w:firstLine="480"/>
        <w:rPr>
          <w:color w:val="000000" w:themeColor="text1"/>
          <w14:textFill>
            <w14:solidFill>
              <w14:schemeClr w14:val="tx1"/>
            </w14:solidFill>
          </w14:textFill>
        </w:rPr>
      </w:pPr>
      <w:bookmarkStart w:id="477" w:name="_Ref148946289"/>
      <w:r>
        <w:rPr>
          <w:rFonts w:hint="eastAsia"/>
          <w:color w:val="000000" w:themeColor="text1"/>
          <w14:textFill>
            <w14:solidFill>
              <w14:schemeClr w14:val="tx1"/>
            </w14:solidFill>
          </w14:textFill>
        </w:rPr>
        <w:t>线路与福清市生态功能区划位置关系图</w:t>
      </w:r>
      <w:bookmarkEnd w:id="477"/>
    </w:p>
    <w:p w14:paraId="578A127A">
      <w:pPr>
        <w:pStyle w:val="120"/>
        <w:rPr>
          <w:color w:val="000000" w:themeColor="text1"/>
          <w14:textFill>
            <w14:solidFill>
              <w14:schemeClr w14:val="tx1"/>
            </w14:solidFill>
          </w14:textFill>
        </w:rPr>
      </w:pPr>
      <w:r>
        <w:rPr>
          <w:color w:val="000000" w:themeColor="text1"/>
          <w14:textFill>
            <w14:solidFill>
              <w14:schemeClr w14:val="tx1"/>
            </w14:solidFill>
          </w14:textFill>
        </w:rPr>
        <w:t>与</w:t>
      </w:r>
      <w:r>
        <w:rPr>
          <w:rFonts w:hint="eastAsia"/>
          <w:color w:val="000000" w:themeColor="text1"/>
          <w14:textFill>
            <w14:solidFill>
              <w14:schemeClr w14:val="tx1"/>
            </w14:solidFill>
          </w14:textFill>
        </w:rPr>
        <w:t>区域</w:t>
      </w:r>
      <w:r>
        <w:rPr>
          <w:color w:val="000000" w:themeColor="text1"/>
          <w14:textFill>
            <w14:solidFill>
              <w14:schemeClr w14:val="tx1"/>
            </w14:solidFill>
          </w14:textFill>
        </w:rPr>
        <w:t>规划的符合性分析</w:t>
      </w:r>
    </w:p>
    <w:p w14:paraId="6AE69476">
      <w:pPr>
        <w:pStyle w:val="118"/>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与福清市国土空间规划符合性分析</w:t>
      </w:r>
    </w:p>
    <w:p w14:paraId="5B9431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（1）主体功能区划</w:t>
      </w:r>
    </w:p>
    <w:p w14:paraId="2F3C119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《福清市国土空间总体规划（2021-2035 年）》（报批稿）提出：规划“一轴两湾五组团”的国土空间格局。一轴：龙江城市综合发展轴；两湾：福清湾生态宜居湾、江阴湾临港产业湾；五组团：中心城区组团、元洪港城组团、江阴港城组团、龙高半岛城镇组团、西北部特色生态组团。</w:t>
      </w:r>
    </w:p>
    <w:p w14:paraId="38083B65">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w:t>
      </w:r>
      <w:r>
        <w:rPr>
          <w:color w:val="000000" w:themeColor="text1"/>
          <w:lang w:val="zh-CN"/>
          <w14:textFill>
            <w14:solidFill>
              <w14:schemeClr w14:val="tx1"/>
            </w14:solidFill>
          </w14:textFill>
        </w:rPr>
        <w:t>2</w:t>
      </w:r>
      <w:r>
        <w:rPr>
          <w:rFonts w:hint="eastAsia"/>
          <w:color w:val="000000" w:themeColor="text1"/>
          <w:lang w:val="zh-CN"/>
          <w14:textFill>
            <w14:solidFill>
              <w14:schemeClr w14:val="tx1"/>
            </w14:solidFill>
          </w14:textFill>
        </w:rPr>
        <w:t>）</w:t>
      </w:r>
      <w:bookmarkStart w:id="478" w:name="hmcheck_ed9fc57ebc854dee9d7471118b584c3c"/>
      <w:r>
        <w:rPr>
          <w:rFonts w:hint="eastAsia"/>
          <w:color w:val="000000" w:themeColor="text1"/>
          <w:shd w:val="clear" w:fill="FFAFAA"/>
          <w:lang w:val="zh-CN"/>
          <w14:textFill>
            <w14:solidFill>
              <w14:schemeClr w14:val="tx1"/>
            </w14:solidFill>
          </w14:textFill>
        </w:rPr>
        <w:t>三区三线</w:t>
      </w:r>
      <w:bookmarkEnd w:id="478"/>
    </w:p>
    <w:p w14:paraId="57DF56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坚持底线思维，以国土空间规划为依据，将“三区三线”作为调整经济结构、规划产业发展、推进城镇化不可逾越的红线。</w:t>
      </w:r>
    </w:p>
    <w:p w14:paraId="165D99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）生态保护格局</w:t>
      </w:r>
    </w:p>
    <w:p w14:paraId="4810E9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《福清市国土空间总体规划（2021-2035 年）》市域层面构建 “一屏、一带、两廊、三区”的生态安全格局。一屏：西北部戴云山支脉生态屏障；一带：东部陆海交互生态带；两廊：龙江流域生态廊道、中部山海生态廊道；三区：灵石山</w:t>
      </w:r>
      <w:bookmarkStart w:id="479" w:name="hmcheck_40fcddd0bf5b4926b90546b92f642e28"/>
      <w:r>
        <w:rPr>
          <w:rFonts w:hint="eastAsia"/>
          <w:color w:val="000000" w:themeColor="text1"/>
          <w:shd w:val="clear" w:fill="FFAFAA"/>
          <w14:textFill>
            <w14:solidFill>
              <w14:schemeClr w14:val="tx1"/>
            </w14:solidFill>
          </w14:textFill>
        </w:rPr>
        <w:t>-</w:t>
      </w:r>
      <w:bookmarkEnd w:id="479"/>
      <w:r>
        <w:rPr>
          <w:rFonts w:hint="eastAsia"/>
          <w:color w:val="000000" w:themeColor="text1"/>
          <w14:textFill>
            <w14:solidFill>
              <w14:schemeClr w14:val="tx1"/>
            </w14:solidFill>
          </w14:textFill>
        </w:rPr>
        <w:t>石竹山生态保育区、兴化湾水鸟自然保护区、福清湾湿地生态保育区。</w:t>
      </w:r>
    </w:p>
    <w:p w14:paraId="58F4D356">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（4）协调性分析</w:t>
      </w:r>
    </w:p>
    <w:p w14:paraId="256664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rFonts w:hint="eastAsia" w:cs="Times New Roman"/>
          <w:color w:val="000000" w:themeColor="text1"/>
          <w:shd w:val="clear" w:color="auto" w:fill="FFFFFF"/>
          <w14:textFill>
            <w14:solidFill>
              <w14:schemeClr w14:val="tx1"/>
            </w14:solidFill>
          </w14:textFill>
        </w:rPr>
        <w:t>路线起于上迳镇牌边村，终点至黄檗山万福寺</w:t>
      </w:r>
      <w:r>
        <w:rPr>
          <w:rFonts w:hint="eastAsia"/>
          <w:color w:val="000000" w:themeColor="text1"/>
          <w14:textFill>
            <w14:solidFill>
              <w14:schemeClr w14:val="tx1"/>
            </w14:solidFill>
          </w14:textFill>
        </w:rPr>
        <w:t>。项目属于基础设施建设项目，有助于改善区域交通条件，符合国土空间规划的主体功能区划要求；</w:t>
      </w:r>
    </w:p>
    <w:p w14:paraId="386073AB">
      <w:pPr>
        <w:ind w:firstLine="480"/>
        <w:rPr>
          <w:color w:val="000000" w:themeColor="text1"/>
          <w14:textFill>
            <w14:solidFill>
              <w14:schemeClr w14:val="tx1"/>
            </w14:solidFill>
          </w14:textFill>
        </w:rPr>
      </w:pPr>
      <w:bookmarkStart w:id="480" w:name="_Hlk179797467"/>
      <w:r>
        <w:rPr>
          <w:rFonts w:hint="eastAsia"/>
          <w:color w:val="000000" w:themeColor="text1"/>
          <w14:textFill>
            <w14:solidFill>
              <w14:schemeClr w14:val="tx1"/>
            </w14:solidFill>
          </w14:textFill>
        </w:rPr>
        <w:t>②</w:t>
      </w:r>
      <w:bookmarkEnd w:id="480"/>
      <w:r>
        <w:rPr>
          <w:rFonts w:hint="eastAsia"/>
          <w:color w:val="000000" w:themeColor="text1"/>
          <w14:textFill>
            <w14:solidFill>
              <w14:schemeClr w14:val="tx1"/>
            </w14:solidFill>
          </w14:textFill>
        </w:rPr>
        <w:t>经核对及叠图分析，项目永久占地、临时占地均不涉及基本农田和生态保护红线，不会造成生态保护红线生态功能降低、面积减少、性质的改变，对生态红线区域环境影响较小，符合</w:t>
      </w:r>
      <w:bookmarkStart w:id="481" w:name="hmcheck_5e8fc14a69214e68be54bd8d304590cf"/>
      <w:r>
        <w:rPr>
          <w:rFonts w:hint="eastAsia"/>
          <w:color w:val="000000" w:themeColor="text1"/>
          <w:shd w:val="clear" w:fill="FFAFAA"/>
          <w14:textFill>
            <w14:solidFill>
              <w14:schemeClr w14:val="tx1"/>
            </w14:solidFill>
          </w14:textFill>
        </w:rPr>
        <w:t>三区三线</w:t>
      </w:r>
      <w:bookmarkEnd w:id="481"/>
      <w:r>
        <w:rPr>
          <w:rFonts w:hint="eastAsia"/>
          <w:color w:val="000000" w:themeColor="text1"/>
          <w14:textFill>
            <w14:solidFill>
              <w14:schemeClr w14:val="tx1"/>
            </w14:solidFill>
          </w14:textFill>
        </w:rPr>
        <w:t>要求。</w:t>
      </w:r>
    </w:p>
    <w:p w14:paraId="4C851D8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综上分析，项目建设符合《福清市国土空间总体规划（2021-2035 年）》。</w:t>
      </w:r>
    </w:p>
    <w:p w14:paraId="278CD82F">
      <w:pPr>
        <w:pStyle w:val="122"/>
        <w:numPr>
          <w:ilvl w:val="0"/>
          <w:numId w:val="0"/>
        </w:numPr>
        <w:rPr>
          <w:color w:val="000000" w:themeColor="text1"/>
          <w14:textFill>
            <w14:solidFill>
              <w14:schemeClr w14:val="tx1"/>
            </w14:solidFill>
          </w14:textFill>
        </w:rPr>
      </w:pPr>
    </w:p>
    <w:p w14:paraId="4C13261E">
      <w:pPr>
        <w:pStyle w:val="122"/>
        <w:numPr>
          <w:ilvl w:val="0"/>
          <w:numId w:val="0"/>
        </w:numPr>
        <w:rPr>
          <w:color w:val="000000" w:themeColor="text1"/>
          <w:lang w:val="zh-CN"/>
          <w14:textFill>
            <w14:solidFill>
              <w14:schemeClr w14:val="tx1"/>
            </w14:solidFill>
          </w14:textFill>
        </w:rPr>
      </w:pPr>
    </w:p>
    <w:p w14:paraId="1E213927">
      <w:pPr>
        <w:ind w:firstLine="480"/>
        <w:rPr>
          <w:rFonts w:cs="Times New Roman"/>
          <w:color w:val="000000" w:themeColor="text1"/>
          <w:szCs w:val="24"/>
          <w14:textFill>
            <w14:solidFill>
              <w14:schemeClr w14:val="tx1"/>
            </w14:solidFill>
          </w14:textFill>
        </w:rPr>
        <w:sectPr>
          <w:pgSz w:w="11906" w:h="16838"/>
          <w:pgMar w:top="1418" w:right="1418" w:bottom="1418" w:left="1418" w:header="851" w:footer="851" w:gutter="0"/>
          <w:cols w:space="720" w:num="1"/>
          <w:docGrid w:linePitch="326" w:charSpace="0"/>
        </w:sectPr>
      </w:pPr>
      <w:bookmarkStart w:id="482" w:name="2.9.3.3“三线一单”的符合性分析"/>
      <w:bookmarkEnd w:id="482"/>
    </w:p>
    <w:p w14:paraId="722955F1">
      <w:pPr>
        <w:pStyle w:val="114"/>
        <w:rPr>
          <w:color w:val="000000" w:themeColor="text1"/>
          <w14:textFill>
            <w14:solidFill>
              <w14:schemeClr w14:val="tx1"/>
            </w14:solidFill>
          </w14:textFill>
        </w:rPr>
      </w:pPr>
      <w:bookmarkStart w:id="483" w:name="3环境现状调查与评价"/>
      <w:bookmarkEnd w:id="483"/>
      <w:bookmarkStart w:id="484" w:name="_Toc159405468"/>
      <w:bookmarkStart w:id="485" w:name="_Toc193912375"/>
      <w:bookmarkStart w:id="486" w:name="_Toc17447"/>
      <w:r>
        <w:rPr>
          <w:color w:val="000000" w:themeColor="text1"/>
          <w14:textFill>
            <w14:solidFill>
              <w14:schemeClr w14:val="tx1"/>
            </w14:solidFill>
          </w14:textFill>
        </w:rPr>
        <w:t>环境现状调查与评价</w:t>
      </w:r>
      <w:bookmarkEnd w:id="484"/>
      <w:bookmarkEnd w:id="485"/>
      <w:bookmarkEnd w:id="486"/>
    </w:p>
    <w:p w14:paraId="0BD6D607">
      <w:pPr>
        <w:pStyle w:val="116"/>
        <w:rPr>
          <w:color w:val="000000" w:themeColor="text1"/>
          <w14:textFill>
            <w14:solidFill>
              <w14:schemeClr w14:val="tx1"/>
            </w14:solidFill>
          </w14:textFill>
        </w:rPr>
      </w:pPr>
      <w:bookmarkStart w:id="487" w:name="3.1自然环境现状调查与评价"/>
      <w:bookmarkEnd w:id="487"/>
      <w:bookmarkStart w:id="488" w:name="_Toc159405469"/>
      <w:bookmarkStart w:id="489" w:name="_Toc154668035"/>
      <w:bookmarkStart w:id="490" w:name="_Toc193912376"/>
      <w:r>
        <w:rPr>
          <w:rFonts w:hint="eastAsia"/>
          <w:color w:val="000000" w:themeColor="text1"/>
          <w14:textFill>
            <w14:solidFill>
              <w14:schemeClr w14:val="tx1"/>
            </w14:solidFill>
          </w14:textFill>
        </w:rPr>
        <w:t>自然环境现状调查</w:t>
      </w:r>
      <w:bookmarkEnd w:id="488"/>
      <w:bookmarkEnd w:id="489"/>
      <w:bookmarkEnd w:id="490"/>
    </w:p>
    <w:p w14:paraId="656902B1">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地理位置</w:t>
      </w:r>
    </w:p>
    <w:p w14:paraId="4A021FD8">
      <w:pPr>
        <w:ind w:firstLine="480"/>
        <w:rPr>
          <w:color w:val="000000" w:themeColor="text1"/>
          <w14:textFill>
            <w14:solidFill>
              <w14:schemeClr w14:val="tx1"/>
            </w14:solidFill>
          </w14:textFill>
        </w:rPr>
      </w:pPr>
      <w:r>
        <w:rPr>
          <w:color w:val="000000" w:themeColor="text1"/>
          <w14:textFill>
            <w14:solidFill>
              <w14:schemeClr w14:val="tx1"/>
            </w14:solidFill>
          </w14:textFill>
        </w:rPr>
        <w:t>福清市为福州市的下辖县级市，位于福建省东部沿海，地理位置为东经119°03′～119°42′，北纬25°18′～25°52′之间。北与长乐</w:t>
      </w:r>
      <w:r>
        <w:rPr>
          <w:rFonts w:hint="eastAsia"/>
          <w:color w:val="000000" w:themeColor="text1"/>
          <w14:textFill>
            <w14:solidFill>
              <w14:schemeClr w14:val="tx1"/>
            </w14:solidFill>
          </w14:textFill>
        </w:rPr>
        <w:t>区</w:t>
      </w:r>
      <w:r>
        <w:rPr>
          <w:color w:val="000000" w:themeColor="text1"/>
          <w14:textFill>
            <w14:solidFill>
              <w14:schemeClr w14:val="tx1"/>
            </w14:solidFill>
          </w14:textFill>
        </w:rPr>
        <w:t>、</w:t>
      </w:r>
      <w:r>
        <w:rPr>
          <w:rFonts w:ascii="Segoe UI" w:hAnsi="Segoe UI" w:cs="Segoe UI"/>
          <w:color w:val="404040"/>
        </w:rPr>
        <w:t>闽侯县、永泰县</w:t>
      </w:r>
      <w:r>
        <w:rPr>
          <w:color w:val="000000" w:themeColor="text1"/>
          <w14:textFill>
            <w14:solidFill>
              <w14:schemeClr w14:val="tx1"/>
            </w14:solidFill>
          </w14:textFill>
        </w:rPr>
        <w:t>交界，西与莆田市毗邻，东隔海坛海峡与平潭县相望，南濒兴化湾与莆田市南日岛遥对。市区总面积244.5km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p>
    <w:p w14:paraId="4F1A34C9">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渔溪镇：渔溪镇位于福清市西部，地理坐标为东经119°13´，北纬25°37´，距福清市区19km，到福州64km，至莆田44km。镇区距融侨集装箱码头仅8km，距离江阴开发区15km，离元洪码头35km。渔溪镇内交通十分便捷，境内福厦公路、福泉高速公路以及福厦铁路纵贯南北，地理位置优势凸显。</w:t>
      </w:r>
    </w:p>
    <w:p w14:paraId="78B56090">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上迳镇：上迳镇位于福清市西南部。福厦公路、福厦铁路纵贯南北，胶龙公路横穿东西，东抵龙高半岛，南与渔溪镇毗邻，北与宏路街道、龙江街道交界，距城区12公里。</w:t>
      </w:r>
    </w:p>
    <w:p w14:paraId="464B835F">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拟建项目位于福建省福清市渔溪镇、上迳镇，所在走廊带内现有福厦高铁、沈海高速、多条县道村道。</w:t>
      </w:r>
    </w:p>
    <w:p w14:paraId="492DEDD9">
      <w:pPr>
        <w:pStyle w:val="105"/>
        <w:rPr>
          <w:color w:val="000000" w:themeColor="text1"/>
          <w:lang w:val="zh-CN"/>
          <w14:textFill>
            <w14:solidFill>
              <w14:schemeClr w14:val="tx1"/>
            </w14:solidFill>
          </w14:textFill>
        </w:rPr>
      </w:pPr>
      <w:r>
        <w:rPr>
          <w:color w:val="000000" w:themeColor="text1"/>
          <w14:textFill>
            <w14:solidFill>
              <w14:schemeClr w14:val="tx1"/>
            </w14:solidFill>
          </w14:textFill>
        </w:rPr>
        <w:drawing>
          <wp:inline distT="0" distB="0" distL="0" distR="0">
            <wp:extent cx="6226175" cy="8303895"/>
            <wp:effectExtent l="0" t="0" r="3175" b="190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11" cstate="email"/>
                    <a:stretch>
                      <a:fillRect/>
                    </a:stretch>
                  </pic:blipFill>
                  <pic:spPr>
                    <a:xfrm>
                      <a:off x="0" y="0"/>
                      <a:ext cx="6237883" cy="8319012"/>
                    </a:xfrm>
                    <a:prstGeom prst="rect">
                      <a:avLst/>
                    </a:prstGeom>
                  </pic:spPr>
                </pic:pic>
              </a:graphicData>
            </a:graphic>
          </wp:inline>
        </w:drawing>
      </w:r>
    </w:p>
    <w:p w14:paraId="0EE36B11">
      <w:pPr>
        <w:pStyle w:val="122"/>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项目所在地理位置图</w:t>
      </w:r>
    </w:p>
    <w:p w14:paraId="03E89330">
      <w:pPr>
        <w:ind w:firstLine="480"/>
        <w:rPr>
          <w:lang w:val="zh-CN"/>
        </w:rPr>
      </w:pPr>
    </w:p>
    <w:p w14:paraId="64A47811">
      <w:pPr>
        <w:pStyle w:val="120"/>
        <w:rPr>
          <w:color w:val="000000" w:themeColor="text1"/>
          <w14:textFill>
            <w14:solidFill>
              <w14:schemeClr w14:val="tx1"/>
            </w14:solidFill>
          </w14:textFill>
        </w:rPr>
      </w:pPr>
      <w:bookmarkStart w:id="491" w:name="3.1.2地形地貌"/>
      <w:bookmarkEnd w:id="491"/>
      <w:r>
        <w:rPr>
          <w:color w:val="000000" w:themeColor="text1"/>
          <w14:textFill>
            <w14:solidFill>
              <w14:schemeClr w14:val="tx1"/>
            </w14:solidFill>
          </w14:textFill>
        </w:rPr>
        <w:t>地形地貌</w:t>
      </w:r>
    </w:p>
    <w:p w14:paraId="0BBF0BD6">
      <w:pPr>
        <w:ind w:firstLine="480"/>
        <w:rPr>
          <w:color w:val="000000" w:themeColor="text1"/>
          <w14:textFill>
            <w14:solidFill>
              <w14:schemeClr w14:val="tx1"/>
            </w14:solidFill>
          </w14:textFill>
        </w:rPr>
      </w:pPr>
      <w:r>
        <w:rPr>
          <w:color w:val="000000" w:themeColor="text1"/>
          <w14:textFill>
            <w14:solidFill>
              <w14:schemeClr w14:val="tx1"/>
            </w14:solidFill>
          </w14:textFill>
        </w:rPr>
        <w:t>福清位于戴云山脉和滨海平原之间的过渡地带，丘陵、山地占有很大的比例，地质基础较为复杂，地域分异巨大。境内地形以丘陵低山为主，其面积占全境的4/5；平原和河谷盆地小而零散，面积占全境1/5。西部、北部多山，属戴云山向东蜿蜒的支脉，山峦重叠，海拔多超过500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。其中罗汉山、齐云山、后溪山等超过800米；古崖山海拔1000.3</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，是全境最高峰。地势西北高、东南低，渔溪、迳江、三叉河等江流大都向东或向东南注入福清湾或兴化湾。福清城市市区所辖范围，主要为低山丘陵，适宜建设用地集中于谷内洪积－冲积平原。</w:t>
      </w:r>
    </w:p>
    <w:p w14:paraId="5A382B88">
      <w:pPr>
        <w:ind w:firstLine="480"/>
        <w:rPr>
          <w:color w:val="000000" w:themeColor="text1"/>
          <w:lang w:val="zh-CN"/>
          <w14:textFill>
            <w14:solidFill>
              <w14:schemeClr w14:val="tx1"/>
            </w14:solidFill>
          </w14:textFill>
        </w:rPr>
      </w:pPr>
      <w:r>
        <w:rPr>
          <w:rFonts w:ascii="Segoe UI" w:hAnsi="Segoe UI" w:cs="Segoe UI"/>
          <w:color w:val="404040"/>
        </w:rPr>
        <w:t>拟建路线方案所处地形地貌较复杂</w:t>
      </w:r>
      <w:r>
        <w:rPr>
          <w:rFonts w:hint="eastAsia"/>
          <w:color w:val="000000" w:themeColor="text1"/>
          <w:lang w:val="zh-CN"/>
          <w14:textFill>
            <w14:solidFill>
              <w14:schemeClr w14:val="tx1"/>
            </w14:solidFill>
          </w14:textFill>
        </w:rPr>
        <w:t>，主要有冲洪积平原、河流（阶地）地貌、丘陵地貌，地形起伏局部稍大，绝大部分的绝对</w:t>
      </w:r>
      <w:bookmarkStart w:id="492" w:name="hmcheck_9e0d9eeb6dd241119fa71c7f8f414cbb"/>
      <w:r>
        <w:rPr>
          <w:rFonts w:hint="eastAsia"/>
          <w:color w:val="000000" w:themeColor="text1"/>
          <w:shd w:val="clear" w:fill="FFAFAA"/>
          <w:lang w:val="zh-CN"/>
          <w14:textFill>
            <w14:solidFill>
              <w14:schemeClr w14:val="tx1"/>
            </w14:solidFill>
          </w14:textFill>
        </w:rPr>
        <w:t>海拔高度</w:t>
      </w:r>
      <w:bookmarkEnd w:id="492"/>
      <w:r>
        <w:rPr>
          <w:rFonts w:hint="eastAsia"/>
          <w:color w:val="000000" w:themeColor="text1"/>
          <w:lang w:val="zh-CN"/>
          <w14:textFill>
            <w14:solidFill>
              <w14:schemeClr w14:val="tx1"/>
            </w14:solidFill>
          </w14:textFill>
        </w:rPr>
        <w:t>在30m以内，相对高差一般在10m以内。</w:t>
      </w:r>
    </w:p>
    <w:p w14:paraId="28DC31EE">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丘陵地貌区多呈浑圆形平顶状，地势稍陡，地形坡度一般5~15°，局部达15~25°，其</w:t>
      </w:r>
      <w:bookmarkStart w:id="493" w:name="hmcheck_35be49fb45d34e1ba1f22d10972ac883"/>
      <w:r>
        <w:rPr>
          <w:rFonts w:hint="eastAsia"/>
          <w:color w:val="000000" w:themeColor="text1"/>
          <w:shd w:val="clear" w:fill="FFAFAA"/>
          <w:lang w:val="zh-CN"/>
          <w14:textFill>
            <w14:solidFill>
              <w14:schemeClr w14:val="tx1"/>
            </w14:solidFill>
          </w14:textFill>
        </w:rPr>
        <w:t>海拔高度</w:t>
      </w:r>
      <w:bookmarkEnd w:id="493"/>
      <w:r>
        <w:rPr>
          <w:rFonts w:hint="eastAsia"/>
          <w:color w:val="000000" w:themeColor="text1"/>
          <w:lang w:val="zh-CN"/>
          <w14:textFill>
            <w14:solidFill>
              <w14:schemeClr w14:val="tx1"/>
            </w14:solidFill>
          </w14:textFill>
        </w:rPr>
        <w:t>10至25m不等，相对高差小于15m。侏罗系南园组凝灰熔岩构成，风化均匀性差，钻探揭露有孤石发育。</w:t>
      </w:r>
    </w:p>
    <w:p w14:paraId="6464DC44">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冲洪积平原为沿线路分布的主要地貌区，地势开阔平坦，地表分布较多旱田和既有道路，地表多为硬化路面和硬壳土层，下伏地层则主要由</w:t>
      </w:r>
      <w:bookmarkStart w:id="494" w:name="hmcheck_4d8aa43f0e8c4029975763cd3a0a90cc"/>
      <w:r>
        <w:rPr>
          <w:rFonts w:hint="eastAsia"/>
          <w:color w:val="000000" w:themeColor="text1"/>
          <w:shd w:val="clear" w:fill="FFAFAA"/>
          <w:lang w:val="zh-CN"/>
          <w14:textFill>
            <w14:solidFill>
              <w14:schemeClr w14:val="tx1"/>
            </w14:solidFill>
          </w14:textFill>
        </w:rPr>
        <w:t>粘性</w:t>
      </w:r>
      <w:bookmarkEnd w:id="494"/>
      <w:r>
        <w:rPr>
          <w:rFonts w:hint="eastAsia"/>
          <w:color w:val="000000" w:themeColor="text1"/>
          <w:lang w:val="zh-CN"/>
          <w14:textFill>
            <w14:solidFill>
              <w14:schemeClr w14:val="tx1"/>
            </w14:solidFill>
          </w14:textFill>
        </w:rPr>
        <w:t>土、卵石组成。</w:t>
      </w:r>
    </w:p>
    <w:p w14:paraId="019CB176">
      <w:pPr>
        <w:pStyle w:val="120"/>
        <w:rPr>
          <w:color w:val="000000" w:themeColor="text1"/>
          <w14:textFill>
            <w14:solidFill>
              <w14:schemeClr w14:val="tx1"/>
            </w14:solidFill>
          </w14:textFill>
        </w:rPr>
      </w:pPr>
      <w:bookmarkStart w:id="495" w:name="3.1.3地层地质"/>
      <w:bookmarkEnd w:id="495"/>
      <w:r>
        <w:rPr>
          <w:color w:val="000000" w:themeColor="text1"/>
          <w14:textFill>
            <w14:solidFill>
              <w14:schemeClr w14:val="tx1"/>
            </w14:solidFill>
          </w14:textFill>
        </w:rPr>
        <w:t>地层地质</w:t>
      </w:r>
    </w:p>
    <w:p w14:paraId="21A94DA0">
      <w:pPr>
        <w:ind w:firstLine="480"/>
        <w:rPr>
          <w:color w:val="000000" w:themeColor="text1"/>
          <w14:textFill>
            <w14:solidFill>
              <w14:schemeClr w14:val="tx1"/>
            </w14:solidFill>
          </w14:textFill>
        </w:rPr>
      </w:pPr>
      <w:bookmarkStart w:id="496" w:name="OLE_LINK2"/>
      <w:r>
        <w:rPr>
          <w:rFonts w:hint="eastAsia"/>
          <w:color w:val="000000" w:themeColor="text1"/>
          <w14:textFill>
            <w14:solidFill>
              <w14:schemeClr w14:val="tx1"/>
            </w14:solidFill>
          </w14:textFill>
        </w:rPr>
        <w:t>根据岩土的地质年代、成因类型、工程地质性质，将地基土划分为若干个工程地质层组，主要包括第四系堆积物和前第四系基岩。</w:t>
      </w:r>
    </w:p>
    <w:p w14:paraId="686445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（1）第四系堆积物主要有：第四系全新统冲洪积层（Q4al+pl）耕植土、粉质粘土、卵石，第四系人工堆积层（Q4me）素填土、局部发育填石，第四系残坡积层（</w:t>
      </w:r>
      <w:bookmarkStart w:id="497" w:name="hmcheck_3911ceef2c5448a0acca6e72117f3ae2"/>
      <w:r>
        <w:rPr>
          <w:rFonts w:hint="eastAsia"/>
          <w:color w:val="000000" w:themeColor="text1"/>
          <w:shd w:val="clear" w:fill="FFAFAA"/>
          <w14:textFill>
            <w14:solidFill>
              <w14:schemeClr w14:val="tx1"/>
            </w14:solidFill>
          </w14:textFill>
        </w:rPr>
        <w:t>Qel</w:t>
      </w:r>
      <w:bookmarkEnd w:id="497"/>
      <w:r>
        <w:rPr>
          <w:rFonts w:hint="eastAsia"/>
          <w:color w:val="000000" w:themeColor="text1"/>
          <w14:textFill>
            <w14:solidFill>
              <w14:schemeClr w14:val="tx1"/>
            </w14:solidFill>
          </w14:textFill>
        </w:rPr>
        <w:t>-dl）坡积含碎石粉质粘土、残积砂质黏性土。</w:t>
      </w:r>
    </w:p>
    <w:p w14:paraId="65CC18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（2）前第四系地层：侏罗系晚期南园组凝灰熔岩及其风化层（J3n）。包括中、微风化凝灰熔岩及其强风化层，各层位具体的变化详见沿线工程地质纵断面图和钻孔柱状图。</w:t>
      </w:r>
    </w:p>
    <w:bookmarkEnd w:id="496"/>
    <w:p w14:paraId="73FFA789">
      <w:pPr>
        <w:pStyle w:val="120"/>
        <w:rPr>
          <w:color w:val="000000" w:themeColor="text1"/>
          <w14:textFill>
            <w14:solidFill>
              <w14:schemeClr w14:val="tx1"/>
            </w14:solidFill>
          </w14:textFill>
        </w:rPr>
      </w:pPr>
      <w:bookmarkStart w:id="498" w:name="3.1.5水文地质"/>
      <w:bookmarkEnd w:id="498"/>
      <w:r>
        <w:rPr>
          <w:rFonts w:hint="eastAsia"/>
          <w:color w:val="000000" w:themeColor="text1"/>
          <w14:textFill>
            <w14:solidFill>
              <w14:schemeClr w14:val="tx1"/>
            </w14:solidFill>
          </w14:textFill>
        </w:rPr>
        <w:t>地表水系</w:t>
      </w:r>
      <w:r>
        <w:rPr>
          <w:color w:val="000000" w:themeColor="text1"/>
          <w14:textFill>
            <w14:solidFill>
              <w14:schemeClr w14:val="tx1"/>
            </w14:solidFill>
          </w14:textFill>
        </w:rPr>
        <w:t>概况</w:t>
      </w:r>
    </w:p>
    <w:p w14:paraId="59D6854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迳江（六亩河）位于渔溪之北，河道主要有两源，一源在大帽山东麓，一源在罗汉山东麓，根据水行政主管部门意见，罗汉山东麓途径香城水库这一源为迳江干流。迳江干流发源于罗</w:t>
      </w:r>
      <w:bookmarkStart w:id="499" w:name="hmcheck_f12dc15f35394bb6b92089b50adc83f3"/>
      <w:r>
        <w:rPr>
          <w:rFonts w:hint="eastAsia"/>
          <w:color w:val="000000" w:themeColor="text1"/>
          <w:shd w:val="clear" w:fill="FFAFAA"/>
          <w14:textFill>
            <w14:solidFill>
              <w14:schemeClr w14:val="tx1"/>
            </w14:solidFill>
          </w14:textFill>
        </w:rPr>
        <w:t>山山东</w:t>
      </w:r>
      <w:bookmarkEnd w:id="499"/>
      <w:r>
        <w:rPr>
          <w:rFonts w:hint="eastAsia"/>
          <w:color w:val="000000" w:themeColor="text1"/>
          <w14:textFill>
            <w14:solidFill>
              <w14:schemeClr w14:val="tx1"/>
            </w14:solidFill>
          </w14:textFill>
        </w:rPr>
        <w:t>麓，上游仅有香城水库这一水利工程，位于渔溪镇侨丰村，坝址以上集雨面积6.0km2，河道长3.31km，河道平均比降66.8‰。水流自香城水库流出后，从西北向东南穿过G15沈海高速桥，在洋头村附近转向西南，经过侨丰村、岭脚村、李园村，于王房村后郑桥附近接纳来自大帽山东麓的支流后继续东流，经上迳镇的牌边、海头，又与源于玻璃岭的支流相汇，在上</w:t>
      </w:r>
      <w:bookmarkStart w:id="500" w:name="hmcheck_3e02ad68ca934266b0121408678551db"/>
      <w:r>
        <w:rPr>
          <w:rFonts w:hint="eastAsia"/>
          <w:color w:val="000000" w:themeColor="text1"/>
          <w:shd w:val="clear" w:fill="FFAFAA"/>
          <w14:textFill>
            <w14:solidFill>
              <w14:schemeClr w14:val="tx1"/>
            </w14:solidFill>
          </w14:textFill>
        </w:rPr>
        <w:t>迳入</w:t>
      </w:r>
      <w:bookmarkEnd w:id="500"/>
      <w:r>
        <w:rPr>
          <w:rFonts w:hint="eastAsia"/>
          <w:color w:val="000000" w:themeColor="text1"/>
          <w14:textFill>
            <w14:solidFill>
              <w14:schemeClr w14:val="tx1"/>
            </w14:solidFill>
          </w14:textFill>
        </w:rPr>
        <w:t>迳港。所在流域水系分布详见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_Ref190250949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图4.1-2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。迳江主河道长19.91km，流域面积48.66km2，河道坡降为7.91‰。</w:t>
      </w:r>
    </w:p>
    <w:p w14:paraId="055D614D">
      <w:pPr>
        <w:pStyle w:val="105"/>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1515110</wp:posOffset>
                </wp:positionH>
                <wp:positionV relativeFrom="paragraph">
                  <wp:posOffset>2920365</wp:posOffset>
                </wp:positionV>
                <wp:extent cx="525780" cy="229870"/>
                <wp:effectExtent l="0" t="381000" r="198120" b="17780"/>
                <wp:wrapNone/>
                <wp:docPr id="22" name="对话气泡: 圆角矩形 22"/>
                <wp:cNvGraphicFramePr/>
                <a:graphic xmlns:a="http://schemas.openxmlformats.org/drawingml/2006/main">
                  <a:graphicData uri="http://schemas.microsoft.com/office/word/2010/wordprocessingShape">
                    <wps:wsp>
                      <wps:cNvSpPr/>
                      <wps:spPr>
                        <a:xfrm>
                          <a:off x="0" y="0"/>
                          <a:ext cx="525780" cy="229870"/>
                        </a:xfrm>
                        <a:prstGeom prst="wedgeRoundRectCallout">
                          <a:avLst>
                            <a:gd name="adj1" fmla="val 73746"/>
                            <a:gd name="adj2" fmla="val -199882"/>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FF589B">
                            <w:pPr>
                              <w:ind w:firstLine="0" w:firstLineChars="0"/>
                              <w:rPr>
                                <w:b/>
                                <w:bCs/>
                                <w:color w:val="FF0000"/>
                              </w:rPr>
                            </w:pPr>
                            <w:r>
                              <w:rPr>
                                <w:rFonts w:hint="eastAsia"/>
                                <w:b/>
                                <w:bCs/>
                                <w:color w:val="FF0000"/>
                              </w:rPr>
                              <w:t>项目地</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对话气泡: 圆角矩形 22" o:spid="_x0000_s1026" o:spt="62" type="#_x0000_t62" style="position:absolute;left:0pt;margin-left:119.3pt;margin-top:229.95pt;height:18.1pt;width:41.4pt;z-index:251706368;v-text-anchor:middle;mso-width-relative:page;mso-height-relative:page;" fillcolor="#FFFFFF [3212]" filled="t" stroked="t" coordsize="21600,21600" o:gfxdata="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xt6pL2wAAAAsBAAAPAAAAAAAAAAEAIAAAACIAAABkcnMvZG93bnJldi54bWxQSwECFAAUAAAA&#10;CACHTuJA5QrJkc8CAACMBQAADgAAAAAAAAABACAAAAAqAQAAZHJzL2Uyb0RvYy54bWxQSwUGAAAA&#10;AAYABgBZAQAAawYAAAAA&#10;" adj="26729,-32375,14400">
                <v:fill on="t" focussize="0,0"/>
                <v:stroke weight="1pt" color="#FF0000 [3204]" miterlimit="8" joinstyle="miter"/>
                <v:imagedata o:title=""/>
                <o:lock v:ext="edit" aspectratio="f"/>
                <v:textbox inset="0mm,0mm,0mm,0mm">
                  <w:txbxContent>
                    <w:p w14:paraId="6EFF589B">
                      <w:pPr>
                        <w:ind w:firstLine="0" w:firstLineChars="0"/>
                        <w:rPr>
                          <w:b/>
                          <w:bCs/>
                          <w:color w:val="FF0000"/>
                        </w:rPr>
                      </w:pPr>
                      <w:r>
                        <w:rPr>
                          <w:rFonts w:hint="eastAsia"/>
                          <w:b/>
                          <w:bCs/>
                          <w:color w:val="FF0000"/>
                        </w:rPr>
                        <w:t>项目地</w:t>
                      </w:r>
                    </w:p>
                  </w:txbxContent>
                </v:textbox>
              </v:shape>
            </w:pict>
          </mc:Fallback>
        </mc:AlternateContent>
      </w:r>
      <w:r>
        <w:rPr>
          <w:color w:val="000000" w:themeColor="text1"/>
          <w14:textFill>
            <w14:solidFill>
              <w14:schemeClr w14:val="tx1"/>
            </w14:solidFill>
          </w14:textFill>
        </w:rPr>
        <w:drawing>
          <wp:inline distT="0" distB="0" distL="0" distR="0">
            <wp:extent cx="5737225" cy="472059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112" cstate="email"/>
                    <a:srcRect/>
                    <a:stretch>
                      <a:fillRect/>
                    </a:stretch>
                  </pic:blipFill>
                  <pic:spPr>
                    <a:xfrm>
                      <a:off x="0" y="0"/>
                      <a:ext cx="5740623" cy="4723518"/>
                    </a:xfrm>
                    <a:prstGeom prst="rect">
                      <a:avLst/>
                    </a:prstGeom>
                    <a:noFill/>
                    <a:ln>
                      <a:noFill/>
                    </a:ln>
                  </pic:spPr>
                </pic:pic>
              </a:graphicData>
            </a:graphic>
          </wp:inline>
        </w:drawing>
      </w:r>
    </w:p>
    <w:p w14:paraId="7F371D86">
      <w:pPr>
        <w:pStyle w:val="122"/>
        <w:rPr>
          <w:color w:val="000000" w:themeColor="text1"/>
          <w14:textFill>
            <w14:solidFill>
              <w14:schemeClr w14:val="tx1"/>
            </w14:solidFill>
          </w14:textFill>
        </w:rPr>
      </w:pPr>
      <w:bookmarkStart w:id="501" w:name="_Ref190250949"/>
      <w:r>
        <w:rPr>
          <w:rFonts w:hint="eastAsia"/>
          <w:color w:val="000000" w:themeColor="text1"/>
          <w14:textFill>
            <w14:solidFill>
              <w14:schemeClr w14:val="tx1"/>
            </w14:solidFill>
          </w14:textFill>
        </w:rPr>
        <w:t>福清市水系图</w:t>
      </w:r>
      <w:bookmarkEnd w:id="501"/>
    </w:p>
    <w:p w14:paraId="153F911E">
      <w:pPr>
        <w:pStyle w:val="120"/>
        <w:rPr>
          <w:color w:val="000000" w:themeColor="text1"/>
          <w14:textFill>
            <w14:solidFill>
              <w14:schemeClr w14:val="tx1"/>
            </w14:solidFill>
          </w14:textFill>
        </w:rPr>
      </w:pPr>
      <w:r>
        <w:rPr>
          <w:color w:val="000000" w:themeColor="text1"/>
          <w14:textFill>
            <w14:solidFill>
              <w14:schemeClr w14:val="tx1"/>
            </w14:solidFill>
          </w14:textFill>
        </w:rPr>
        <w:t>水文地质</w:t>
      </w:r>
    </w:p>
    <w:p w14:paraId="6651E994">
      <w:pPr>
        <w:ind w:firstLine="480"/>
        <w:rPr>
          <w:color w:val="000000" w:themeColor="text1"/>
          <w:lang w:val="zh-CN"/>
          <w14:textFill>
            <w14:solidFill>
              <w14:schemeClr w14:val="tx1"/>
            </w14:solidFill>
          </w14:textFill>
        </w:rPr>
      </w:pPr>
      <w:bookmarkStart w:id="502" w:name="3.1.6气候气象"/>
      <w:bookmarkEnd w:id="502"/>
      <w:r>
        <w:rPr>
          <w:rFonts w:hint="eastAsia"/>
          <w:color w:val="000000" w:themeColor="text1"/>
          <w:lang w:val="zh-CN"/>
          <w14:textFill>
            <w14:solidFill>
              <w14:schemeClr w14:val="tx1"/>
            </w14:solidFill>
          </w14:textFill>
        </w:rPr>
        <w:t>（1）地下水</w:t>
      </w:r>
    </w:p>
    <w:p w14:paraId="1FDFD3DB">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拟建项目跨越冲洪积平原、丘陵地貌，按地下水的赋存条件、水理性质及水力特征分为第四系松散岩类孔隙水、风化带网状孔隙裂隙水、基岩构造裂隙水3种类型。</w:t>
      </w:r>
    </w:p>
    <w:p w14:paraId="47574375">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①第四系松散岩类孔隙水：分布于全线冲洪积地貌区，含水层主要为第四系卵石层，富水性较好，水量中等～丰富，单孔涌水量一般150～200m</w:t>
      </w:r>
      <w:r>
        <w:rPr>
          <w:rFonts w:hint="eastAsia"/>
          <w:color w:val="000000" w:themeColor="text1"/>
          <w:vertAlign w:val="superscript"/>
          <w:lang w:val="zh-CN"/>
          <w14:textFill>
            <w14:solidFill>
              <w14:schemeClr w14:val="tx1"/>
            </w14:solidFill>
          </w14:textFill>
        </w:rPr>
        <w:t>3</w:t>
      </w:r>
      <w:r>
        <w:rPr>
          <w:rFonts w:hint="eastAsia"/>
          <w:color w:val="000000" w:themeColor="text1"/>
          <w:lang w:val="zh-CN"/>
          <w14:textFill>
            <w14:solidFill>
              <w14:schemeClr w14:val="tx1"/>
            </w14:solidFill>
          </w14:textFill>
        </w:rPr>
        <w:t>/d，大者可达300m</w:t>
      </w:r>
      <w:r>
        <w:rPr>
          <w:rFonts w:hint="eastAsia"/>
          <w:color w:val="000000" w:themeColor="text1"/>
          <w:vertAlign w:val="superscript"/>
          <w:lang w:val="zh-CN"/>
          <w14:textFill>
            <w14:solidFill>
              <w14:schemeClr w14:val="tx1"/>
            </w14:solidFill>
          </w14:textFill>
        </w:rPr>
        <w:t>3</w:t>
      </w:r>
      <w:r>
        <w:rPr>
          <w:rFonts w:hint="eastAsia"/>
          <w:color w:val="000000" w:themeColor="text1"/>
          <w:lang w:val="zh-CN"/>
          <w14:textFill>
            <w14:solidFill>
              <w14:schemeClr w14:val="tx1"/>
            </w14:solidFill>
          </w14:textFill>
        </w:rPr>
        <w:t>/d以上。主要接受大气降水入渗补给及周围孔隙裂隙水的侧向补给，水位埋深一般0～1m，地下水水位标高与地形形态大致相同，属潜水。</w:t>
      </w:r>
    </w:p>
    <w:p w14:paraId="3AA51A1C">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②风化带网状孔隙裂隙水：主要分布于第四系更新统残坡积层、强风化岩层网状孔隙、裂隙中，接受大气降水和基岩裂隙水补给，富水性差，地下水位及涌水量受大气降水季节控制明显，变化大，一般单井涌水量小于10m3/d，在强风化层厚度较大的地段，单井涌水量可能大于50m3/d，水位埋深一般2～6.5m，属潜水。</w:t>
      </w:r>
    </w:p>
    <w:p w14:paraId="5B00FD4F">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③基岩构造裂隙水：主要赋存于线路沿线基岩中，含水层为基岩中的各种构造裂隙，主要接受大气降水和上部</w:t>
      </w:r>
      <w:bookmarkStart w:id="503" w:name="hmcheck_9b4cfd6623b44390a5bfd0dd1f166f9c"/>
      <w:r>
        <w:rPr>
          <w:rFonts w:hint="eastAsia"/>
          <w:color w:val="000000" w:themeColor="text1"/>
          <w:shd w:val="clear" w:fill="FFAFAA"/>
          <w:lang w:val="zh-CN"/>
          <w14:textFill>
            <w14:solidFill>
              <w14:schemeClr w14:val="tx1"/>
            </w14:solidFill>
          </w14:textFill>
        </w:rPr>
        <w:t>其它</w:t>
      </w:r>
      <w:bookmarkEnd w:id="503"/>
      <w:r>
        <w:rPr>
          <w:rFonts w:hint="eastAsia"/>
          <w:color w:val="000000" w:themeColor="text1"/>
          <w:lang w:val="zh-CN"/>
          <w14:textFill>
            <w14:solidFill>
              <w14:schemeClr w14:val="tx1"/>
            </w14:solidFill>
          </w14:textFill>
        </w:rPr>
        <w:t>含水层的补给，大多数路段构造裂隙水量一般较小，其泉流量一般小于0.1l/s，富水性差，水量贫乏。但在规模较大的破碎带，地下水富集，富水性较好，水量中等。</w:t>
      </w:r>
    </w:p>
    <w:p w14:paraId="67286FC1">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（2）地下水的补给、径流及排泄</w:t>
      </w:r>
    </w:p>
    <w:p w14:paraId="0091EDBE">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沿线地下水的补、迳、排条件主要受本区的地形、地貌、地层岩性制约。丘陵地貌区，植被发育，地形切割强烈，地下水径流途径短，排泄条件好，多以侧向排泄补给沟谷、冲沟或以泉的形式排泄，局部路段直接排入前述溪流中。降雨渗入及溪流补给是本区地下水的主要补给来源，地下水动态受降水影响较为明显。</w:t>
      </w:r>
    </w:p>
    <w:p w14:paraId="7AC3EB66">
      <w:pPr>
        <w:pStyle w:val="120"/>
        <w:rPr>
          <w:color w:val="000000" w:themeColor="text1"/>
          <w14:textFill>
            <w14:solidFill>
              <w14:schemeClr w14:val="tx1"/>
            </w14:solidFill>
          </w14:textFill>
        </w:rPr>
      </w:pPr>
      <w:r>
        <w:rPr>
          <w:color w:val="000000" w:themeColor="text1"/>
          <w14:textFill>
            <w14:solidFill>
              <w14:schemeClr w14:val="tx1"/>
            </w14:solidFill>
          </w14:textFill>
        </w:rPr>
        <w:t>气候气象</w:t>
      </w:r>
    </w:p>
    <w:p w14:paraId="21B0C26D">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项目区属南亚热带海洋性季风气候，夏长暖热，冬短温和。冰雪罕见，季风显著，台风活动频繁；夏季以西南风为主，冬季以东北风为主，风力一般为5~6级，最大9~10级。春夏间有梅雨，利于农业；夏秋有台风，带来雨水，对干旱能起到缓解作用。根据福清市气象站统计资料：</w:t>
      </w:r>
    </w:p>
    <w:p w14:paraId="485DC93E">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项目区多年平均气温19.7℃，极端最高气温39.9℃，极端最低气温-1.2℃；无霜期354天，多年平均相对湿度78%；多年平均风速3.0m/s，最大风速22.0m/s，年最大风速均值13.9m/s。流域多</w:t>
      </w:r>
      <w:bookmarkStart w:id="504" w:name="hmcheck_f68771eddfde4f578aaff30cba9a873a"/>
      <w:r>
        <w:rPr>
          <w:rFonts w:hint="eastAsia"/>
          <w:color w:val="000000" w:themeColor="text1"/>
          <w:shd w:val="clear" w:fill="FFAFAA"/>
          <w:lang w:val="zh-CN"/>
          <w14:textFill>
            <w14:solidFill>
              <w14:schemeClr w14:val="tx1"/>
            </w14:solidFill>
          </w14:textFill>
        </w:rPr>
        <w:t>年平均降水量</w:t>
      </w:r>
      <w:bookmarkEnd w:id="504"/>
      <w:r>
        <w:rPr>
          <w:rFonts w:hint="eastAsia"/>
          <w:color w:val="000000" w:themeColor="text1"/>
          <w:lang w:val="zh-CN"/>
          <w14:textFill>
            <w14:solidFill>
              <w14:schemeClr w14:val="tx1"/>
            </w14:solidFill>
          </w14:textFill>
        </w:rPr>
        <w:t>1300mm，其中80%以上的降雨量集中在4~10月份，降水地区分布不均，总的趋势是由东南沿海向西北方向呈递增，年蒸发量2049mm。</w:t>
      </w:r>
    </w:p>
    <w:p w14:paraId="15E7B1DD">
      <w:pPr>
        <w:ind w:firstLine="480"/>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上迳镇上游属山区地形，地处暴雨中心边缘，各历时暴雨强度较大，大暴雨主要来源于台风，洪水多由这些持续时间短而强度大的暴雨形成，因此其洪峰模数要比邻近流域相应频率的洪峰模数大。</w:t>
      </w:r>
    </w:p>
    <w:p w14:paraId="7C37A723">
      <w:pPr>
        <w:pStyle w:val="120"/>
        <w:rPr>
          <w:color w:val="000000" w:themeColor="text1"/>
          <w14:textFill>
            <w14:solidFill>
              <w14:schemeClr w14:val="tx1"/>
            </w14:solidFill>
          </w14:textFill>
        </w:rPr>
      </w:pPr>
      <w:bookmarkStart w:id="505" w:name="3.1.8土壤类型"/>
      <w:bookmarkEnd w:id="505"/>
      <w:bookmarkStart w:id="506" w:name="3.1.7水文概况"/>
      <w:bookmarkEnd w:id="506"/>
      <w:r>
        <w:rPr>
          <w:color w:val="000000" w:themeColor="text1"/>
          <w14:textFill>
            <w14:solidFill>
              <w14:schemeClr w14:val="tx1"/>
            </w14:solidFill>
          </w14:textFill>
        </w:rPr>
        <w:t>土壤</w:t>
      </w:r>
      <w:r>
        <w:rPr>
          <w:rFonts w:hint="eastAsia"/>
          <w:color w:val="000000" w:themeColor="text1"/>
          <w14:textFill>
            <w14:solidFill>
              <w14:schemeClr w14:val="tx1"/>
            </w14:solidFill>
          </w14:textFill>
        </w:rPr>
        <w:t>和植被</w:t>
      </w:r>
    </w:p>
    <w:p w14:paraId="03214607">
      <w:pPr>
        <w:ind w:firstLine="484"/>
        <w:rPr>
          <w:rFonts w:cs="Times New Roman"/>
          <w:color w:val="000000" w:themeColor="text1"/>
          <w:lang w:val="zh-CN"/>
          <w14:textFill>
            <w14:solidFill>
              <w14:schemeClr w14:val="tx1"/>
            </w14:solidFill>
          </w14:textFill>
        </w:rPr>
      </w:pPr>
      <w:r>
        <w:rPr>
          <w:color w:val="000000" w:themeColor="text1"/>
          <w:spacing w:val="2"/>
          <w14:textFill>
            <w14:solidFill>
              <w14:schemeClr w14:val="tx1"/>
            </w14:solidFill>
          </w14:textFill>
        </w:rPr>
        <w:t>项目区土壤为红壤。丘陵区覆盖层相对较薄，形成以红壤、水</w:t>
      </w:r>
      <w:r>
        <w:rPr>
          <w:color w:val="000000" w:themeColor="text1"/>
          <w:spacing w:val="1"/>
          <w14:textFill>
            <w14:solidFill>
              <w14:schemeClr w14:val="tx1"/>
            </w14:solidFill>
          </w14:textFill>
        </w:rPr>
        <w:t>稻土为主的</w:t>
      </w:r>
      <w:r>
        <w:rPr>
          <w:rFonts w:eastAsia="Times New Roman" w:cs="Times New Roman"/>
          <w:color w:val="000000" w:themeColor="text1"/>
          <w:spacing w:val="1"/>
          <w14:textFill>
            <w14:solidFill>
              <w14:schemeClr w14:val="tx1"/>
            </w14:solidFill>
          </w14:textFill>
        </w:rPr>
        <w:t>3</w:t>
      </w:r>
      <w:r>
        <w:rPr>
          <w:color w:val="000000" w:themeColor="text1"/>
          <w:spacing w:val="1"/>
          <w14:textFill>
            <w14:solidFill>
              <w14:schemeClr w14:val="tx1"/>
            </w14:solidFill>
          </w14:textFill>
        </w:rPr>
        <w:t>种土</w:t>
      </w:r>
      <w:r>
        <w:rPr>
          <w:color w:val="000000" w:themeColor="text1"/>
          <w14:textFill>
            <w14:solidFill>
              <w14:schemeClr w14:val="tx1"/>
            </w14:solidFill>
          </w14:textFill>
        </w:rPr>
        <w:t>壤类型。其中以红壤为最多，水稻土次之。红壤的发育程度不尽相同，又可分为准红壤</w:t>
      </w:r>
      <w:r>
        <w:rPr>
          <w:color w:val="000000" w:themeColor="text1"/>
          <w:spacing w:val="-7"/>
          <w14:textFill>
            <w14:solidFill>
              <w14:schemeClr w14:val="tx1"/>
            </w14:solidFill>
          </w14:textFill>
        </w:rPr>
        <w:t>和灰化红壤两个亚类。水稻土，由于以水分为主的供给情况不同，引起土壤发育上的差</w:t>
      </w:r>
      <w:r>
        <w:rPr>
          <w:color w:val="000000" w:themeColor="text1"/>
          <w:spacing w:val="-6"/>
          <w14:textFill>
            <w14:solidFill>
              <w14:schemeClr w14:val="tx1"/>
            </w14:solidFill>
          </w14:textFill>
        </w:rPr>
        <w:t>异，又可分为潴育性水稻土和潜育性水稻土两亚类，此外还有冲积土、黄壤。本项目建</w:t>
      </w:r>
      <w:r>
        <w:rPr>
          <w:color w:val="000000" w:themeColor="text1"/>
          <w:spacing w:val="-2"/>
          <w14:textFill>
            <w14:solidFill>
              <w14:schemeClr w14:val="tx1"/>
            </w14:solidFill>
          </w14:textFill>
        </w:rPr>
        <w:t>设范围内土壤主要类型为红壤</w:t>
      </w:r>
      <w:r>
        <w:rPr>
          <w:rFonts w:hint="eastAsia"/>
          <w:color w:val="000000" w:themeColor="text1"/>
          <w:spacing w:val="-2"/>
          <w14:textFill>
            <w14:solidFill>
              <w14:schemeClr w14:val="tx1"/>
            </w14:solidFill>
          </w14:textFill>
        </w:rPr>
        <w:t>。</w:t>
      </w:r>
    </w:p>
    <w:p w14:paraId="338026D7">
      <w:pPr>
        <w:ind w:firstLine="480"/>
        <w:rPr>
          <w:rFonts w:cs="Times New Roman"/>
          <w:color w:val="000000" w:themeColor="text1"/>
          <w:szCs w:val="24"/>
          <w:lang w:val="zh-CN"/>
          <w14:textFill>
            <w14:solidFill>
              <w14:schemeClr w14:val="tx1"/>
            </w14:solidFill>
          </w14:textFill>
        </w:rPr>
      </w:pPr>
      <w:r>
        <w:rPr>
          <w:rFonts w:hint="eastAsia" w:cs="Times New Roman"/>
          <w:color w:val="000000" w:themeColor="text1"/>
          <w:szCs w:val="24"/>
          <w:lang w:val="zh-CN"/>
          <w14:textFill>
            <w14:solidFill>
              <w14:schemeClr w14:val="tx1"/>
            </w14:solidFill>
          </w14:textFill>
        </w:rPr>
        <w:t>项目区植被类型属中亚热带常绿阔叶林带，根据调查，可分为 9 个类型，20 个群 系，27  个群落，由于人类生产、生活活动频繁，现仅存亚热带雨林残迹，主要有以马 尾松、杉木、湿地松为主要树种的群落，还有木麻黄林、相思树林及经济林等。项目 占地范围内植被主要以龙眼树、灌木丛和杂草为主。</w:t>
      </w:r>
    </w:p>
    <w:p w14:paraId="6EDD77E8">
      <w:pPr>
        <w:pStyle w:val="120"/>
        <w:rPr>
          <w:color w:val="000000" w:themeColor="text1"/>
          <w14:textFill>
            <w14:solidFill>
              <w14:schemeClr w14:val="tx1"/>
            </w14:solidFill>
          </w14:textFill>
        </w:rPr>
      </w:pPr>
      <w:bookmarkStart w:id="507" w:name="3.1.9资源概况"/>
      <w:bookmarkEnd w:id="507"/>
      <w:r>
        <w:rPr>
          <w:color w:val="000000" w:themeColor="text1"/>
          <w14:textFill>
            <w14:solidFill>
              <w14:schemeClr w14:val="tx1"/>
            </w14:solidFill>
          </w14:textFill>
        </w:rPr>
        <w:t>水土流失现</w:t>
      </w:r>
      <w:r>
        <w:rPr>
          <w:color w:val="000000" w:themeColor="text1"/>
          <w:spacing w:val="5"/>
          <w14:textFill>
            <w14:solidFill>
              <w14:schemeClr w14:val="tx1"/>
            </w14:solidFill>
          </w14:textFill>
        </w:rPr>
        <w:t>状</w:t>
      </w:r>
    </w:p>
    <w:p w14:paraId="2F77477B">
      <w:pPr>
        <w:ind w:firstLine="490"/>
        <w:rPr>
          <w:color w:val="000000" w:themeColor="text1"/>
          <w:spacing w:val="-4"/>
          <w14:textFill>
            <w14:solidFill>
              <w14:schemeClr w14:val="tx1"/>
            </w14:solidFill>
          </w14:textFill>
        </w:rPr>
      </w:pPr>
      <w:r>
        <w:rPr>
          <w:color w:val="000000" w:themeColor="text1"/>
          <w:spacing w:val="5"/>
          <w14:textFill>
            <w14:solidFill>
              <w14:schemeClr w14:val="tx1"/>
            </w14:solidFill>
          </w14:textFill>
        </w:rPr>
        <w:t>根据福建省水利厅发布的《</w:t>
      </w:r>
      <w:r>
        <w:rPr>
          <w:rFonts w:eastAsia="Times New Roman" w:cs="Times New Roman"/>
          <w:color w:val="000000" w:themeColor="text1"/>
          <w:spacing w:val="5"/>
          <w14:textFill>
            <w14:solidFill>
              <w14:schemeClr w14:val="tx1"/>
            </w14:solidFill>
          </w14:textFill>
        </w:rPr>
        <w:t xml:space="preserve">2022  </w:t>
      </w:r>
      <w:r>
        <w:rPr>
          <w:color w:val="000000" w:themeColor="text1"/>
          <w:spacing w:val="5"/>
          <w14:textFill>
            <w14:solidFill>
              <w14:schemeClr w14:val="tx1"/>
            </w14:solidFill>
          </w14:textFill>
        </w:rPr>
        <w:t>年福建省水土保持公</w:t>
      </w:r>
      <w:r>
        <w:rPr>
          <w:color w:val="000000" w:themeColor="text1"/>
          <w:spacing w:val="4"/>
          <w14:textFill>
            <w14:solidFill>
              <w14:schemeClr w14:val="tx1"/>
            </w14:solidFill>
          </w14:textFill>
        </w:rPr>
        <w:t>报》， 福清市土地总面积</w:t>
      </w:r>
      <w:r>
        <w:rPr>
          <w:color w:val="000000" w:themeColor="text1"/>
          <w14:textFill>
            <w14:solidFill>
              <w14:schemeClr w14:val="tx1"/>
            </w14:solidFill>
          </w14:textFill>
        </w:rPr>
        <w:t xml:space="preserve"> </w:t>
      </w:r>
      <w:r>
        <w:rPr>
          <w:rFonts w:eastAsia="Times New Roman" w:cs="Times New Roman"/>
          <w:color w:val="000000" w:themeColor="text1"/>
          <w:spacing w:val="6"/>
          <w14:textFill>
            <w14:solidFill>
              <w14:schemeClr w14:val="tx1"/>
            </w14:solidFill>
          </w14:textFill>
        </w:rPr>
        <w:t>1518</w:t>
      </w:r>
      <w:r>
        <w:rPr>
          <w:rFonts w:eastAsia="Times New Roman" w:cs="Times New Roman"/>
          <w:color w:val="000000" w:themeColor="text1"/>
          <w14:textFill>
            <w14:solidFill>
              <w14:schemeClr w14:val="tx1"/>
            </w14:solidFill>
          </w14:textFill>
        </w:rPr>
        <w:t>km</w:t>
      </w:r>
      <w:r>
        <w:rPr>
          <w:rFonts w:eastAsia="Times New Roman" w:cs="Times New Roman"/>
          <w:color w:val="000000" w:themeColor="text1"/>
          <w:spacing w:val="6"/>
          <w14:textFill>
            <w14:solidFill>
              <w14:schemeClr w14:val="tx1"/>
            </w14:solidFill>
          </w14:textFill>
        </w:rPr>
        <w:t>²</w:t>
      </w:r>
      <w:r>
        <w:rPr>
          <w:color w:val="000000" w:themeColor="text1"/>
          <w:spacing w:val="6"/>
          <w14:textFill>
            <w14:solidFill>
              <w14:schemeClr w14:val="tx1"/>
            </w14:solidFill>
          </w14:textFill>
        </w:rPr>
        <w:t>,</w:t>
      </w:r>
      <w:r>
        <w:rPr>
          <w:color w:val="000000" w:themeColor="text1"/>
          <w:spacing w:val="47"/>
          <w14:textFill>
            <w14:solidFill>
              <w14:schemeClr w14:val="tx1"/>
            </w14:solidFill>
          </w14:textFill>
        </w:rPr>
        <w:t xml:space="preserve"> </w:t>
      </w:r>
      <w:r>
        <w:rPr>
          <w:color w:val="000000" w:themeColor="text1"/>
          <w:spacing w:val="6"/>
          <w14:textFill>
            <w14:solidFill>
              <w14:schemeClr w14:val="tx1"/>
            </w14:solidFill>
          </w14:textFill>
        </w:rPr>
        <w:t xml:space="preserve">水土流失面积 </w:t>
      </w:r>
      <w:r>
        <w:rPr>
          <w:rFonts w:eastAsia="Times New Roman" w:cs="Times New Roman"/>
          <w:color w:val="000000" w:themeColor="text1"/>
          <w:spacing w:val="6"/>
          <w14:textFill>
            <w14:solidFill>
              <w14:schemeClr w14:val="tx1"/>
            </w14:solidFill>
          </w14:textFill>
        </w:rPr>
        <w:t>99.90</w:t>
      </w:r>
      <w:r>
        <w:rPr>
          <w:rFonts w:eastAsia="Times New Roman" w:cs="Times New Roman"/>
          <w:color w:val="000000" w:themeColor="text1"/>
          <w14:textFill>
            <w14:solidFill>
              <w14:schemeClr w14:val="tx1"/>
            </w14:solidFill>
          </w14:textFill>
        </w:rPr>
        <w:t>km</w:t>
      </w:r>
      <w:r>
        <w:rPr>
          <w:rFonts w:eastAsia="Times New Roman" w:cs="Times New Roman"/>
          <w:color w:val="000000" w:themeColor="text1"/>
          <w:spacing w:val="6"/>
          <w14:textFill>
            <w14:solidFill>
              <w14:schemeClr w14:val="tx1"/>
            </w14:solidFill>
          </w14:textFill>
        </w:rPr>
        <w:t>²</w:t>
      </w:r>
      <w:r>
        <w:rPr>
          <w:color w:val="000000" w:themeColor="text1"/>
          <w:spacing w:val="6"/>
          <w14:textFill>
            <w14:solidFill>
              <w14:schemeClr w14:val="tx1"/>
            </w14:solidFill>
          </w14:textFill>
        </w:rPr>
        <w:t>,</w:t>
      </w:r>
      <w:r>
        <w:rPr>
          <w:color w:val="000000" w:themeColor="text1"/>
          <w:spacing w:val="87"/>
          <w14:textFill>
            <w14:solidFill>
              <w14:schemeClr w14:val="tx1"/>
            </w14:solidFill>
          </w14:textFill>
        </w:rPr>
        <w:t xml:space="preserve"> </w:t>
      </w:r>
      <w:r>
        <w:rPr>
          <w:color w:val="000000" w:themeColor="text1"/>
          <w:spacing w:val="5"/>
          <w14:textFill>
            <w14:solidFill>
              <w14:schemeClr w14:val="tx1"/>
            </w14:solidFill>
          </w14:textFill>
        </w:rPr>
        <w:t xml:space="preserve">占土地总面积的 </w:t>
      </w:r>
      <w:r>
        <w:rPr>
          <w:rFonts w:eastAsia="Times New Roman" w:cs="Times New Roman"/>
          <w:color w:val="000000" w:themeColor="text1"/>
          <w:spacing w:val="5"/>
          <w14:textFill>
            <w14:solidFill>
              <w14:schemeClr w14:val="tx1"/>
            </w14:solidFill>
          </w14:textFill>
        </w:rPr>
        <w:t>6.58%</w:t>
      </w:r>
      <w:r>
        <w:rPr>
          <w:color w:val="000000" w:themeColor="text1"/>
          <w:spacing w:val="5"/>
          <w14:textFill>
            <w14:solidFill>
              <w14:schemeClr w14:val="tx1"/>
            </w14:solidFill>
          </w14:textFill>
        </w:rPr>
        <w:t>。其中，</w:t>
      </w:r>
      <w:r>
        <w:rPr>
          <w:color w:val="000000" w:themeColor="text1"/>
          <w:spacing w:val="-67"/>
          <w14:textFill>
            <w14:solidFill>
              <w14:schemeClr w14:val="tx1"/>
            </w14:solidFill>
          </w14:textFill>
        </w:rPr>
        <w:t xml:space="preserve"> </w:t>
      </w:r>
      <w:r>
        <w:rPr>
          <w:color w:val="000000" w:themeColor="text1"/>
          <w:spacing w:val="5"/>
          <w14:textFill>
            <w14:solidFill>
              <w14:schemeClr w14:val="tx1"/>
            </w14:solidFill>
          </w14:textFill>
        </w:rPr>
        <w:t>轻度流失面积</w:t>
      </w:r>
      <w:r>
        <w:rPr>
          <w:color w:val="000000" w:themeColor="text1"/>
          <w14:textFill>
            <w14:solidFill>
              <w14:schemeClr w14:val="tx1"/>
            </w14:solidFill>
          </w14:textFill>
        </w:rPr>
        <w:t xml:space="preserve"> </w:t>
      </w:r>
      <w:r>
        <w:rPr>
          <w:rFonts w:eastAsia="Times New Roman" w:cs="Times New Roman"/>
          <w:color w:val="000000" w:themeColor="text1"/>
          <w:spacing w:val="3"/>
          <w14:textFill>
            <w14:solidFill>
              <w14:schemeClr w14:val="tx1"/>
            </w14:solidFill>
          </w14:textFill>
        </w:rPr>
        <w:t>90.89</w:t>
      </w:r>
      <w:r>
        <w:rPr>
          <w:rFonts w:eastAsia="Times New Roman" w:cs="Times New Roman"/>
          <w:color w:val="000000" w:themeColor="text1"/>
          <w14:textFill>
            <w14:solidFill>
              <w14:schemeClr w14:val="tx1"/>
            </w14:solidFill>
          </w14:textFill>
        </w:rPr>
        <w:t>km</w:t>
      </w:r>
      <w:r>
        <w:rPr>
          <w:rFonts w:eastAsia="Times New Roman" w:cs="Times New Roman"/>
          <w:color w:val="000000" w:themeColor="text1"/>
          <w:spacing w:val="3"/>
          <w14:textFill>
            <w14:solidFill>
              <w14:schemeClr w14:val="tx1"/>
            </w14:solidFill>
          </w14:textFill>
        </w:rPr>
        <w:t>²</w:t>
      </w:r>
      <w:r>
        <w:rPr>
          <w:color w:val="000000" w:themeColor="text1"/>
          <w:spacing w:val="3"/>
          <w14:textFill>
            <w14:solidFill>
              <w14:schemeClr w14:val="tx1"/>
            </w14:solidFill>
          </w14:textFill>
        </w:rPr>
        <w:t>,</w:t>
      </w:r>
      <w:r>
        <w:rPr>
          <w:color w:val="000000" w:themeColor="text1"/>
          <w:spacing w:val="86"/>
          <w14:textFill>
            <w14:solidFill>
              <w14:schemeClr w14:val="tx1"/>
            </w14:solidFill>
          </w14:textFill>
        </w:rPr>
        <w:t xml:space="preserve"> </w:t>
      </w:r>
      <w:r>
        <w:rPr>
          <w:color w:val="000000" w:themeColor="text1"/>
          <w:spacing w:val="3"/>
          <w14:textFill>
            <w14:solidFill>
              <w14:schemeClr w14:val="tx1"/>
            </w14:solidFill>
          </w14:textFill>
        </w:rPr>
        <w:t xml:space="preserve">占水土流失面积的 </w:t>
      </w:r>
      <w:r>
        <w:rPr>
          <w:rFonts w:eastAsia="Times New Roman" w:cs="Times New Roman"/>
          <w:color w:val="000000" w:themeColor="text1"/>
          <w:spacing w:val="3"/>
          <w14:textFill>
            <w14:solidFill>
              <w14:schemeClr w14:val="tx1"/>
            </w14:solidFill>
          </w14:textFill>
        </w:rPr>
        <w:t>90.98%</w:t>
      </w:r>
      <w:r>
        <w:rPr>
          <w:color w:val="000000" w:themeColor="text1"/>
          <w:spacing w:val="3"/>
          <w14:textFill>
            <w14:solidFill>
              <w14:schemeClr w14:val="tx1"/>
            </w14:solidFill>
          </w14:textFill>
        </w:rPr>
        <w:t>；</w:t>
      </w:r>
      <w:r>
        <w:rPr>
          <w:color w:val="000000" w:themeColor="text1"/>
          <w:spacing w:val="-55"/>
          <w14:textFill>
            <w14:solidFill>
              <w14:schemeClr w14:val="tx1"/>
            </w14:solidFill>
          </w14:textFill>
        </w:rPr>
        <w:t xml:space="preserve"> </w:t>
      </w:r>
      <w:r>
        <w:rPr>
          <w:color w:val="000000" w:themeColor="text1"/>
          <w:spacing w:val="3"/>
          <w14:textFill>
            <w14:solidFill>
              <w14:schemeClr w14:val="tx1"/>
            </w14:solidFill>
          </w14:textFill>
        </w:rPr>
        <w:t xml:space="preserve">中度流失面积 </w:t>
      </w:r>
      <w:r>
        <w:rPr>
          <w:rFonts w:eastAsia="Times New Roman" w:cs="Times New Roman"/>
          <w:color w:val="000000" w:themeColor="text1"/>
          <w:spacing w:val="3"/>
          <w14:textFill>
            <w14:solidFill>
              <w14:schemeClr w14:val="tx1"/>
            </w14:solidFill>
          </w14:textFill>
        </w:rPr>
        <w:t>6.77</w:t>
      </w:r>
      <w:r>
        <w:rPr>
          <w:rFonts w:eastAsia="Times New Roman" w:cs="Times New Roman"/>
          <w:color w:val="000000" w:themeColor="text1"/>
          <w14:textFill>
            <w14:solidFill>
              <w14:schemeClr w14:val="tx1"/>
            </w14:solidFill>
          </w14:textFill>
        </w:rPr>
        <w:t>km</w:t>
      </w:r>
      <w:r>
        <w:rPr>
          <w:rFonts w:eastAsia="Times New Roman" w:cs="Times New Roman"/>
          <w:color w:val="000000" w:themeColor="text1"/>
          <w:spacing w:val="3"/>
          <w14:textFill>
            <w14:solidFill>
              <w14:schemeClr w14:val="tx1"/>
            </w14:solidFill>
          </w14:textFill>
        </w:rPr>
        <w:t>²</w:t>
      </w:r>
      <w:r>
        <w:rPr>
          <w:color w:val="000000" w:themeColor="text1"/>
          <w:spacing w:val="3"/>
          <w14:textFill>
            <w14:solidFill>
              <w14:schemeClr w14:val="tx1"/>
            </w14:solidFill>
          </w14:textFill>
        </w:rPr>
        <w:t>,</w:t>
      </w:r>
      <w:r>
        <w:rPr>
          <w:color w:val="000000" w:themeColor="text1"/>
          <w:spacing w:val="79"/>
          <w14:textFill>
            <w14:solidFill>
              <w14:schemeClr w14:val="tx1"/>
            </w14:solidFill>
          </w14:textFill>
        </w:rPr>
        <w:t xml:space="preserve"> </w:t>
      </w:r>
      <w:r>
        <w:rPr>
          <w:color w:val="000000" w:themeColor="text1"/>
          <w:spacing w:val="3"/>
          <w14:textFill>
            <w14:solidFill>
              <w14:schemeClr w14:val="tx1"/>
            </w14:solidFill>
          </w14:textFill>
        </w:rPr>
        <w:t>占水土流失面积的</w:t>
      </w:r>
      <w:r>
        <w:rPr>
          <w:color w:val="000000" w:themeColor="text1"/>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6.78%</w:t>
      </w:r>
      <w:r>
        <w:rPr>
          <w:color w:val="000000" w:themeColor="text1"/>
          <w14:textFill>
            <w14:solidFill>
              <w14:schemeClr w14:val="tx1"/>
            </w14:solidFill>
          </w14:textFill>
        </w:rPr>
        <w:t xml:space="preserve">；强烈流失面积 </w:t>
      </w:r>
      <w:r>
        <w:rPr>
          <w:rFonts w:eastAsia="Times New Roman" w:cs="Times New Roman"/>
          <w:color w:val="000000" w:themeColor="text1"/>
          <w14:textFill>
            <w14:solidFill>
              <w14:schemeClr w14:val="tx1"/>
            </w14:solidFill>
          </w14:textFill>
        </w:rPr>
        <w:t>1.32km²</w:t>
      </w:r>
      <w:r>
        <w:rPr>
          <w:rFonts w:hint="eastAsia" w:cs="Times New Roman"/>
          <w:color w:val="000000" w:themeColor="text1"/>
          <w14:textFill>
            <w14:solidFill>
              <w14:schemeClr w14:val="tx1"/>
            </w14:solidFill>
          </w14:textFill>
        </w:rPr>
        <w:t>，</w:t>
      </w:r>
      <w:r>
        <w:rPr>
          <w:color w:val="000000" w:themeColor="text1"/>
          <w14:textFill>
            <w14:solidFill>
              <w14:schemeClr w14:val="tx1"/>
            </w14:solidFill>
          </w14:textFill>
        </w:rPr>
        <w:t xml:space="preserve">占水土流失面积的 </w:t>
      </w:r>
      <w:r>
        <w:rPr>
          <w:rFonts w:eastAsia="Times New Roman" w:cs="Times New Roman"/>
          <w:color w:val="000000" w:themeColor="text1"/>
          <w14:textFill>
            <w14:solidFill>
              <w14:schemeClr w14:val="tx1"/>
            </w14:solidFill>
          </w14:textFill>
        </w:rPr>
        <w:t>1.32%</w:t>
      </w:r>
      <w:r>
        <w:rPr>
          <w:color w:val="000000" w:themeColor="text1"/>
          <w:spacing w:val="-1"/>
          <w14:textFill>
            <w14:solidFill>
              <w14:schemeClr w14:val="tx1"/>
            </w14:solidFill>
          </w14:textFill>
        </w:rPr>
        <w:t xml:space="preserve">；极强烈流失面积 </w:t>
      </w:r>
      <w:r>
        <w:rPr>
          <w:rFonts w:eastAsia="Times New Roman" w:cs="Times New Roman"/>
          <w:color w:val="000000" w:themeColor="text1"/>
          <w:spacing w:val="-1"/>
          <w14:textFill>
            <w14:solidFill>
              <w14:schemeClr w14:val="tx1"/>
            </w14:solidFill>
          </w14:textFill>
        </w:rPr>
        <w:t>0.81km²</w:t>
      </w:r>
      <w:r>
        <w:rPr>
          <w:color w:val="000000" w:themeColor="text1"/>
          <w:spacing w:val="-1"/>
          <w14:textFill>
            <w14:solidFill>
              <w14:schemeClr w14:val="tx1"/>
            </w14:solidFill>
          </w14:textFill>
        </w:rPr>
        <w:t>,</w:t>
      </w:r>
      <w:r>
        <w:rPr>
          <w:color w:val="000000" w:themeColor="text1"/>
          <w14:textFill>
            <w14:solidFill>
              <w14:schemeClr w14:val="tx1"/>
            </w14:solidFill>
          </w14:textFill>
        </w:rPr>
        <w:t xml:space="preserve">  占水土流失面积的</w:t>
      </w:r>
      <w:r>
        <w:rPr>
          <w:color w:val="000000" w:themeColor="text1"/>
          <w:spacing w:val="-43"/>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0.81%</w:t>
      </w:r>
      <w:r>
        <w:rPr>
          <w:color w:val="000000" w:themeColor="text1"/>
          <w14:textFill>
            <w14:solidFill>
              <w14:schemeClr w14:val="tx1"/>
            </w14:solidFill>
          </w14:textFill>
        </w:rPr>
        <w:t>；剧烈流失面积</w:t>
      </w:r>
      <w:r>
        <w:rPr>
          <w:color w:val="000000" w:themeColor="text1"/>
          <w:spacing w:val="-23"/>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0.11km²</w:t>
      </w:r>
      <w:r>
        <w:rPr>
          <w:rFonts w:hint="eastAsia" w:cs="Times New Roman"/>
          <w:color w:val="000000" w:themeColor="text1"/>
          <w14:textFill>
            <w14:solidFill>
              <w14:schemeClr w14:val="tx1"/>
            </w14:solidFill>
          </w14:textFill>
        </w:rPr>
        <w:t>，</w:t>
      </w:r>
      <w:r>
        <w:rPr>
          <w:color w:val="000000" w:themeColor="text1"/>
          <w14:textFill>
            <w14:solidFill>
              <w14:schemeClr w14:val="tx1"/>
            </w14:solidFill>
          </w14:textFill>
        </w:rPr>
        <w:t>占水土流失面积的</w:t>
      </w:r>
      <w:r>
        <w:rPr>
          <w:color w:val="000000" w:themeColor="text1"/>
          <w:spacing w:val="-21"/>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0.11%</w:t>
      </w:r>
      <w:r>
        <w:rPr>
          <w:color w:val="000000" w:themeColor="text1"/>
          <w14:textFill>
            <w14:solidFill>
              <w14:schemeClr w14:val="tx1"/>
            </w14:solidFill>
          </w14:textFill>
        </w:rPr>
        <w:t>。项目区水土流失情况详见表</w:t>
      </w:r>
      <w:r>
        <w:rPr>
          <w:color w:val="000000" w:themeColor="text1"/>
          <w:spacing w:val="-55"/>
          <w14:textFill>
            <w14:solidFill>
              <w14:schemeClr w14:val="tx1"/>
            </w14:solidFill>
          </w14:textFill>
        </w:rPr>
        <w:t xml:space="preserve"> </w:t>
      </w:r>
      <w:r>
        <w:rPr>
          <w:rFonts w:eastAsia="Times New Roman" w:cs="Times New Roman"/>
          <w:color w:val="000000" w:themeColor="text1"/>
          <w14:textFill>
            <w14:solidFill>
              <w14:schemeClr w14:val="tx1"/>
            </w14:solidFill>
          </w14:textFill>
        </w:rPr>
        <w:t>4.1-1</w:t>
      </w:r>
      <w:r>
        <w:rPr>
          <w:color w:val="000000" w:themeColor="text1"/>
          <w:spacing w:val="-4"/>
          <w14:textFill>
            <w14:solidFill>
              <w14:schemeClr w14:val="tx1"/>
            </w14:solidFill>
          </w14:textFill>
        </w:rPr>
        <w:t>。</w:t>
      </w:r>
    </w:p>
    <w:p w14:paraId="4438890C">
      <w:pPr>
        <w:ind w:firstLine="490"/>
        <w:rPr>
          <w:color w:val="000000" w:themeColor="text1"/>
          <w14:textFill>
            <w14:solidFill>
              <w14:schemeClr w14:val="tx1"/>
            </w14:solidFill>
          </w14:textFill>
        </w:rPr>
      </w:pPr>
      <w:r>
        <w:rPr>
          <w:color w:val="000000" w:themeColor="text1"/>
          <w:spacing w:val="5"/>
          <w14:textFill>
            <w14:solidFill>
              <w14:schemeClr w14:val="tx1"/>
            </w14:solidFill>
          </w14:textFill>
        </w:rPr>
        <w:t>根据现场勘查，项目区土壤侵蚀以水力侵蚀为主，水土流失类型为南方</w:t>
      </w:r>
      <w:r>
        <w:rPr>
          <w:color w:val="000000" w:themeColor="text1"/>
          <w:spacing w:val="4"/>
          <w14:textFill>
            <w14:solidFill>
              <w14:schemeClr w14:val="tx1"/>
            </w14:solidFill>
          </w14:textFill>
        </w:rPr>
        <w:t>红壤区，</w:t>
      </w:r>
      <w:r>
        <w:rPr>
          <w:color w:val="000000" w:themeColor="text1"/>
          <w:spacing w:val="-1"/>
          <w14:textFill>
            <w14:solidFill>
              <w14:schemeClr w14:val="tx1"/>
            </w14:solidFill>
          </w14:textFill>
        </w:rPr>
        <w:t>项目区水土流失容许值</w:t>
      </w:r>
      <w:r>
        <w:rPr>
          <w:rFonts w:eastAsia="Times New Roman"/>
          <w:color w:val="000000" w:themeColor="text1"/>
          <w:spacing w:val="-1"/>
          <w14:textFill>
            <w14:solidFill>
              <w14:schemeClr w14:val="tx1"/>
            </w14:solidFill>
          </w14:textFill>
        </w:rPr>
        <w:t>500t/</w:t>
      </w:r>
      <w:r>
        <w:rPr>
          <w:color w:val="000000" w:themeColor="text1"/>
          <w:spacing w:val="-1"/>
          <w14:textFill>
            <w14:solidFill>
              <w14:schemeClr w14:val="tx1"/>
            </w14:solidFill>
          </w14:textFill>
        </w:rPr>
        <w:t>（</w:t>
      </w:r>
      <w:r>
        <w:rPr>
          <w:rFonts w:eastAsia="Times New Roman"/>
          <w:color w:val="000000" w:themeColor="text1"/>
          <w:spacing w:val="-1"/>
          <w14:textFill>
            <w14:solidFill>
              <w14:schemeClr w14:val="tx1"/>
            </w14:solidFill>
          </w14:textFill>
        </w:rPr>
        <w:t>km²•a</w:t>
      </w:r>
      <w:r>
        <w:rPr>
          <w:color w:val="000000" w:themeColor="text1"/>
          <w:spacing w:val="-1"/>
          <w14:textFill>
            <w14:solidFill>
              <w14:schemeClr w14:val="tx1"/>
            </w14:solidFill>
          </w14:textFill>
        </w:rPr>
        <w:t>）。针对项目占地范</w:t>
      </w:r>
      <w:r>
        <w:rPr>
          <w:color w:val="000000" w:themeColor="text1"/>
          <w14:textFill>
            <w14:solidFill>
              <w14:schemeClr w14:val="tx1"/>
            </w14:solidFill>
          </w14:textFill>
        </w:rPr>
        <w:t>围内的地形、地貌、降雨、土壤、植被等水土流失影响因子，结合《土壤侵蚀分类分级标准》（</w:t>
      </w:r>
      <w:r>
        <w:rPr>
          <w:rFonts w:eastAsia="Times New Roman"/>
          <w:color w:val="000000" w:themeColor="text1"/>
          <w14:textFill>
            <w14:solidFill>
              <w14:schemeClr w14:val="tx1"/>
            </w14:solidFill>
          </w14:textFill>
        </w:rPr>
        <w:t>SL190-2007</w:t>
      </w:r>
      <w:r>
        <w:rPr>
          <w:color w:val="000000" w:themeColor="text1"/>
          <w14:textFill>
            <w14:solidFill>
              <w14:schemeClr w14:val="tx1"/>
            </w14:solidFill>
          </w14:textFill>
        </w:rPr>
        <w:t>）中土壤水力侵蚀的强度分级标准，计算得出本项目的土壤侵蚀模数背景值</w:t>
      </w:r>
      <w:r>
        <w:rPr>
          <w:color w:val="000000" w:themeColor="text1"/>
          <w:spacing w:val="-1"/>
          <w14:textFill>
            <w14:solidFill>
              <w14:schemeClr w14:val="tx1"/>
            </w14:solidFill>
          </w14:textFill>
        </w:rPr>
        <w:t>为</w:t>
      </w:r>
      <w:r>
        <w:rPr>
          <w:rFonts w:eastAsia="Times New Roman"/>
          <w:color w:val="000000" w:themeColor="text1"/>
          <w:spacing w:val="-1"/>
          <w14:textFill>
            <w14:solidFill>
              <w14:schemeClr w14:val="tx1"/>
            </w14:solidFill>
          </w14:textFill>
        </w:rPr>
        <w:t>306t/</w:t>
      </w:r>
      <w:r>
        <w:rPr>
          <w:color w:val="000000" w:themeColor="text1"/>
          <w:spacing w:val="-1"/>
          <w14:textFill>
            <w14:solidFill>
              <w14:schemeClr w14:val="tx1"/>
            </w14:solidFill>
          </w14:textFill>
        </w:rPr>
        <w:t>（</w:t>
      </w:r>
      <w:r>
        <w:rPr>
          <w:rFonts w:eastAsia="Times New Roman"/>
          <w:color w:val="000000" w:themeColor="text1"/>
          <w:spacing w:val="-1"/>
          <w14:textFill>
            <w14:solidFill>
              <w14:schemeClr w14:val="tx1"/>
            </w14:solidFill>
          </w14:textFill>
        </w:rPr>
        <w:t>km².a</w:t>
      </w:r>
      <w:r>
        <w:rPr>
          <w:color w:val="000000" w:themeColor="text1"/>
          <w:spacing w:val="-8"/>
          <w14:textFill>
            <w14:solidFill>
              <w14:schemeClr w14:val="tx1"/>
            </w14:solidFill>
          </w14:textFill>
        </w:rPr>
        <w:t>），</w:t>
      </w:r>
      <w:r>
        <w:rPr>
          <w:color w:val="000000" w:themeColor="text1"/>
          <w14:textFill>
            <w14:solidFill>
              <w14:schemeClr w14:val="tx1"/>
            </w14:solidFill>
          </w14:textFill>
        </w:rPr>
        <w:t>属微度侵蚀。</w:t>
      </w:r>
    </w:p>
    <w:p w14:paraId="232B04BA">
      <w:pPr>
        <w:pStyle w:val="87"/>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项</w:t>
      </w:r>
      <w:r>
        <w:rPr>
          <w:color w:val="000000" w:themeColor="text1"/>
          <w14:textFill>
            <w14:solidFill>
              <w14:schemeClr w14:val="tx1"/>
            </w14:solidFill>
          </w14:textFill>
        </w:rPr>
        <w:t>目区水土流失情况表</w:t>
      </w:r>
    </w:p>
    <w:tbl>
      <w:tblPr>
        <w:tblStyle w:val="152"/>
        <w:tblW w:w="929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19"/>
        <w:gridCol w:w="995"/>
        <w:gridCol w:w="838"/>
        <w:gridCol w:w="607"/>
        <w:gridCol w:w="688"/>
        <w:gridCol w:w="689"/>
        <w:gridCol w:w="607"/>
        <w:gridCol w:w="607"/>
        <w:gridCol w:w="605"/>
        <w:gridCol w:w="607"/>
        <w:gridCol w:w="607"/>
        <w:gridCol w:w="607"/>
        <w:gridCol w:w="607"/>
        <w:gridCol w:w="611"/>
      </w:tblGrid>
      <w:tr w14:paraId="0F815C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619" w:type="dxa"/>
            <w:vMerge w:val="restart"/>
            <w:vAlign w:val="center"/>
          </w:tcPr>
          <w:p w14:paraId="02802901">
            <w:pPr>
              <w:pStyle w:val="105"/>
              <w:jc w:val="center"/>
              <w:rPr>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行</w:t>
            </w:r>
            <w:r>
              <w:rPr>
                <w:color w:val="000000" w:themeColor="text1"/>
                <w:spacing w:val="-43"/>
                <w:sz w:val="18"/>
                <w:szCs w:val="18"/>
                <w14:textFill>
                  <w14:solidFill>
                    <w14:schemeClr w14:val="tx1"/>
                  </w14:solidFill>
                </w14:textFill>
              </w:rPr>
              <w:t xml:space="preserve"> </w:t>
            </w:r>
            <w:r>
              <w:rPr>
                <w:rFonts w:hint="eastAsia" w:ascii="宋体" w:hAnsi="宋体"/>
                <w:color w:val="000000" w:themeColor="text1"/>
                <w:sz w:val="18"/>
                <w:szCs w:val="18"/>
                <w14:textFill>
                  <w14:solidFill>
                    <w14:schemeClr w14:val="tx1"/>
                  </w14:solidFill>
                </w14:textFill>
              </w:rPr>
              <w:t>政</w:t>
            </w:r>
            <w:r>
              <w:rPr>
                <w:color w:val="000000" w:themeColor="text1"/>
                <w:spacing w:val="-45"/>
                <w:sz w:val="18"/>
                <w:szCs w:val="18"/>
                <w14:textFill>
                  <w14:solidFill>
                    <w14:schemeClr w14:val="tx1"/>
                  </w14:solidFill>
                </w14:textFill>
              </w:rPr>
              <w:t xml:space="preserve"> </w:t>
            </w:r>
            <w:r>
              <w:rPr>
                <w:rFonts w:hint="eastAsia" w:ascii="宋体" w:hAnsi="宋体"/>
                <w:color w:val="000000" w:themeColor="text1"/>
                <w:position w:val="1"/>
                <w:sz w:val="18"/>
                <w:szCs w:val="18"/>
                <w14:textFill>
                  <w14:solidFill>
                    <w14:schemeClr w14:val="tx1"/>
                  </w14:solidFill>
                </w14:textFill>
              </w:rPr>
              <w:t>区</w:t>
            </w:r>
            <w:r>
              <w:rPr>
                <w:color w:val="000000" w:themeColor="text1"/>
                <w:spacing w:val="-43"/>
                <w:position w:val="1"/>
                <w:sz w:val="18"/>
                <w:szCs w:val="18"/>
                <w14:textFill>
                  <w14:solidFill>
                    <w14:schemeClr w14:val="tx1"/>
                  </w14:solidFill>
                </w14:textFill>
              </w:rPr>
              <w:t xml:space="preserve"> </w:t>
            </w:r>
            <w:r>
              <w:rPr>
                <w:rFonts w:hint="eastAsia" w:ascii="宋体" w:hAnsi="宋体"/>
                <w:color w:val="000000" w:themeColor="text1"/>
                <w:sz w:val="18"/>
                <w:szCs w:val="18"/>
                <w14:textFill>
                  <w14:solidFill>
                    <w14:schemeClr w14:val="tx1"/>
                  </w14:solidFill>
                </w14:textFill>
              </w:rPr>
              <w:t>划</w:t>
            </w:r>
          </w:p>
        </w:tc>
        <w:tc>
          <w:tcPr>
            <w:tcW w:w="995" w:type="dxa"/>
            <w:vMerge w:val="restart"/>
            <w:vAlign w:val="center"/>
          </w:tcPr>
          <w:p w14:paraId="658B5E12">
            <w:pPr>
              <w:pStyle w:val="105"/>
              <w:jc w:val="center"/>
              <w:rPr>
                <w:rFonts w:eastAsia="Times New Roman" w:cs="Times New Roman"/>
                <w:color w:val="000000" w:themeColor="text1"/>
                <w:sz w:val="18"/>
                <w:szCs w:val="18"/>
                <w14:textFill>
                  <w14:solidFill>
                    <w14:schemeClr w14:val="tx1"/>
                  </w14:solidFill>
                </w14:textFill>
              </w:rPr>
            </w:pPr>
            <w:r>
              <w:rPr>
                <w:rFonts w:hint="eastAsia" w:ascii="宋体" w:hAnsi="宋体"/>
                <w:color w:val="000000" w:themeColor="text1"/>
                <w:spacing w:val="-3"/>
                <w:sz w:val="18"/>
                <w:szCs w:val="18"/>
                <w14:textFill>
                  <w14:solidFill>
                    <w14:schemeClr w14:val="tx1"/>
                  </w14:solidFill>
                </w14:textFill>
              </w:rPr>
              <w:t>土地面</w:t>
            </w:r>
            <w:r>
              <w:rPr>
                <w:color w:val="000000" w:themeColor="text1"/>
                <w:sz w:val="18"/>
                <w:szCs w:val="18"/>
                <w14:textFill>
                  <w14:solidFill>
                    <w14:schemeClr w14:val="tx1"/>
                  </w14:solidFill>
                </w14:textFill>
              </w:rPr>
              <w:t xml:space="preserve"> </w:t>
            </w:r>
            <w:r>
              <w:rPr>
                <w:rFonts w:hint="eastAsia" w:ascii="宋体" w:hAnsi="宋体"/>
                <w:color w:val="000000" w:themeColor="text1"/>
                <w:spacing w:val="22"/>
                <w:sz w:val="18"/>
                <w:szCs w:val="18"/>
                <w14:textFill>
                  <w14:solidFill>
                    <w14:schemeClr w14:val="tx1"/>
                  </w14:solidFill>
                </w14:textFill>
              </w:rPr>
              <w:t>积</w:t>
            </w:r>
            <w:r>
              <w:rPr>
                <w:color w:val="000000" w:themeColor="text1"/>
                <w:spacing w:val="-51"/>
                <w:sz w:val="18"/>
                <w:szCs w:val="18"/>
                <w14:textFill>
                  <w14:solidFill>
                    <w14:schemeClr w14:val="tx1"/>
                  </w14:solidFill>
                </w14:textFill>
              </w:rPr>
              <w:t xml:space="preserve"> </w:t>
            </w:r>
            <w:r>
              <w:rPr>
                <w:rFonts w:eastAsia="Times New Roman" w:cs="Times New Roman"/>
                <w:color w:val="000000" w:themeColor="text1"/>
                <w:spacing w:val="22"/>
                <w:sz w:val="18"/>
                <w:szCs w:val="18"/>
                <w14:textFill>
                  <w14:solidFill>
                    <w14:schemeClr w14:val="tx1"/>
                  </w14:solidFill>
                </w14:textFill>
              </w:rPr>
              <w:t>km²</w:t>
            </w:r>
          </w:p>
        </w:tc>
        <w:tc>
          <w:tcPr>
            <w:tcW w:w="1445" w:type="dxa"/>
            <w:gridSpan w:val="2"/>
            <w:vMerge w:val="restart"/>
            <w:vAlign w:val="center"/>
          </w:tcPr>
          <w:p w14:paraId="522C2851">
            <w:pPr>
              <w:pStyle w:val="105"/>
              <w:jc w:val="center"/>
              <w:rPr>
                <w:color w:val="000000" w:themeColor="text1"/>
                <w:sz w:val="18"/>
                <w:szCs w:val="18"/>
                <w14:textFill>
                  <w14:solidFill>
                    <w14:schemeClr w14:val="tx1"/>
                  </w14:solidFill>
                </w14:textFill>
              </w:rPr>
            </w:pPr>
            <w:r>
              <w:rPr>
                <w:rFonts w:hint="eastAsia" w:ascii="宋体" w:hAnsi="宋体"/>
                <w:color w:val="000000" w:themeColor="text1"/>
                <w:spacing w:val="-1"/>
                <w:sz w:val="18"/>
                <w:szCs w:val="18"/>
                <w14:textFill>
                  <w14:solidFill>
                    <w14:schemeClr w14:val="tx1"/>
                  </w14:solidFill>
                </w14:textFill>
              </w:rPr>
              <w:t>水土流失面</w:t>
            </w:r>
            <w:r>
              <w:rPr>
                <w:color w:val="000000" w:themeColor="text1"/>
                <w:sz w:val="18"/>
                <w:szCs w:val="18"/>
                <w14:textFill>
                  <w14:solidFill>
                    <w14:schemeClr w14:val="tx1"/>
                  </w14:solidFill>
                </w14:textFill>
              </w:rPr>
              <w:t xml:space="preserve"> </w:t>
            </w:r>
            <w:r>
              <w:rPr>
                <w:rFonts w:hint="eastAsia" w:ascii="宋体" w:hAnsi="宋体"/>
                <w:color w:val="000000" w:themeColor="text1"/>
                <w:sz w:val="18"/>
                <w:szCs w:val="18"/>
                <w14:textFill>
                  <w14:solidFill>
                    <w14:schemeClr w14:val="tx1"/>
                  </w14:solidFill>
                </w14:textFill>
              </w:rPr>
              <w:t>积</w:t>
            </w:r>
          </w:p>
        </w:tc>
        <w:tc>
          <w:tcPr>
            <w:tcW w:w="6235" w:type="dxa"/>
            <w:gridSpan w:val="10"/>
            <w:vAlign w:val="center"/>
          </w:tcPr>
          <w:p w14:paraId="10580B8C">
            <w:pPr>
              <w:pStyle w:val="105"/>
              <w:jc w:val="center"/>
              <w:rPr>
                <w:color w:val="000000" w:themeColor="text1"/>
                <w:sz w:val="18"/>
                <w:szCs w:val="18"/>
                <w14:textFill>
                  <w14:solidFill>
                    <w14:schemeClr w14:val="tx1"/>
                  </w14:solidFill>
                </w14:textFill>
              </w:rPr>
            </w:pPr>
            <w:r>
              <w:rPr>
                <w:rFonts w:hint="eastAsia" w:ascii="宋体" w:hAnsi="宋体"/>
                <w:color w:val="000000" w:themeColor="text1"/>
                <w:spacing w:val="-1"/>
                <w:sz w:val="18"/>
                <w:szCs w:val="18"/>
                <w14:textFill>
                  <w14:solidFill>
                    <w14:schemeClr w14:val="tx1"/>
                  </w14:solidFill>
                </w14:textFill>
              </w:rPr>
              <w:t>水土流失强度</w:t>
            </w:r>
          </w:p>
        </w:tc>
      </w:tr>
      <w:tr w14:paraId="5EA5DD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619" w:type="dxa"/>
            <w:vMerge w:val="continue"/>
            <w:vAlign w:val="center"/>
          </w:tcPr>
          <w:p w14:paraId="244E79B6">
            <w:pPr>
              <w:pStyle w:val="105"/>
              <w:jc w:val="center"/>
              <w:rPr>
                <w:color w:val="000000" w:themeColor="text1"/>
                <w:sz w:val="18"/>
                <w:szCs w:val="18"/>
                <w14:textFill>
                  <w14:solidFill>
                    <w14:schemeClr w14:val="tx1"/>
                  </w14:solidFill>
                </w14:textFill>
              </w:rPr>
            </w:pPr>
          </w:p>
        </w:tc>
        <w:tc>
          <w:tcPr>
            <w:tcW w:w="995" w:type="dxa"/>
            <w:vMerge w:val="continue"/>
            <w:vAlign w:val="center"/>
          </w:tcPr>
          <w:p w14:paraId="57E44C31">
            <w:pPr>
              <w:pStyle w:val="105"/>
              <w:jc w:val="center"/>
              <w:rPr>
                <w:color w:val="000000" w:themeColor="text1"/>
                <w:sz w:val="18"/>
                <w:szCs w:val="18"/>
                <w14:textFill>
                  <w14:solidFill>
                    <w14:schemeClr w14:val="tx1"/>
                  </w14:solidFill>
                </w14:textFill>
              </w:rPr>
            </w:pPr>
          </w:p>
        </w:tc>
        <w:tc>
          <w:tcPr>
            <w:tcW w:w="1445" w:type="dxa"/>
            <w:gridSpan w:val="2"/>
            <w:vMerge w:val="continue"/>
            <w:vAlign w:val="center"/>
          </w:tcPr>
          <w:p w14:paraId="6B6FC381">
            <w:pPr>
              <w:pStyle w:val="105"/>
              <w:jc w:val="center"/>
              <w:rPr>
                <w:color w:val="000000" w:themeColor="text1"/>
                <w:sz w:val="18"/>
                <w:szCs w:val="18"/>
                <w14:textFill>
                  <w14:solidFill>
                    <w14:schemeClr w14:val="tx1"/>
                  </w14:solidFill>
                </w14:textFill>
              </w:rPr>
            </w:pPr>
          </w:p>
        </w:tc>
        <w:tc>
          <w:tcPr>
            <w:tcW w:w="1377" w:type="dxa"/>
            <w:gridSpan w:val="2"/>
            <w:vAlign w:val="center"/>
          </w:tcPr>
          <w:p w14:paraId="3BC64453">
            <w:pPr>
              <w:pStyle w:val="105"/>
              <w:jc w:val="center"/>
              <w:rPr>
                <w:color w:val="000000" w:themeColor="text1"/>
                <w:sz w:val="18"/>
                <w:szCs w:val="18"/>
                <w14:textFill>
                  <w14:solidFill>
                    <w14:schemeClr w14:val="tx1"/>
                  </w14:solidFill>
                </w14:textFill>
              </w:rPr>
            </w:pPr>
            <w:r>
              <w:rPr>
                <w:color w:val="000000" w:themeColor="text1"/>
                <w:spacing w:val="-4"/>
                <w:sz w:val="18"/>
                <w:szCs w:val="18"/>
                <w14:textFill>
                  <w14:solidFill>
                    <w14:schemeClr w14:val="tx1"/>
                  </w14:solidFill>
                </w14:textFill>
              </w:rPr>
              <w:t>轻度</w:t>
            </w:r>
          </w:p>
        </w:tc>
        <w:tc>
          <w:tcPr>
            <w:tcW w:w="1214" w:type="dxa"/>
            <w:gridSpan w:val="2"/>
            <w:vAlign w:val="center"/>
          </w:tcPr>
          <w:p w14:paraId="54F70EBD">
            <w:pPr>
              <w:pStyle w:val="105"/>
              <w:jc w:val="center"/>
              <w:rPr>
                <w:color w:val="000000" w:themeColor="text1"/>
                <w:sz w:val="18"/>
                <w:szCs w:val="18"/>
                <w14:textFill>
                  <w14:solidFill>
                    <w14:schemeClr w14:val="tx1"/>
                  </w14:solidFill>
                </w14:textFill>
              </w:rPr>
            </w:pPr>
            <w:r>
              <w:rPr>
                <w:color w:val="000000" w:themeColor="text1"/>
                <w:spacing w:val="-8"/>
                <w:sz w:val="18"/>
                <w:szCs w:val="18"/>
                <w14:textFill>
                  <w14:solidFill>
                    <w14:schemeClr w14:val="tx1"/>
                  </w14:solidFill>
                </w14:textFill>
              </w:rPr>
              <w:t>中度</w:t>
            </w:r>
          </w:p>
        </w:tc>
        <w:tc>
          <w:tcPr>
            <w:tcW w:w="1212" w:type="dxa"/>
            <w:gridSpan w:val="2"/>
            <w:vAlign w:val="center"/>
          </w:tcPr>
          <w:p w14:paraId="070881A6">
            <w:pPr>
              <w:pStyle w:val="105"/>
              <w:jc w:val="center"/>
              <w:rPr>
                <w:color w:val="000000" w:themeColor="text1"/>
                <w:sz w:val="18"/>
                <w:szCs w:val="18"/>
                <w14:textFill>
                  <w14:solidFill>
                    <w14:schemeClr w14:val="tx1"/>
                  </w14:solidFill>
                </w14:textFill>
              </w:rPr>
            </w:pPr>
            <w:r>
              <w:rPr>
                <w:color w:val="000000" w:themeColor="text1"/>
                <w:spacing w:val="-5"/>
                <w:sz w:val="18"/>
                <w:szCs w:val="18"/>
                <w14:textFill>
                  <w14:solidFill>
                    <w14:schemeClr w14:val="tx1"/>
                  </w14:solidFill>
                </w14:textFill>
              </w:rPr>
              <w:t>强烈</w:t>
            </w:r>
          </w:p>
        </w:tc>
        <w:tc>
          <w:tcPr>
            <w:tcW w:w="1214" w:type="dxa"/>
            <w:gridSpan w:val="2"/>
            <w:vAlign w:val="center"/>
          </w:tcPr>
          <w:p w14:paraId="34A1603B">
            <w:pPr>
              <w:pStyle w:val="105"/>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极强烈</w:t>
            </w:r>
          </w:p>
        </w:tc>
        <w:tc>
          <w:tcPr>
            <w:tcW w:w="1218" w:type="dxa"/>
            <w:gridSpan w:val="2"/>
            <w:vAlign w:val="center"/>
          </w:tcPr>
          <w:p w14:paraId="71180CD7">
            <w:pPr>
              <w:pStyle w:val="105"/>
              <w:jc w:val="center"/>
              <w:rPr>
                <w:color w:val="000000" w:themeColor="text1"/>
                <w:sz w:val="18"/>
                <w:szCs w:val="18"/>
                <w14:textFill>
                  <w14:solidFill>
                    <w14:schemeClr w14:val="tx1"/>
                  </w14:solidFill>
                </w14:textFill>
              </w:rPr>
            </w:pPr>
            <w:r>
              <w:rPr>
                <w:color w:val="000000" w:themeColor="text1"/>
                <w:spacing w:val="-1"/>
                <w:sz w:val="18"/>
                <w:szCs w:val="18"/>
                <w14:textFill>
                  <w14:solidFill>
                    <w14:schemeClr w14:val="tx1"/>
                  </w14:solidFill>
                </w14:textFill>
              </w:rPr>
              <w:t>剧烈</w:t>
            </w:r>
          </w:p>
        </w:tc>
      </w:tr>
      <w:tr w14:paraId="30284D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619" w:type="dxa"/>
            <w:vMerge w:val="continue"/>
            <w:vAlign w:val="center"/>
          </w:tcPr>
          <w:p w14:paraId="436EA9C1">
            <w:pPr>
              <w:pStyle w:val="105"/>
              <w:jc w:val="center"/>
              <w:rPr>
                <w:color w:val="000000" w:themeColor="text1"/>
                <w:sz w:val="18"/>
                <w:szCs w:val="18"/>
                <w14:textFill>
                  <w14:solidFill>
                    <w14:schemeClr w14:val="tx1"/>
                  </w14:solidFill>
                </w14:textFill>
              </w:rPr>
            </w:pPr>
          </w:p>
        </w:tc>
        <w:tc>
          <w:tcPr>
            <w:tcW w:w="995" w:type="dxa"/>
            <w:vMerge w:val="continue"/>
            <w:vAlign w:val="center"/>
          </w:tcPr>
          <w:p w14:paraId="134962C7">
            <w:pPr>
              <w:pStyle w:val="105"/>
              <w:jc w:val="center"/>
              <w:rPr>
                <w:color w:val="000000" w:themeColor="text1"/>
                <w:sz w:val="18"/>
                <w:szCs w:val="18"/>
                <w14:textFill>
                  <w14:solidFill>
                    <w14:schemeClr w14:val="tx1"/>
                  </w14:solidFill>
                </w14:textFill>
              </w:rPr>
            </w:pPr>
          </w:p>
        </w:tc>
        <w:tc>
          <w:tcPr>
            <w:tcW w:w="838" w:type="dxa"/>
            <w:vAlign w:val="center"/>
          </w:tcPr>
          <w:p w14:paraId="24B6EDC7">
            <w:pPr>
              <w:pStyle w:val="105"/>
              <w:jc w:val="center"/>
              <w:rPr>
                <w:color w:val="000000" w:themeColor="text1"/>
                <w:sz w:val="18"/>
                <w:szCs w:val="18"/>
                <w14:textFill>
                  <w14:solidFill>
                    <w14:schemeClr w14:val="tx1"/>
                  </w14:solidFill>
                </w14:textFill>
              </w:rPr>
            </w:pPr>
            <w:r>
              <w:rPr>
                <w:color w:val="000000" w:themeColor="text1"/>
                <w:spacing w:val="-8"/>
                <w:sz w:val="18"/>
                <w:szCs w:val="18"/>
                <w14:textFill>
                  <w14:solidFill>
                    <w14:schemeClr w14:val="tx1"/>
                  </w14:solidFill>
                </w14:textFill>
              </w:rPr>
              <w:t>面积</w:t>
            </w:r>
            <w:r>
              <w:rPr>
                <w:color w:val="000000" w:themeColor="text1"/>
                <w:sz w:val="18"/>
                <w:szCs w:val="18"/>
                <w14:textFill>
                  <w14:solidFill>
                    <w14:schemeClr w14:val="tx1"/>
                  </w14:solidFill>
                </w14:textFill>
              </w:rPr>
              <w:t xml:space="preserve"> km</w:t>
            </w:r>
            <w:r>
              <w:rPr>
                <w:rFonts w:hint="eastAsia"/>
                <w:color w:val="000000" w:themeColor="text1"/>
                <w:sz w:val="18"/>
                <w:szCs w:val="18"/>
                <w:vertAlign w:val="superscript"/>
                <w14:textFill>
                  <w14:solidFill>
                    <w14:schemeClr w14:val="tx1"/>
                  </w14:solidFill>
                </w14:textFill>
              </w:rPr>
              <w:t>2</w:t>
            </w:r>
          </w:p>
        </w:tc>
        <w:tc>
          <w:tcPr>
            <w:tcW w:w="607" w:type="dxa"/>
            <w:vAlign w:val="center"/>
          </w:tcPr>
          <w:p w14:paraId="4777146E">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39"/>
                <w:sz w:val="18"/>
                <w:szCs w:val="18"/>
                <w14:textFill>
                  <w14:solidFill>
                    <w14:schemeClr w14:val="tx1"/>
                  </w14:solidFill>
                </w14:textFill>
              </w:rPr>
              <w:t>比</w:t>
            </w:r>
            <w:r>
              <w:rPr>
                <w:color w:val="000000" w:themeColor="text1"/>
                <w:sz w:val="18"/>
                <w:szCs w:val="18"/>
                <w14:textFill>
                  <w14:solidFill>
                    <w14:schemeClr w14:val="tx1"/>
                  </w14:solidFill>
                </w14:textFill>
              </w:rPr>
              <w:t xml:space="preserve"> </w:t>
            </w:r>
            <w:r>
              <w:rPr>
                <w:color w:val="000000" w:themeColor="text1"/>
                <w:spacing w:val="-4"/>
                <w:sz w:val="18"/>
                <w:szCs w:val="18"/>
                <w14:textFill>
                  <w14:solidFill>
                    <w14:schemeClr w14:val="tx1"/>
                  </w14:solidFill>
                </w14:textFill>
              </w:rPr>
              <w:t>例</w:t>
            </w:r>
            <w:r>
              <w:rPr>
                <w:rFonts w:eastAsia="Times New Roman" w:cs="Times New Roman"/>
                <w:color w:val="000000" w:themeColor="text1"/>
                <w:spacing w:val="15"/>
                <w:sz w:val="18"/>
                <w:szCs w:val="18"/>
                <w14:textFill>
                  <w14:solidFill>
                    <w14:schemeClr w14:val="tx1"/>
                  </w14:solidFill>
                </w14:textFill>
              </w:rPr>
              <w:t>%</w:t>
            </w:r>
          </w:p>
        </w:tc>
        <w:tc>
          <w:tcPr>
            <w:tcW w:w="688" w:type="dxa"/>
            <w:vAlign w:val="center"/>
          </w:tcPr>
          <w:p w14:paraId="2F537B0C">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8"/>
                <w:sz w:val="18"/>
                <w:szCs w:val="18"/>
                <w14:textFill>
                  <w14:solidFill>
                    <w14:schemeClr w14:val="tx1"/>
                  </w14:solidFill>
                </w14:textFill>
              </w:rPr>
              <w:t>面积</w:t>
            </w:r>
            <w:r>
              <w:rPr>
                <w:color w:val="000000" w:themeColor="text1"/>
                <w:sz w:val="18"/>
                <w:szCs w:val="18"/>
                <w14:textFill>
                  <w14:solidFill>
                    <w14:schemeClr w14:val="tx1"/>
                  </w14:solidFill>
                </w14:textFill>
              </w:rPr>
              <w:t xml:space="preserve"> km</w:t>
            </w:r>
            <w:r>
              <w:rPr>
                <w:rFonts w:hint="eastAsia"/>
                <w:color w:val="000000" w:themeColor="text1"/>
                <w:sz w:val="18"/>
                <w:szCs w:val="18"/>
                <w:vertAlign w:val="superscript"/>
                <w14:textFill>
                  <w14:solidFill>
                    <w14:schemeClr w14:val="tx1"/>
                  </w14:solidFill>
                </w14:textFill>
              </w:rPr>
              <w:t>2</w:t>
            </w:r>
          </w:p>
        </w:tc>
        <w:tc>
          <w:tcPr>
            <w:tcW w:w="689" w:type="dxa"/>
            <w:vAlign w:val="center"/>
          </w:tcPr>
          <w:p w14:paraId="5652D631">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39"/>
                <w:sz w:val="18"/>
                <w:szCs w:val="18"/>
                <w14:textFill>
                  <w14:solidFill>
                    <w14:schemeClr w14:val="tx1"/>
                  </w14:solidFill>
                </w14:textFill>
              </w:rPr>
              <w:t>比</w:t>
            </w:r>
            <w:r>
              <w:rPr>
                <w:color w:val="000000" w:themeColor="text1"/>
                <w:sz w:val="18"/>
                <w:szCs w:val="18"/>
                <w14:textFill>
                  <w14:solidFill>
                    <w14:schemeClr w14:val="tx1"/>
                  </w14:solidFill>
                </w14:textFill>
              </w:rPr>
              <w:t xml:space="preserve"> </w:t>
            </w:r>
            <w:r>
              <w:rPr>
                <w:color w:val="000000" w:themeColor="text1"/>
                <w:spacing w:val="-4"/>
                <w:sz w:val="18"/>
                <w:szCs w:val="18"/>
                <w14:textFill>
                  <w14:solidFill>
                    <w14:schemeClr w14:val="tx1"/>
                  </w14:solidFill>
                </w14:textFill>
              </w:rPr>
              <w:t>例</w:t>
            </w:r>
            <w:r>
              <w:rPr>
                <w:rFonts w:eastAsia="Times New Roman" w:cs="Times New Roman"/>
                <w:color w:val="000000" w:themeColor="text1"/>
                <w:spacing w:val="15"/>
                <w:sz w:val="18"/>
                <w:szCs w:val="18"/>
                <w14:textFill>
                  <w14:solidFill>
                    <w14:schemeClr w14:val="tx1"/>
                  </w14:solidFill>
                </w14:textFill>
              </w:rPr>
              <w:t>%</w:t>
            </w:r>
          </w:p>
        </w:tc>
        <w:tc>
          <w:tcPr>
            <w:tcW w:w="607" w:type="dxa"/>
            <w:vAlign w:val="center"/>
          </w:tcPr>
          <w:p w14:paraId="46887843">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8"/>
                <w:sz w:val="18"/>
                <w:szCs w:val="18"/>
                <w14:textFill>
                  <w14:solidFill>
                    <w14:schemeClr w14:val="tx1"/>
                  </w14:solidFill>
                </w14:textFill>
              </w:rPr>
              <w:t>面积</w:t>
            </w:r>
            <w:r>
              <w:rPr>
                <w:color w:val="000000" w:themeColor="text1"/>
                <w:sz w:val="18"/>
                <w:szCs w:val="18"/>
                <w14:textFill>
                  <w14:solidFill>
                    <w14:schemeClr w14:val="tx1"/>
                  </w14:solidFill>
                </w14:textFill>
              </w:rPr>
              <w:t xml:space="preserve"> km</w:t>
            </w:r>
            <w:r>
              <w:rPr>
                <w:rFonts w:hint="eastAsia"/>
                <w:color w:val="000000" w:themeColor="text1"/>
                <w:sz w:val="18"/>
                <w:szCs w:val="18"/>
                <w:vertAlign w:val="superscript"/>
                <w14:textFill>
                  <w14:solidFill>
                    <w14:schemeClr w14:val="tx1"/>
                  </w14:solidFill>
                </w14:textFill>
              </w:rPr>
              <w:t>2</w:t>
            </w:r>
          </w:p>
        </w:tc>
        <w:tc>
          <w:tcPr>
            <w:tcW w:w="607" w:type="dxa"/>
            <w:vAlign w:val="center"/>
          </w:tcPr>
          <w:p w14:paraId="05DD477D">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39"/>
                <w:sz w:val="18"/>
                <w:szCs w:val="18"/>
                <w14:textFill>
                  <w14:solidFill>
                    <w14:schemeClr w14:val="tx1"/>
                  </w14:solidFill>
                </w14:textFill>
              </w:rPr>
              <w:t>比</w:t>
            </w:r>
            <w:r>
              <w:rPr>
                <w:color w:val="000000" w:themeColor="text1"/>
                <w:sz w:val="18"/>
                <w:szCs w:val="18"/>
                <w14:textFill>
                  <w14:solidFill>
                    <w14:schemeClr w14:val="tx1"/>
                  </w14:solidFill>
                </w14:textFill>
              </w:rPr>
              <w:t xml:space="preserve"> </w:t>
            </w:r>
            <w:r>
              <w:rPr>
                <w:color w:val="000000" w:themeColor="text1"/>
                <w:spacing w:val="-4"/>
                <w:sz w:val="18"/>
                <w:szCs w:val="18"/>
                <w14:textFill>
                  <w14:solidFill>
                    <w14:schemeClr w14:val="tx1"/>
                  </w14:solidFill>
                </w14:textFill>
              </w:rPr>
              <w:t>例</w:t>
            </w:r>
            <w:r>
              <w:rPr>
                <w:rFonts w:eastAsia="Times New Roman" w:cs="Times New Roman"/>
                <w:color w:val="000000" w:themeColor="text1"/>
                <w:spacing w:val="15"/>
                <w:sz w:val="18"/>
                <w:szCs w:val="18"/>
                <w14:textFill>
                  <w14:solidFill>
                    <w14:schemeClr w14:val="tx1"/>
                  </w14:solidFill>
                </w14:textFill>
              </w:rPr>
              <w:t>%</w:t>
            </w:r>
          </w:p>
        </w:tc>
        <w:tc>
          <w:tcPr>
            <w:tcW w:w="605" w:type="dxa"/>
            <w:vAlign w:val="center"/>
          </w:tcPr>
          <w:p w14:paraId="529006CA">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8"/>
                <w:sz w:val="18"/>
                <w:szCs w:val="18"/>
                <w14:textFill>
                  <w14:solidFill>
                    <w14:schemeClr w14:val="tx1"/>
                  </w14:solidFill>
                </w14:textFill>
              </w:rPr>
              <w:t>面积</w:t>
            </w:r>
            <w:r>
              <w:rPr>
                <w:color w:val="000000" w:themeColor="text1"/>
                <w:sz w:val="18"/>
                <w:szCs w:val="18"/>
                <w14:textFill>
                  <w14:solidFill>
                    <w14:schemeClr w14:val="tx1"/>
                  </w14:solidFill>
                </w14:textFill>
              </w:rPr>
              <w:t xml:space="preserve"> km</w:t>
            </w:r>
            <w:r>
              <w:rPr>
                <w:rFonts w:hint="eastAsia"/>
                <w:color w:val="000000" w:themeColor="text1"/>
                <w:sz w:val="18"/>
                <w:szCs w:val="18"/>
                <w:vertAlign w:val="superscript"/>
                <w14:textFill>
                  <w14:solidFill>
                    <w14:schemeClr w14:val="tx1"/>
                  </w14:solidFill>
                </w14:textFill>
              </w:rPr>
              <w:t>2</w:t>
            </w:r>
          </w:p>
        </w:tc>
        <w:tc>
          <w:tcPr>
            <w:tcW w:w="607" w:type="dxa"/>
            <w:vAlign w:val="center"/>
          </w:tcPr>
          <w:p w14:paraId="36EDDB85">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39"/>
                <w:sz w:val="18"/>
                <w:szCs w:val="18"/>
                <w14:textFill>
                  <w14:solidFill>
                    <w14:schemeClr w14:val="tx1"/>
                  </w14:solidFill>
                </w14:textFill>
              </w:rPr>
              <w:t>比</w:t>
            </w:r>
            <w:r>
              <w:rPr>
                <w:color w:val="000000" w:themeColor="text1"/>
                <w:sz w:val="18"/>
                <w:szCs w:val="18"/>
                <w14:textFill>
                  <w14:solidFill>
                    <w14:schemeClr w14:val="tx1"/>
                  </w14:solidFill>
                </w14:textFill>
              </w:rPr>
              <w:t xml:space="preserve"> </w:t>
            </w:r>
            <w:r>
              <w:rPr>
                <w:color w:val="000000" w:themeColor="text1"/>
                <w:spacing w:val="-4"/>
                <w:sz w:val="18"/>
                <w:szCs w:val="18"/>
                <w14:textFill>
                  <w14:solidFill>
                    <w14:schemeClr w14:val="tx1"/>
                  </w14:solidFill>
                </w14:textFill>
              </w:rPr>
              <w:t>例</w:t>
            </w:r>
            <w:r>
              <w:rPr>
                <w:rFonts w:eastAsia="Times New Roman" w:cs="Times New Roman"/>
                <w:color w:val="000000" w:themeColor="text1"/>
                <w:spacing w:val="15"/>
                <w:sz w:val="18"/>
                <w:szCs w:val="18"/>
                <w14:textFill>
                  <w14:solidFill>
                    <w14:schemeClr w14:val="tx1"/>
                  </w14:solidFill>
                </w14:textFill>
              </w:rPr>
              <w:t>%</w:t>
            </w:r>
          </w:p>
        </w:tc>
        <w:tc>
          <w:tcPr>
            <w:tcW w:w="607" w:type="dxa"/>
            <w:vAlign w:val="center"/>
          </w:tcPr>
          <w:p w14:paraId="5B9DCD9F">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8"/>
                <w:sz w:val="18"/>
                <w:szCs w:val="18"/>
                <w14:textFill>
                  <w14:solidFill>
                    <w14:schemeClr w14:val="tx1"/>
                  </w14:solidFill>
                </w14:textFill>
              </w:rPr>
              <w:t>面积</w:t>
            </w:r>
            <w:r>
              <w:rPr>
                <w:color w:val="000000" w:themeColor="text1"/>
                <w:sz w:val="18"/>
                <w:szCs w:val="18"/>
                <w14:textFill>
                  <w14:solidFill>
                    <w14:schemeClr w14:val="tx1"/>
                  </w14:solidFill>
                </w14:textFill>
              </w:rPr>
              <w:t xml:space="preserve"> km</w:t>
            </w:r>
            <w:r>
              <w:rPr>
                <w:rFonts w:hint="eastAsia"/>
                <w:color w:val="000000" w:themeColor="text1"/>
                <w:sz w:val="18"/>
                <w:szCs w:val="18"/>
                <w:vertAlign w:val="superscript"/>
                <w14:textFill>
                  <w14:solidFill>
                    <w14:schemeClr w14:val="tx1"/>
                  </w14:solidFill>
                </w14:textFill>
              </w:rPr>
              <w:t>2</w:t>
            </w:r>
          </w:p>
        </w:tc>
        <w:tc>
          <w:tcPr>
            <w:tcW w:w="607" w:type="dxa"/>
            <w:vAlign w:val="center"/>
          </w:tcPr>
          <w:p w14:paraId="29AA547A">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39"/>
                <w:sz w:val="18"/>
                <w:szCs w:val="18"/>
                <w14:textFill>
                  <w14:solidFill>
                    <w14:schemeClr w14:val="tx1"/>
                  </w14:solidFill>
                </w14:textFill>
              </w:rPr>
              <w:t>比</w:t>
            </w:r>
            <w:r>
              <w:rPr>
                <w:color w:val="000000" w:themeColor="text1"/>
                <w:sz w:val="18"/>
                <w:szCs w:val="18"/>
                <w14:textFill>
                  <w14:solidFill>
                    <w14:schemeClr w14:val="tx1"/>
                  </w14:solidFill>
                </w14:textFill>
              </w:rPr>
              <w:t xml:space="preserve"> </w:t>
            </w:r>
            <w:r>
              <w:rPr>
                <w:color w:val="000000" w:themeColor="text1"/>
                <w:spacing w:val="-4"/>
                <w:sz w:val="18"/>
                <w:szCs w:val="18"/>
                <w14:textFill>
                  <w14:solidFill>
                    <w14:schemeClr w14:val="tx1"/>
                  </w14:solidFill>
                </w14:textFill>
              </w:rPr>
              <w:t>例</w:t>
            </w:r>
            <w:r>
              <w:rPr>
                <w:rFonts w:eastAsia="Times New Roman" w:cs="Times New Roman"/>
                <w:color w:val="000000" w:themeColor="text1"/>
                <w:spacing w:val="15"/>
                <w:sz w:val="18"/>
                <w:szCs w:val="18"/>
                <w14:textFill>
                  <w14:solidFill>
                    <w14:schemeClr w14:val="tx1"/>
                  </w14:solidFill>
                </w14:textFill>
              </w:rPr>
              <w:t>%</w:t>
            </w:r>
          </w:p>
        </w:tc>
        <w:tc>
          <w:tcPr>
            <w:tcW w:w="607" w:type="dxa"/>
            <w:vAlign w:val="center"/>
          </w:tcPr>
          <w:p w14:paraId="01B6D1DF">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8"/>
                <w:sz w:val="18"/>
                <w:szCs w:val="18"/>
                <w14:textFill>
                  <w14:solidFill>
                    <w14:schemeClr w14:val="tx1"/>
                  </w14:solidFill>
                </w14:textFill>
              </w:rPr>
              <w:t>面积</w:t>
            </w:r>
            <w:r>
              <w:rPr>
                <w:color w:val="000000" w:themeColor="text1"/>
                <w:sz w:val="18"/>
                <w:szCs w:val="18"/>
                <w14:textFill>
                  <w14:solidFill>
                    <w14:schemeClr w14:val="tx1"/>
                  </w14:solidFill>
                </w14:textFill>
              </w:rPr>
              <w:t xml:space="preserve"> km</w:t>
            </w:r>
            <w:r>
              <w:rPr>
                <w:rFonts w:hint="eastAsia"/>
                <w:color w:val="000000" w:themeColor="text1"/>
                <w:sz w:val="18"/>
                <w:szCs w:val="18"/>
                <w:vertAlign w:val="superscript"/>
                <w14:textFill>
                  <w14:solidFill>
                    <w14:schemeClr w14:val="tx1"/>
                  </w14:solidFill>
                </w14:textFill>
              </w:rPr>
              <w:t>2</w:t>
            </w:r>
          </w:p>
        </w:tc>
        <w:tc>
          <w:tcPr>
            <w:tcW w:w="611" w:type="dxa"/>
            <w:vAlign w:val="center"/>
          </w:tcPr>
          <w:p w14:paraId="1FA96413">
            <w:pPr>
              <w:pStyle w:val="105"/>
              <w:jc w:val="center"/>
              <w:rPr>
                <w:rFonts w:eastAsia="Times New Roman" w:cs="Times New Roman"/>
                <w:color w:val="000000" w:themeColor="text1"/>
                <w:sz w:val="18"/>
                <w:szCs w:val="18"/>
                <w14:textFill>
                  <w14:solidFill>
                    <w14:schemeClr w14:val="tx1"/>
                  </w14:solidFill>
                </w14:textFill>
              </w:rPr>
            </w:pPr>
            <w:r>
              <w:rPr>
                <w:color w:val="000000" w:themeColor="text1"/>
                <w:spacing w:val="-39"/>
                <w:sz w:val="18"/>
                <w:szCs w:val="18"/>
                <w14:textFill>
                  <w14:solidFill>
                    <w14:schemeClr w14:val="tx1"/>
                  </w14:solidFill>
                </w14:textFill>
              </w:rPr>
              <w:t>比</w:t>
            </w:r>
            <w:r>
              <w:rPr>
                <w:color w:val="000000" w:themeColor="text1"/>
                <w:sz w:val="18"/>
                <w:szCs w:val="18"/>
                <w14:textFill>
                  <w14:solidFill>
                    <w14:schemeClr w14:val="tx1"/>
                  </w14:solidFill>
                </w14:textFill>
              </w:rPr>
              <w:t xml:space="preserve"> </w:t>
            </w:r>
            <w:r>
              <w:rPr>
                <w:color w:val="000000" w:themeColor="text1"/>
                <w:spacing w:val="-4"/>
                <w:sz w:val="18"/>
                <w:szCs w:val="18"/>
                <w14:textFill>
                  <w14:solidFill>
                    <w14:schemeClr w14:val="tx1"/>
                  </w14:solidFill>
                </w14:textFill>
              </w:rPr>
              <w:t>例</w:t>
            </w:r>
            <w:r>
              <w:rPr>
                <w:rFonts w:eastAsia="Times New Roman" w:cs="Times New Roman"/>
                <w:color w:val="000000" w:themeColor="text1"/>
                <w:spacing w:val="15"/>
                <w:sz w:val="18"/>
                <w:szCs w:val="18"/>
                <w14:textFill>
                  <w14:solidFill>
                    <w14:schemeClr w14:val="tx1"/>
                  </w14:solidFill>
                </w14:textFill>
              </w:rPr>
              <w:t>%</w:t>
            </w:r>
          </w:p>
        </w:tc>
      </w:tr>
      <w:tr w14:paraId="66CAC3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619" w:type="dxa"/>
            <w:vAlign w:val="center"/>
          </w:tcPr>
          <w:p w14:paraId="400A0B0A">
            <w:pPr>
              <w:pStyle w:val="105"/>
              <w:jc w:val="center"/>
              <w:rPr>
                <w:color w:val="000000" w:themeColor="text1"/>
                <w:sz w:val="18"/>
                <w:szCs w:val="18"/>
                <w14:textFill>
                  <w14:solidFill>
                    <w14:schemeClr w14:val="tx1"/>
                  </w14:solidFill>
                </w14:textFill>
              </w:rPr>
            </w:pPr>
            <w:r>
              <w:rPr>
                <w:color w:val="000000" w:themeColor="text1"/>
                <w:spacing w:val="41"/>
                <w:sz w:val="18"/>
                <w:szCs w:val="18"/>
                <w14:textFill>
                  <w14:solidFill>
                    <w14:schemeClr w14:val="tx1"/>
                  </w14:solidFill>
                </w14:textFill>
              </w:rPr>
              <w:t>福清市</w:t>
            </w:r>
          </w:p>
        </w:tc>
        <w:tc>
          <w:tcPr>
            <w:tcW w:w="995" w:type="dxa"/>
            <w:vAlign w:val="center"/>
          </w:tcPr>
          <w:p w14:paraId="6E7133DE">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1518</w:t>
            </w:r>
          </w:p>
        </w:tc>
        <w:tc>
          <w:tcPr>
            <w:tcW w:w="838" w:type="dxa"/>
            <w:vAlign w:val="center"/>
          </w:tcPr>
          <w:p w14:paraId="24746C4C">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99.90</w:t>
            </w:r>
          </w:p>
        </w:tc>
        <w:tc>
          <w:tcPr>
            <w:tcW w:w="607" w:type="dxa"/>
            <w:vAlign w:val="center"/>
          </w:tcPr>
          <w:p w14:paraId="2C0F4861">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6.58</w:t>
            </w:r>
          </w:p>
        </w:tc>
        <w:tc>
          <w:tcPr>
            <w:tcW w:w="688" w:type="dxa"/>
            <w:vAlign w:val="center"/>
          </w:tcPr>
          <w:p w14:paraId="6A841B1F">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90.89</w:t>
            </w:r>
          </w:p>
        </w:tc>
        <w:tc>
          <w:tcPr>
            <w:tcW w:w="689" w:type="dxa"/>
            <w:vAlign w:val="center"/>
          </w:tcPr>
          <w:p w14:paraId="74C8AA6C">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90.98</w:t>
            </w:r>
          </w:p>
        </w:tc>
        <w:tc>
          <w:tcPr>
            <w:tcW w:w="607" w:type="dxa"/>
            <w:vAlign w:val="center"/>
          </w:tcPr>
          <w:p w14:paraId="4B34406E">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6.77</w:t>
            </w:r>
          </w:p>
        </w:tc>
        <w:tc>
          <w:tcPr>
            <w:tcW w:w="607" w:type="dxa"/>
            <w:vAlign w:val="center"/>
          </w:tcPr>
          <w:p w14:paraId="05120FE0">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2"/>
                <w:sz w:val="18"/>
                <w:szCs w:val="18"/>
                <w14:textFill>
                  <w14:solidFill>
                    <w14:schemeClr w14:val="tx1"/>
                  </w14:solidFill>
                </w14:textFill>
              </w:rPr>
              <w:t>6.78</w:t>
            </w:r>
          </w:p>
        </w:tc>
        <w:tc>
          <w:tcPr>
            <w:tcW w:w="605" w:type="dxa"/>
            <w:vAlign w:val="center"/>
          </w:tcPr>
          <w:p w14:paraId="5F3E8523">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1.32</w:t>
            </w:r>
          </w:p>
        </w:tc>
        <w:tc>
          <w:tcPr>
            <w:tcW w:w="607" w:type="dxa"/>
            <w:vAlign w:val="center"/>
          </w:tcPr>
          <w:p w14:paraId="32ADDF24">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5"/>
                <w:sz w:val="18"/>
                <w:szCs w:val="18"/>
                <w14:textFill>
                  <w14:solidFill>
                    <w14:schemeClr w14:val="tx1"/>
                  </w14:solidFill>
                </w14:textFill>
              </w:rPr>
              <w:t>1.32</w:t>
            </w:r>
          </w:p>
        </w:tc>
        <w:tc>
          <w:tcPr>
            <w:tcW w:w="607" w:type="dxa"/>
            <w:vAlign w:val="center"/>
          </w:tcPr>
          <w:p w14:paraId="598ED0CB">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0.81</w:t>
            </w:r>
          </w:p>
        </w:tc>
        <w:tc>
          <w:tcPr>
            <w:tcW w:w="607" w:type="dxa"/>
            <w:vAlign w:val="center"/>
          </w:tcPr>
          <w:p w14:paraId="489FDCBE">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0.81</w:t>
            </w:r>
          </w:p>
        </w:tc>
        <w:tc>
          <w:tcPr>
            <w:tcW w:w="607" w:type="dxa"/>
            <w:vAlign w:val="center"/>
          </w:tcPr>
          <w:p w14:paraId="7D9B3B0E">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0.11</w:t>
            </w:r>
          </w:p>
        </w:tc>
        <w:tc>
          <w:tcPr>
            <w:tcW w:w="611" w:type="dxa"/>
            <w:vAlign w:val="center"/>
          </w:tcPr>
          <w:p w14:paraId="580883EA">
            <w:pPr>
              <w:pStyle w:val="105"/>
              <w:jc w:val="center"/>
              <w:rPr>
                <w:rFonts w:eastAsia="Times New Roman" w:cs="Times New Roman"/>
                <w:color w:val="000000" w:themeColor="text1"/>
                <w:sz w:val="18"/>
                <w:szCs w:val="18"/>
                <w14:textFill>
                  <w14:solidFill>
                    <w14:schemeClr w14:val="tx1"/>
                  </w14:solidFill>
                </w14:textFill>
              </w:rPr>
            </w:pPr>
            <w:r>
              <w:rPr>
                <w:rFonts w:eastAsia="Times New Roman" w:cs="Times New Roman"/>
                <w:color w:val="000000" w:themeColor="text1"/>
                <w:spacing w:val="-1"/>
                <w:sz w:val="18"/>
                <w:szCs w:val="18"/>
                <w14:textFill>
                  <w14:solidFill>
                    <w14:schemeClr w14:val="tx1"/>
                  </w14:solidFill>
                </w14:textFill>
              </w:rPr>
              <w:t>0.11</w:t>
            </w:r>
          </w:p>
        </w:tc>
      </w:tr>
    </w:tbl>
    <w:p w14:paraId="63D9635A">
      <w:pPr>
        <w:pStyle w:val="116"/>
        <w:rPr>
          <w:color w:val="000000" w:themeColor="text1"/>
          <w14:textFill>
            <w14:solidFill>
              <w14:schemeClr w14:val="tx1"/>
            </w14:solidFill>
          </w14:textFill>
        </w:rPr>
      </w:pPr>
      <w:bookmarkStart w:id="508" w:name="_Toc153957827"/>
      <w:bookmarkStart w:id="509" w:name="_Toc159405470"/>
      <w:bookmarkStart w:id="510" w:name="_Toc193912377"/>
      <w:r>
        <w:rPr>
          <w:rFonts w:hint="eastAsia"/>
          <w:color w:val="000000" w:themeColor="text1"/>
          <w14:textFill>
            <w14:solidFill>
              <w14:schemeClr w14:val="tx1"/>
            </w14:solidFill>
          </w14:textFill>
        </w:rPr>
        <w:t>环境质量现状调查与评价</w:t>
      </w:r>
      <w:bookmarkEnd w:id="508"/>
      <w:bookmarkEnd w:id="509"/>
      <w:bookmarkEnd w:id="510"/>
    </w:p>
    <w:p w14:paraId="371A897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环境空气质量现状调查与评价</w:t>
      </w:r>
    </w:p>
    <w:p w14:paraId="70182877">
      <w:pPr>
        <w:pStyle w:val="118"/>
        <w:rPr>
          <w:color w:val="000000" w:themeColor="text1"/>
          <w14:textFill>
            <w14:solidFill>
              <w14:schemeClr w14:val="tx1"/>
            </w14:solidFill>
          </w14:textFill>
        </w:rPr>
      </w:pPr>
      <w:bookmarkStart w:id="511" w:name="_Toc66108940"/>
      <w:r>
        <w:rPr>
          <w:rFonts w:hint="eastAsia"/>
          <w:color w:val="000000" w:themeColor="text1"/>
          <w14:textFill>
            <w14:solidFill>
              <w14:schemeClr w14:val="tx1"/>
            </w14:solidFill>
          </w14:textFill>
        </w:rPr>
        <w:t>基准年选取</w:t>
      </w:r>
      <w:bookmarkEnd w:id="511"/>
    </w:p>
    <w:p w14:paraId="33EFBCD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根据本项目所需环境空气质量现状、气象资料等数据的可获得性、数据质量、代表性等因素，选择20</w:t>
      </w:r>
      <w:r>
        <w:rPr>
          <w:color w:val="000000" w:themeColor="text1"/>
          <w14:textFill>
            <w14:solidFill>
              <w14:schemeClr w14:val="tx1"/>
            </w14:solidFill>
          </w14:textFill>
        </w:rPr>
        <w:t>24</w:t>
      </w:r>
      <w:r>
        <w:rPr>
          <w:rFonts w:hint="eastAsia"/>
          <w:color w:val="000000" w:themeColor="text1"/>
          <w14:textFill>
            <w14:solidFill>
              <w14:schemeClr w14:val="tx1"/>
            </w14:solidFill>
          </w14:textFill>
        </w:rPr>
        <w:t>年作为评价基准年。</w:t>
      </w:r>
    </w:p>
    <w:p w14:paraId="4780F49A">
      <w:pPr>
        <w:pStyle w:val="118"/>
        <w:rPr>
          <w:color w:val="000000" w:themeColor="text1"/>
          <w14:textFill>
            <w14:solidFill>
              <w14:schemeClr w14:val="tx1"/>
            </w14:solidFill>
          </w14:textFill>
        </w:rPr>
      </w:pPr>
      <w:bookmarkStart w:id="512" w:name="_Toc66108941"/>
      <w:r>
        <w:rPr>
          <w:rFonts w:hint="eastAsia"/>
          <w:color w:val="000000" w:themeColor="text1"/>
          <w14:textFill>
            <w14:solidFill>
              <w14:schemeClr w14:val="tx1"/>
            </w14:solidFill>
          </w14:textFill>
        </w:rPr>
        <w:t>达标区判定</w:t>
      </w:r>
      <w:bookmarkEnd w:id="512"/>
    </w:p>
    <w:p w14:paraId="6A2A07A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项目位于</w:t>
      </w:r>
      <w:r>
        <w:rPr>
          <w:rFonts w:hint="eastAsia" w:cs="Times New Roman"/>
          <w:color w:val="000000" w:themeColor="text1"/>
          <w14:textFill>
            <w14:solidFill>
              <w14:schemeClr w14:val="tx1"/>
            </w14:solidFill>
          </w14:textFill>
        </w:rPr>
        <w:t>福清市</w:t>
      </w:r>
      <w:r>
        <w:rPr>
          <w:rFonts w:cs="Times New Roman"/>
          <w:color w:val="000000" w:themeColor="text1"/>
          <w14:textFill>
            <w14:solidFill>
              <w14:schemeClr w14:val="tx1"/>
            </w14:solidFill>
          </w14:textFill>
        </w:rPr>
        <w:t>，</w:t>
      </w:r>
      <w:r>
        <w:rPr>
          <w:rFonts w:hint="eastAsia"/>
          <w:color w:val="000000" w:themeColor="text1"/>
          <w14:textFill>
            <w14:solidFill>
              <w14:schemeClr w14:val="tx1"/>
            </w14:solidFill>
          </w14:textFill>
        </w:rPr>
        <w:t>根据福清市发布的</w:t>
      </w: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月</w:t>
      </w:r>
      <w:bookmarkStart w:id="513" w:name="hmcheck_d2136f404bd44b18b12b5386ec7b0afe"/>
      <w:r>
        <w:rPr>
          <w:color w:val="000000" w:themeColor="text1"/>
          <w:shd w:val="clear" w:fill="FFAFAA"/>
          <w14:textFill>
            <w14:solidFill>
              <w14:schemeClr w14:val="tx1"/>
            </w14:solidFill>
          </w14:textFill>
        </w:rPr>
        <w:t>~</w:t>
      </w:r>
      <w:bookmarkEnd w:id="513"/>
      <w:r>
        <w:rPr>
          <w:color w:val="000000" w:themeColor="text1"/>
          <w14:textFill>
            <w14:solidFill>
              <w14:schemeClr w14:val="tx1"/>
            </w14:solidFill>
          </w14:textFill>
        </w:rPr>
        <w:t>12</w:t>
      </w:r>
      <w:r>
        <w:rPr>
          <w:rFonts w:hint="eastAsia"/>
          <w:color w:val="000000" w:themeColor="text1"/>
          <w14:textFill>
            <w14:solidFill>
              <w14:schemeClr w14:val="tx1"/>
            </w14:solidFill>
          </w14:textFill>
        </w:rPr>
        <w:t>月份福清市环境空气质量月报，</w:t>
      </w: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年连续</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年的大气常规因子环境空气质量监测数据详见下表</w:t>
      </w:r>
      <w:r>
        <w:rPr>
          <w:color w:val="000000" w:themeColor="text1"/>
          <w14:textFill>
            <w14:solidFill>
              <w14:schemeClr w14:val="tx1"/>
            </w14:solidFill>
          </w14:textFill>
        </w:rPr>
        <w:t>3.1-2</w:t>
      </w:r>
      <w:r>
        <w:rPr>
          <w:rFonts w:hint="eastAsia"/>
          <w:color w:val="000000" w:themeColor="text1"/>
          <w14:textFill>
            <w14:solidFill>
              <w14:schemeClr w14:val="tx1"/>
            </w14:solidFill>
          </w14:textFill>
        </w:rPr>
        <w:t>。福清市</w:t>
      </w: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年空气环境中</w:t>
      </w: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r>
        <w:rPr>
          <w:rFonts w:hint="eastAsia"/>
          <w:color w:val="000000" w:themeColor="text1"/>
          <w14:textFill>
            <w14:solidFill>
              <w14:schemeClr w14:val="tx1"/>
            </w14:solidFill>
          </w14:textFill>
        </w:rPr>
        <w:t>均未超过国家二级标准，</w:t>
      </w:r>
      <w:r>
        <w:rPr>
          <w:color w:val="000000" w:themeColor="text1"/>
          <w14:textFill>
            <w14:solidFill>
              <w14:schemeClr w14:val="tx1"/>
            </w14:solidFill>
          </w14:textFill>
        </w:rPr>
        <w:t>CO</w:t>
      </w:r>
      <w:r>
        <w:rPr>
          <w:rFonts w:hint="eastAsia"/>
          <w:color w:val="000000" w:themeColor="text1"/>
          <w14:textFill>
            <w14:solidFill>
              <w14:schemeClr w14:val="tx1"/>
            </w14:solidFill>
          </w14:textFill>
        </w:rPr>
        <w:t>日均值第</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百分数和</w:t>
      </w: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最大</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小时值第</w:t>
      </w:r>
      <w:r>
        <w:rPr>
          <w:color w:val="000000" w:themeColor="text1"/>
          <w14:textFill>
            <w14:solidFill>
              <w14:schemeClr w14:val="tx1"/>
            </w14:solidFill>
          </w14:textFill>
        </w:rPr>
        <w:t>90</w:t>
      </w:r>
      <w:r>
        <w:rPr>
          <w:rFonts w:hint="eastAsia"/>
          <w:color w:val="000000" w:themeColor="text1"/>
          <w14:textFill>
            <w14:solidFill>
              <w14:schemeClr w14:val="tx1"/>
            </w14:solidFill>
          </w14:textFill>
        </w:rPr>
        <w:t>百分数未超过国家二级标准；因此福清市环境空气质量属于达标区。</w:t>
      </w:r>
    </w:p>
    <w:p w14:paraId="58DE2F3E">
      <w:pPr>
        <w:pStyle w:val="87"/>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福清市</w:t>
      </w: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 xml:space="preserve">年环境空气质量统计表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单位：</w:t>
      </w:r>
      <w:r>
        <w:rPr>
          <w:color w:val="000000" w:themeColor="text1"/>
          <w14:textFill>
            <w14:solidFill>
              <w14:schemeClr w14:val="tx1"/>
            </w14:solidFill>
          </w14:textFill>
        </w:rPr>
        <w:t>mg/m³</w:t>
      </w:r>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755"/>
        <w:gridCol w:w="1136"/>
        <w:gridCol w:w="1218"/>
        <w:gridCol w:w="1218"/>
        <w:gridCol w:w="1231"/>
        <w:gridCol w:w="1351"/>
        <w:gridCol w:w="1275"/>
      </w:tblGrid>
      <w:tr w14:paraId="7C461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12" w:space="0"/>
              <w:left w:val="nil"/>
              <w:bottom w:val="single" w:color="auto" w:sz="4" w:space="0"/>
              <w:right w:val="single" w:color="auto" w:sz="4" w:space="0"/>
            </w:tcBorders>
            <w:vAlign w:val="center"/>
          </w:tcPr>
          <w:p w14:paraId="7EA00BF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时间</w:t>
            </w:r>
          </w:p>
        </w:tc>
        <w:tc>
          <w:tcPr>
            <w:tcW w:w="1122" w:type="dxa"/>
            <w:tcBorders>
              <w:top w:val="single" w:color="auto" w:sz="12" w:space="0"/>
              <w:left w:val="single" w:color="auto" w:sz="4" w:space="0"/>
              <w:bottom w:val="single" w:color="auto" w:sz="4" w:space="0"/>
              <w:right w:val="single" w:color="auto" w:sz="4" w:space="0"/>
            </w:tcBorders>
            <w:vAlign w:val="center"/>
          </w:tcPr>
          <w:p w14:paraId="1E70A2A7">
            <w:pPr>
              <w:pStyle w:val="105"/>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203" w:type="dxa"/>
            <w:tcBorders>
              <w:top w:val="single" w:color="auto" w:sz="12" w:space="0"/>
              <w:left w:val="single" w:color="auto" w:sz="4" w:space="0"/>
              <w:bottom w:val="single" w:color="auto" w:sz="4" w:space="0"/>
              <w:right w:val="single" w:color="auto" w:sz="4" w:space="0"/>
            </w:tcBorders>
            <w:vAlign w:val="center"/>
          </w:tcPr>
          <w:p w14:paraId="5EE8C2BC">
            <w:pPr>
              <w:pStyle w:val="105"/>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1203" w:type="dxa"/>
            <w:tcBorders>
              <w:top w:val="single" w:color="auto" w:sz="12" w:space="0"/>
              <w:left w:val="single" w:color="auto" w:sz="4" w:space="0"/>
              <w:bottom w:val="single" w:color="auto" w:sz="4" w:space="0"/>
              <w:right w:val="single" w:color="auto" w:sz="4" w:space="0"/>
            </w:tcBorders>
            <w:vAlign w:val="center"/>
          </w:tcPr>
          <w:p w14:paraId="3DF6ADB4">
            <w:pPr>
              <w:pStyle w:val="105"/>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1216" w:type="dxa"/>
            <w:tcBorders>
              <w:top w:val="single" w:color="auto" w:sz="12" w:space="0"/>
              <w:left w:val="single" w:color="auto" w:sz="4" w:space="0"/>
              <w:bottom w:val="single" w:color="auto" w:sz="4" w:space="0"/>
              <w:right w:val="single" w:color="auto" w:sz="4" w:space="0"/>
            </w:tcBorders>
            <w:vAlign w:val="center"/>
          </w:tcPr>
          <w:p w14:paraId="089ACDA5">
            <w:pPr>
              <w:pStyle w:val="105"/>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1334" w:type="dxa"/>
            <w:tcBorders>
              <w:top w:val="single" w:color="auto" w:sz="12" w:space="0"/>
              <w:left w:val="single" w:color="auto" w:sz="4" w:space="0"/>
              <w:bottom w:val="single" w:color="auto" w:sz="4" w:space="0"/>
              <w:right w:val="single" w:color="auto" w:sz="4" w:space="0"/>
            </w:tcBorders>
            <w:vAlign w:val="center"/>
          </w:tcPr>
          <w:p w14:paraId="7713E625">
            <w:pPr>
              <w:pStyle w:val="105"/>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259" w:type="dxa"/>
            <w:tcBorders>
              <w:top w:val="single" w:color="auto" w:sz="12" w:space="0"/>
              <w:left w:val="single" w:color="auto" w:sz="4" w:space="0"/>
              <w:bottom w:val="single" w:color="auto" w:sz="4" w:space="0"/>
              <w:right w:val="nil"/>
            </w:tcBorders>
            <w:vAlign w:val="center"/>
          </w:tcPr>
          <w:p w14:paraId="137CA34E">
            <w:pPr>
              <w:pStyle w:val="105"/>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r>
      <w:tr w14:paraId="4B2D13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7D653535">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66C3058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203" w:type="dxa"/>
            <w:tcBorders>
              <w:top w:val="single" w:color="auto" w:sz="4" w:space="0"/>
              <w:left w:val="single" w:color="auto" w:sz="4" w:space="0"/>
              <w:bottom w:val="single" w:color="auto" w:sz="4" w:space="0"/>
              <w:right w:val="single" w:color="auto" w:sz="4" w:space="0"/>
            </w:tcBorders>
            <w:vAlign w:val="center"/>
          </w:tcPr>
          <w:p w14:paraId="1433D53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0.022</w:t>
            </w:r>
          </w:p>
        </w:tc>
        <w:tc>
          <w:tcPr>
            <w:tcW w:w="1203" w:type="dxa"/>
            <w:tcBorders>
              <w:top w:val="single" w:color="auto" w:sz="4" w:space="0"/>
              <w:left w:val="single" w:color="auto" w:sz="4" w:space="0"/>
              <w:bottom w:val="single" w:color="auto" w:sz="4" w:space="0"/>
              <w:right w:val="single" w:color="auto" w:sz="4" w:space="0"/>
            </w:tcBorders>
            <w:vAlign w:val="center"/>
          </w:tcPr>
          <w:p w14:paraId="44986A6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0.048</w:t>
            </w:r>
          </w:p>
        </w:tc>
        <w:tc>
          <w:tcPr>
            <w:tcW w:w="1216" w:type="dxa"/>
            <w:tcBorders>
              <w:top w:val="single" w:color="auto" w:sz="4" w:space="0"/>
              <w:left w:val="single" w:color="auto" w:sz="4" w:space="0"/>
              <w:bottom w:val="single" w:color="auto" w:sz="4" w:space="0"/>
              <w:right w:val="single" w:color="auto" w:sz="4" w:space="0"/>
            </w:tcBorders>
            <w:vAlign w:val="center"/>
          </w:tcPr>
          <w:p w14:paraId="1496D6A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0.030</w:t>
            </w:r>
          </w:p>
        </w:tc>
        <w:tc>
          <w:tcPr>
            <w:tcW w:w="1334" w:type="dxa"/>
            <w:tcBorders>
              <w:top w:val="single" w:color="auto" w:sz="4" w:space="0"/>
              <w:left w:val="single" w:color="auto" w:sz="4" w:space="0"/>
              <w:bottom w:val="single" w:color="auto" w:sz="4" w:space="0"/>
              <w:right w:val="single" w:color="auto" w:sz="4" w:space="0"/>
            </w:tcBorders>
            <w:vAlign w:val="center"/>
          </w:tcPr>
          <w:p w14:paraId="50E94F8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0.9</w:t>
            </w:r>
          </w:p>
        </w:tc>
        <w:tc>
          <w:tcPr>
            <w:tcW w:w="1259" w:type="dxa"/>
            <w:tcBorders>
              <w:top w:val="single" w:color="auto" w:sz="4" w:space="0"/>
              <w:left w:val="single" w:color="auto" w:sz="4" w:space="0"/>
              <w:bottom w:val="single" w:color="auto" w:sz="4" w:space="0"/>
              <w:right w:val="nil"/>
            </w:tcBorders>
            <w:vAlign w:val="center"/>
          </w:tcPr>
          <w:p w14:paraId="2CD1ADF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0.110</w:t>
            </w:r>
          </w:p>
        </w:tc>
      </w:tr>
      <w:tr w14:paraId="458122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3914A515">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7665255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203" w:type="dxa"/>
            <w:tcBorders>
              <w:top w:val="single" w:color="auto" w:sz="4" w:space="0"/>
              <w:left w:val="single" w:color="auto" w:sz="4" w:space="0"/>
              <w:bottom w:val="single" w:color="auto" w:sz="4" w:space="0"/>
              <w:right w:val="single" w:color="auto" w:sz="4" w:space="0"/>
            </w:tcBorders>
            <w:vAlign w:val="center"/>
          </w:tcPr>
          <w:p w14:paraId="0F8EAF7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0.009</w:t>
            </w:r>
          </w:p>
        </w:tc>
        <w:tc>
          <w:tcPr>
            <w:tcW w:w="1203" w:type="dxa"/>
            <w:tcBorders>
              <w:top w:val="single" w:color="auto" w:sz="4" w:space="0"/>
              <w:left w:val="single" w:color="auto" w:sz="4" w:space="0"/>
              <w:bottom w:val="single" w:color="auto" w:sz="4" w:space="0"/>
              <w:right w:val="single" w:color="auto" w:sz="4" w:space="0"/>
            </w:tcBorders>
            <w:vAlign w:val="center"/>
          </w:tcPr>
          <w:p w14:paraId="7A6ED41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0.038</w:t>
            </w:r>
          </w:p>
        </w:tc>
        <w:tc>
          <w:tcPr>
            <w:tcW w:w="1216" w:type="dxa"/>
            <w:tcBorders>
              <w:top w:val="single" w:color="auto" w:sz="4" w:space="0"/>
              <w:left w:val="single" w:color="auto" w:sz="4" w:space="0"/>
              <w:bottom w:val="single" w:color="auto" w:sz="4" w:space="0"/>
              <w:right w:val="single" w:color="auto" w:sz="4" w:space="0"/>
            </w:tcBorders>
            <w:vAlign w:val="center"/>
          </w:tcPr>
          <w:p w14:paraId="2A7E47D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0.023</w:t>
            </w:r>
          </w:p>
        </w:tc>
        <w:tc>
          <w:tcPr>
            <w:tcW w:w="1334" w:type="dxa"/>
            <w:tcBorders>
              <w:top w:val="single" w:color="auto" w:sz="4" w:space="0"/>
              <w:left w:val="single" w:color="auto" w:sz="4" w:space="0"/>
              <w:bottom w:val="single" w:color="auto" w:sz="4" w:space="0"/>
              <w:right w:val="single" w:color="auto" w:sz="4" w:space="0"/>
            </w:tcBorders>
            <w:vAlign w:val="center"/>
          </w:tcPr>
          <w:p w14:paraId="07D5A7E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1259" w:type="dxa"/>
            <w:tcBorders>
              <w:top w:val="single" w:color="auto" w:sz="4" w:space="0"/>
              <w:left w:val="single" w:color="auto" w:sz="4" w:space="0"/>
              <w:bottom w:val="single" w:color="auto" w:sz="4" w:space="0"/>
              <w:right w:val="nil"/>
            </w:tcBorders>
            <w:vAlign w:val="center"/>
          </w:tcPr>
          <w:p w14:paraId="57814BF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0.112</w:t>
            </w:r>
          </w:p>
        </w:tc>
      </w:tr>
      <w:tr w14:paraId="27E801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509CF19F">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4C1A231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0A8B15E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0.018</w:t>
            </w:r>
          </w:p>
        </w:tc>
        <w:tc>
          <w:tcPr>
            <w:tcW w:w="1203" w:type="dxa"/>
            <w:tcBorders>
              <w:top w:val="single" w:color="auto" w:sz="4" w:space="0"/>
              <w:left w:val="single" w:color="auto" w:sz="4" w:space="0"/>
              <w:bottom w:val="single" w:color="auto" w:sz="4" w:space="0"/>
              <w:right w:val="single" w:color="auto" w:sz="4" w:space="0"/>
            </w:tcBorders>
            <w:vAlign w:val="center"/>
          </w:tcPr>
          <w:p w14:paraId="425E7C5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0.050</w:t>
            </w:r>
          </w:p>
        </w:tc>
        <w:tc>
          <w:tcPr>
            <w:tcW w:w="1216" w:type="dxa"/>
            <w:tcBorders>
              <w:top w:val="single" w:color="auto" w:sz="4" w:space="0"/>
              <w:left w:val="single" w:color="auto" w:sz="4" w:space="0"/>
              <w:bottom w:val="single" w:color="auto" w:sz="4" w:space="0"/>
              <w:right w:val="single" w:color="auto" w:sz="4" w:space="0"/>
            </w:tcBorders>
            <w:vAlign w:val="center"/>
          </w:tcPr>
          <w:p w14:paraId="6BA5BB7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0.023</w:t>
            </w:r>
          </w:p>
        </w:tc>
        <w:tc>
          <w:tcPr>
            <w:tcW w:w="1334" w:type="dxa"/>
            <w:tcBorders>
              <w:top w:val="single" w:color="auto" w:sz="4" w:space="0"/>
              <w:left w:val="single" w:color="auto" w:sz="4" w:space="0"/>
              <w:bottom w:val="single" w:color="auto" w:sz="4" w:space="0"/>
              <w:right w:val="single" w:color="auto" w:sz="4" w:space="0"/>
            </w:tcBorders>
            <w:vAlign w:val="center"/>
          </w:tcPr>
          <w:p w14:paraId="5F7776C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1259" w:type="dxa"/>
            <w:tcBorders>
              <w:top w:val="single" w:color="auto" w:sz="4" w:space="0"/>
              <w:left w:val="single" w:color="auto" w:sz="4" w:space="0"/>
              <w:bottom w:val="single" w:color="auto" w:sz="4" w:space="0"/>
              <w:right w:val="nil"/>
            </w:tcBorders>
            <w:vAlign w:val="center"/>
          </w:tcPr>
          <w:p w14:paraId="783FCC1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0.121</w:t>
            </w:r>
          </w:p>
        </w:tc>
      </w:tr>
      <w:tr w14:paraId="1EBE11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560313B6">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7C7478C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0.003</w:t>
            </w:r>
          </w:p>
        </w:tc>
        <w:tc>
          <w:tcPr>
            <w:tcW w:w="1203" w:type="dxa"/>
            <w:tcBorders>
              <w:top w:val="single" w:color="auto" w:sz="4" w:space="0"/>
              <w:left w:val="single" w:color="auto" w:sz="4" w:space="0"/>
              <w:bottom w:val="single" w:color="auto" w:sz="4" w:space="0"/>
              <w:right w:val="single" w:color="auto" w:sz="4" w:space="0"/>
            </w:tcBorders>
            <w:vAlign w:val="center"/>
          </w:tcPr>
          <w:p w14:paraId="7D26796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0.016</w:t>
            </w:r>
          </w:p>
        </w:tc>
        <w:tc>
          <w:tcPr>
            <w:tcW w:w="1203" w:type="dxa"/>
            <w:tcBorders>
              <w:top w:val="single" w:color="auto" w:sz="4" w:space="0"/>
              <w:left w:val="single" w:color="auto" w:sz="4" w:space="0"/>
              <w:bottom w:val="single" w:color="auto" w:sz="4" w:space="0"/>
              <w:right w:val="single" w:color="auto" w:sz="4" w:space="0"/>
            </w:tcBorders>
            <w:vAlign w:val="center"/>
          </w:tcPr>
          <w:p w14:paraId="05CB01D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0.041</w:t>
            </w:r>
          </w:p>
        </w:tc>
        <w:tc>
          <w:tcPr>
            <w:tcW w:w="1216" w:type="dxa"/>
            <w:tcBorders>
              <w:top w:val="single" w:color="auto" w:sz="4" w:space="0"/>
              <w:left w:val="single" w:color="auto" w:sz="4" w:space="0"/>
              <w:bottom w:val="single" w:color="auto" w:sz="4" w:space="0"/>
              <w:right w:val="single" w:color="auto" w:sz="4" w:space="0"/>
            </w:tcBorders>
            <w:vAlign w:val="center"/>
          </w:tcPr>
          <w:p w14:paraId="65147B8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0.020</w:t>
            </w:r>
          </w:p>
        </w:tc>
        <w:tc>
          <w:tcPr>
            <w:tcW w:w="1334" w:type="dxa"/>
            <w:tcBorders>
              <w:top w:val="single" w:color="auto" w:sz="4" w:space="0"/>
              <w:left w:val="single" w:color="auto" w:sz="4" w:space="0"/>
              <w:bottom w:val="single" w:color="auto" w:sz="4" w:space="0"/>
              <w:right w:val="single" w:color="auto" w:sz="4" w:space="0"/>
            </w:tcBorders>
            <w:vAlign w:val="center"/>
          </w:tcPr>
          <w:p w14:paraId="3866517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0.8</w:t>
            </w:r>
          </w:p>
        </w:tc>
        <w:tc>
          <w:tcPr>
            <w:tcW w:w="1259" w:type="dxa"/>
            <w:tcBorders>
              <w:top w:val="single" w:color="auto" w:sz="4" w:space="0"/>
              <w:left w:val="single" w:color="auto" w:sz="4" w:space="0"/>
              <w:bottom w:val="single" w:color="auto" w:sz="4" w:space="0"/>
              <w:right w:val="nil"/>
            </w:tcBorders>
            <w:vAlign w:val="center"/>
          </w:tcPr>
          <w:p w14:paraId="52E4CA6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0.122</w:t>
            </w:r>
          </w:p>
        </w:tc>
      </w:tr>
      <w:tr w14:paraId="2E4B71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729755E8">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1F65631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1612B6F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0.011</w:t>
            </w:r>
          </w:p>
        </w:tc>
        <w:tc>
          <w:tcPr>
            <w:tcW w:w="1203" w:type="dxa"/>
            <w:tcBorders>
              <w:top w:val="single" w:color="auto" w:sz="4" w:space="0"/>
              <w:left w:val="single" w:color="auto" w:sz="4" w:space="0"/>
              <w:bottom w:val="single" w:color="auto" w:sz="4" w:space="0"/>
              <w:right w:val="single" w:color="auto" w:sz="4" w:space="0"/>
            </w:tcBorders>
            <w:vAlign w:val="center"/>
          </w:tcPr>
          <w:p w14:paraId="3E9F824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0.028</w:t>
            </w:r>
          </w:p>
        </w:tc>
        <w:tc>
          <w:tcPr>
            <w:tcW w:w="1216" w:type="dxa"/>
            <w:tcBorders>
              <w:top w:val="single" w:color="auto" w:sz="4" w:space="0"/>
              <w:left w:val="single" w:color="auto" w:sz="4" w:space="0"/>
              <w:bottom w:val="single" w:color="auto" w:sz="4" w:space="0"/>
              <w:right w:val="single" w:color="auto" w:sz="4" w:space="0"/>
            </w:tcBorders>
            <w:vAlign w:val="center"/>
          </w:tcPr>
          <w:p w14:paraId="468FA79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0.013</w:t>
            </w:r>
          </w:p>
        </w:tc>
        <w:tc>
          <w:tcPr>
            <w:tcW w:w="1334" w:type="dxa"/>
            <w:tcBorders>
              <w:top w:val="single" w:color="auto" w:sz="4" w:space="0"/>
              <w:left w:val="single" w:color="auto" w:sz="4" w:space="0"/>
              <w:bottom w:val="single" w:color="auto" w:sz="4" w:space="0"/>
              <w:right w:val="single" w:color="auto" w:sz="4" w:space="0"/>
            </w:tcBorders>
            <w:vAlign w:val="center"/>
          </w:tcPr>
          <w:p w14:paraId="5FF3A11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1259" w:type="dxa"/>
            <w:tcBorders>
              <w:top w:val="single" w:color="auto" w:sz="4" w:space="0"/>
              <w:left w:val="single" w:color="auto" w:sz="4" w:space="0"/>
              <w:bottom w:val="single" w:color="auto" w:sz="4" w:space="0"/>
              <w:right w:val="nil"/>
            </w:tcBorders>
            <w:vAlign w:val="center"/>
          </w:tcPr>
          <w:p w14:paraId="6950A8C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0.130</w:t>
            </w:r>
          </w:p>
        </w:tc>
      </w:tr>
      <w:tr w14:paraId="5BF4EB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7871D32A">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18FAE97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2F4B337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0.010</w:t>
            </w:r>
          </w:p>
        </w:tc>
        <w:tc>
          <w:tcPr>
            <w:tcW w:w="1203" w:type="dxa"/>
            <w:tcBorders>
              <w:top w:val="single" w:color="auto" w:sz="4" w:space="0"/>
              <w:left w:val="single" w:color="auto" w:sz="4" w:space="0"/>
              <w:bottom w:val="single" w:color="auto" w:sz="4" w:space="0"/>
              <w:right w:val="single" w:color="auto" w:sz="4" w:space="0"/>
            </w:tcBorders>
            <w:vAlign w:val="center"/>
          </w:tcPr>
          <w:p w14:paraId="2310BE9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0.022</w:t>
            </w:r>
          </w:p>
        </w:tc>
        <w:tc>
          <w:tcPr>
            <w:tcW w:w="1216" w:type="dxa"/>
            <w:tcBorders>
              <w:top w:val="single" w:color="auto" w:sz="4" w:space="0"/>
              <w:left w:val="single" w:color="auto" w:sz="4" w:space="0"/>
              <w:bottom w:val="single" w:color="auto" w:sz="4" w:space="0"/>
              <w:right w:val="single" w:color="auto" w:sz="4" w:space="0"/>
            </w:tcBorders>
            <w:vAlign w:val="center"/>
          </w:tcPr>
          <w:p w14:paraId="4D0BB24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0.010</w:t>
            </w:r>
          </w:p>
        </w:tc>
        <w:tc>
          <w:tcPr>
            <w:tcW w:w="1334" w:type="dxa"/>
            <w:tcBorders>
              <w:top w:val="single" w:color="auto" w:sz="4" w:space="0"/>
              <w:left w:val="single" w:color="auto" w:sz="4" w:space="0"/>
              <w:bottom w:val="single" w:color="auto" w:sz="4" w:space="0"/>
              <w:right w:val="single" w:color="auto" w:sz="4" w:space="0"/>
            </w:tcBorders>
            <w:vAlign w:val="center"/>
          </w:tcPr>
          <w:p w14:paraId="76F5769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1259" w:type="dxa"/>
            <w:tcBorders>
              <w:top w:val="single" w:color="auto" w:sz="4" w:space="0"/>
              <w:left w:val="single" w:color="auto" w:sz="4" w:space="0"/>
              <w:bottom w:val="single" w:color="auto" w:sz="4" w:space="0"/>
              <w:right w:val="nil"/>
            </w:tcBorders>
            <w:vAlign w:val="center"/>
          </w:tcPr>
          <w:p w14:paraId="5A28371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0.112</w:t>
            </w:r>
          </w:p>
        </w:tc>
      </w:tr>
      <w:tr w14:paraId="27A6F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6DAA826E">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378893D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760714F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0.008</w:t>
            </w:r>
          </w:p>
        </w:tc>
        <w:tc>
          <w:tcPr>
            <w:tcW w:w="1203" w:type="dxa"/>
            <w:tcBorders>
              <w:top w:val="single" w:color="auto" w:sz="4" w:space="0"/>
              <w:left w:val="single" w:color="auto" w:sz="4" w:space="0"/>
              <w:bottom w:val="single" w:color="auto" w:sz="4" w:space="0"/>
              <w:right w:val="single" w:color="auto" w:sz="4" w:space="0"/>
            </w:tcBorders>
            <w:vAlign w:val="center"/>
          </w:tcPr>
          <w:p w14:paraId="3E82B30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0.020</w:t>
            </w:r>
          </w:p>
        </w:tc>
        <w:tc>
          <w:tcPr>
            <w:tcW w:w="1216" w:type="dxa"/>
            <w:tcBorders>
              <w:top w:val="single" w:color="auto" w:sz="4" w:space="0"/>
              <w:left w:val="single" w:color="auto" w:sz="4" w:space="0"/>
              <w:bottom w:val="single" w:color="auto" w:sz="4" w:space="0"/>
              <w:right w:val="single" w:color="auto" w:sz="4" w:space="0"/>
            </w:tcBorders>
            <w:vAlign w:val="center"/>
          </w:tcPr>
          <w:p w14:paraId="69A2E38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0.009</w:t>
            </w:r>
          </w:p>
        </w:tc>
        <w:tc>
          <w:tcPr>
            <w:tcW w:w="1334" w:type="dxa"/>
            <w:tcBorders>
              <w:top w:val="single" w:color="auto" w:sz="4" w:space="0"/>
              <w:left w:val="single" w:color="auto" w:sz="4" w:space="0"/>
              <w:bottom w:val="single" w:color="auto" w:sz="4" w:space="0"/>
              <w:right w:val="single" w:color="auto" w:sz="4" w:space="0"/>
            </w:tcBorders>
            <w:vAlign w:val="center"/>
          </w:tcPr>
          <w:p w14:paraId="70DD032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c>
          <w:tcPr>
            <w:tcW w:w="1259" w:type="dxa"/>
            <w:tcBorders>
              <w:top w:val="single" w:color="auto" w:sz="4" w:space="0"/>
              <w:left w:val="single" w:color="auto" w:sz="4" w:space="0"/>
              <w:bottom w:val="single" w:color="auto" w:sz="4" w:space="0"/>
              <w:right w:val="nil"/>
            </w:tcBorders>
            <w:vAlign w:val="center"/>
          </w:tcPr>
          <w:p w14:paraId="6A7B5FB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0.108</w:t>
            </w:r>
          </w:p>
        </w:tc>
      </w:tr>
      <w:tr w14:paraId="3B7252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53BE9FD5">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61197D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0.004</w:t>
            </w:r>
          </w:p>
        </w:tc>
        <w:tc>
          <w:tcPr>
            <w:tcW w:w="1203" w:type="dxa"/>
            <w:tcBorders>
              <w:top w:val="single" w:color="auto" w:sz="4" w:space="0"/>
              <w:left w:val="single" w:color="auto" w:sz="4" w:space="0"/>
              <w:bottom w:val="single" w:color="auto" w:sz="4" w:space="0"/>
              <w:right w:val="single" w:color="auto" w:sz="4" w:space="0"/>
            </w:tcBorders>
            <w:vAlign w:val="center"/>
          </w:tcPr>
          <w:p w14:paraId="5197C84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0.009</w:t>
            </w:r>
          </w:p>
        </w:tc>
        <w:tc>
          <w:tcPr>
            <w:tcW w:w="1203" w:type="dxa"/>
            <w:tcBorders>
              <w:top w:val="single" w:color="auto" w:sz="4" w:space="0"/>
              <w:left w:val="single" w:color="auto" w:sz="4" w:space="0"/>
              <w:bottom w:val="single" w:color="auto" w:sz="4" w:space="0"/>
              <w:right w:val="single" w:color="auto" w:sz="4" w:space="0"/>
            </w:tcBorders>
            <w:vAlign w:val="center"/>
          </w:tcPr>
          <w:p w14:paraId="3ABD9EF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0.032</w:t>
            </w:r>
          </w:p>
        </w:tc>
        <w:tc>
          <w:tcPr>
            <w:tcW w:w="1216" w:type="dxa"/>
            <w:tcBorders>
              <w:top w:val="single" w:color="auto" w:sz="4" w:space="0"/>
              <w:left w:val="single" w:color="auto" w:sz="4" w:space="0"/>
              <w:bottom w:val="single" w:color="auto" w:sz="4" w:space="0"/>
              <w:right w:val="single" w:color="auto" w:sz="4" w:space="0"/>
            </w:tcBorders>
            <w:vAlign w:val="center"/>
          </w:tcPr>
          <w:p w14:paraId="3D9F6B7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0.017</w:t>
            </w:r>
          </w:p>
        </w:tc>
        <w:tc>
          <w:tcPr>
            <w:tcW w:w="1334" w:type="dxa"/>
            <w:tcBorders>
              <w:top w:val="single" w:color="auto" w:sz="4" w:space="0"/>
              <w:left w:val="single" w:color="auto" w:sz="4" w:space="0"/>
              <w:bottom w:val="single" w:color="auto" w:sz="4" w:space="0"/>
              <w:right w:val="single" w:color="auto" w:sz="4" w:space="0"/>
            </w:tcBorders>
            <w:vAlign w:val="center"/>
          </w:tcPr>
          <w:p w14:paraId="3CE256A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w:t>
            </w:r>
          </w:p>
        </w:tc>
        <w:tc>
          <w:tcPr>
            <w:tcW w:w="1259" w:type="dxa"/>
            <w:tcBorders>
              <w:top w:val="single" w:color="auto" w:sz="4" w:space="0"/>
              <w:left w:val="single" w:color="auto" w:sz="4" w:space="0"/>
              <w:bottom w:val="single" w:color="auto" w:sz="4" w:space="0"/>
              <w:right w:val="nil"/>
            </w:tcBorders>
            <w:vAlign w:val="center"/>
          </w:tcPr>
          <w:p w14:paraId="6074CAA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0.144</w:t>
            </w:r>
          </w:p>
        </w:tc>
      </w:tr>
      <w:tr w14:paraId="791D7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31EB51AC">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462AEB8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26F1E43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0.007</w:t>
            </w:r>
          </w:p>
        </w:tc>
        <w:tc>
          <w:tcPr>
            <w:tcW w:w="1203" w:type="dxa"/>
            <w:tcBorders>
              <w:top w:val="single" w:color="auto" w:sz="4" w:space="0"/>
              <w:left w:val="single" w:color="auto" w:sz="4" w:space="0"/>
              <w:bottom w:val="single" w:color="auto" w:sz="4" w:space="0"/>
              <w:right w:val="single" w:color="auto" w:sz="4" w:space="0"/>
            </w:tcBorders>
            <w:vAlign w:val="center"/>
          </w:tcPr>
          <w:p w14:paraId="527C191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0.020</w:t>
            </w:r>
          </w:p>
        </w:tc>
        <w:tc>
          <w:tcPr>
            <w:tcW w:w="1216" w:type="dxa"/>
            <w:tcBorders>
              <w:top w:val="single" w:color="auto" w:sz="4" w:space="0"/>
              <w:left w:val="single" w:color="auto" w:sz="4" w:space="0"/>
              <w:bottom w:val="single" w:color="auto" w:sz="4" w:space="0"/>
              <w:right w:val="single" w:color="auto" w:sz="4" w:space="0"/>
            </w:tcBorders>
            <w:vAlign w:val="center"/>
          </w:tcPr>
          <w:p w14:paraId="77686C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0.010</w:t>
            </w:r>
          </w:p>
        </w:tc>
        <w:tc>
          <w:tcPr>
            <w:tcW w:w="1334" w:type="dxa"/>
            <w:tcBorders>
              <w:top w:val="single" w:color="auto" w:sz="4" w:space="0"/>
              <w:left w:val="single" w:color="auto" w:sz="4" w:space="0"/>
              <w:bottom w:val="single" w:color="auto" w:sz="4" w:space="0"/>
              <w:right w:val="single" w:color="auto" w:sz="4" w:space="0"/>
            </w:tcBorders>
            <w:vAlign w:val="center"/>
          </w:tcPr>
          <w:p w14:paraId="0CC01C5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c>
          <w:tcPr>
            <w:tcW w:w="1259" w:type="dxa"/>
            <w:tcBorders>
              <w:top w:val="single" w:color="auto" w:sz="4" w:space="0"/>
              <w:left w:val="single" w:color="auto" w:sz="4" w:space="0"/>
              <w:bottom w:val="single" w:color="auto" w:sz="4" w:space="0"/>
              <w:right w:val="nil"/>
            </w:tcBorders>
            <w:vAlign w:val="center"/>
          </w:tcPr>
          <w:p w14:paraId="487F1B2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0.090</w:t>
            </w:r>
          </w:p>
        </w:tc>
      </w:tr>
      <w:tr w14:paraId="3A8D34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173160DC">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5EAA74B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37C650F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0.005</w:t>
            </w:r>
          </w:p>
        </w:tc>
        <w:tc>
          <w:tcPr>
            <w:tcW w:w="1203" w:type="dxa"/>
            <w:tcBorders>
              <w:top w:val="single" w:color="auto" w:sz="4" w:space="0"/>
              <w:left w:val="single" w:color="auto" w:sz="4" w:space="0"/>
              <w:bottom w:val="single" w:color="auto" w:sz="4" w:space="0"/>
              <w:right w:val="single" w:color="auto" w:sz="4" w:space="0"/>
            </w:tcBorders>
            <w:vAlign w:val="center"/>
          </w:tcPr>
          <w:p w14:paraId="1408F62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0.022</w:t>
            </w:r>
          </w:p>
        </w:tc>
        <w:tc>
          <w:tcPr>
            <w:tcW w:w="1216" w:type="dxa"/>
            <w:tcBorders>
              <w:top w:val="single" w:color="auto" w:sz="4" w:space="0"/>
              <w:left w:val="single" w:color="auto" w:sz="4" w:space="0"/>
              <w:bottom w:val="single" w:color="auto" w:sz="4" w:space="0"/>
              <w:right w:val="single" w:color="auto" w:sz="4" w:space="0"/>
            </w:tcBorders>
            <w:vAlign w:val="center"/>
          </w:tcPr>
          <w:p w14:paraId="7E92823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0.013</w:t>
            </w:r>
          </w:p>
        </w:tc>
        <w:tc>
          <w:tcPr>
            <w:tcW w:w="1334" w:type="dxa"/>
            <w:tcBorders>
              <w:top w:val="single" w:color="auto" w:sz="4" w:space="0"/>
              <w:left w:val="single" w:color="auto" w:sz="4" w:space="0"/>
              <w:bottom w:val="single" w:color="auto" w:sz="4" w:space="0"/>
              <w:right w:val="single" w:color="auto" w:sz="4" w:space="0"/>
            </w:tcBorders>
            <w:vAlign w:val="center"/>
          </w:tcPr>
          <w:p w14:paraId="4F064FD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c>
          <w:tcPr>
            <w:tcW w:w="1259" w:type="dxa"/>
            <w:tcBorders>
              <w:top w:val="single" w:color="auto" w:sz="4" w:space="0"/>
              <w:left w:val="single" w:color="auto" w:sz="4" w:space="0"/>
              <w:bottom w:val="single" w:color="auto" w:sz="4" w:space="0"/>
              <w:right w:val="nil"/>
            </w:tcBorders>
            <w:vAlign w:val="center"/>
          </w:tcPr>
          <w:p w14:paraId="21C3AAF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0.106</w:t>
            </w:r>
          </w:p>
        </w:tc>
      </w:tr>
      <w:tr w14:paraId="74A1B0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13FDEEE7">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61734F6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4CB2507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0.008</w:t>
            </w:r>
          </w:p>
        </w:tc>
        <w:tc>
          <w:tcPr>
            <w:tcW w:w="1203" w:type="dxa"/>
            <w:tcBorders>
              <w:top w:val="single" w:color="auto" w:sz="4" w:space="0"/>
              <w:left w:val="single" w:color="auto" w:sz="4" w:space="0"/>
              <w:bottom w:val="single" w:color="auto" w:sz="4" w:space="0"/>
              <w:right w:val="single" w:color="auto" w:sz="4" w:space="0"/>
            </w:tcBorders>
            <w:vAlign w:val="center"/>
          </w:tcPr>
          <w:p w14:paraId="14C5BD9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0.023</w:t>
            </w:r>
          </w:p>
        </w:tc>
        <w:tc>
          <w:tcPr>
            <w:tcW w:w="1216" w:type="dxa"/>
            <w:tcBorders>
              <w:top w:val="single" w:color="auto" w:sz="4" w:space="0"/>
              <w:left w:val="single" w:color="auto" w:sz="4" w:space="0"/>
              <w:bottom w:val="single" w:color="auto" w:sz="4" w:space="0"/>
              <w:right w:val="single" w:color="auto" w:sz="4" w:space="0"/>
            </w:tcBorders>
            <w:vAlign w:val="center"/>
          </w:tcPr>
          <w:p w14:paraId="361E24A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0.012</w:t>
            </w:r>
          </w:p>
        </w:tc>
        <w:tc>
          <w:tcPr>
            <w:tcW w:w="1334" w:type="dxa"/>
            <w:tcBorders>
              <w:top w:val="single" w:color="auto" w:sz="4" w:space="0"/>
              <w:left w:val="single" w:color="auto" w:sz="4" w:space="0"/>
              <w:bottom w:val="single" w:color="auto" w:sz="4" w:space="0"/>
              <w:right w:val="single" w:color="auto" w:sz="4" w:space="0"/>
            </w:tcBorders>
            <w:vAlign w:val="center"/>
          </w:tcPr>
          <w:p w14:paraId="37356F5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w:t>
            </w:r>
          </w:p>
        </w:tc>
        <w:tc>
          <w:tcPr>
            <w:tcW w:w="1259" w:type="dxa"/>
            <w:tcBorders>
              <w:top w:val="single" w:color="auto" w:sz="4" w:space="0"/>
              <w:left w:val="single" w:color="auto" w:sz="4" w:space="0"/>
              <w:bottom w:val="single" w:color="auto" w:sz="4" w:space="0"/>
              <w:right w:val="nil"/>
            </w:tcBorders>
            <w:vAlign w:val="center"/>
          </w:tcPr>
          <w:p w14:paraId="7C16E7D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0.100</w:t>
            </w:r>
          </w:p>
        </w:tc>
      </w:tr>
      <w:tr w14:paraId="46427F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3ABEBF07">
            <w:pPr>
              <w:pStyle w:val="105"/>
              <w:rPr>
                <w:color w:val="000000" w:themeColor="text1"/>
                <w14:textFill>
                  <w14:solidFill>
                    <w14:schemeClr w14:val="tx1"/>
                  </w14:solidFill>
                </w14:textFill>
              </w:rPr>
            </w:pPr>
            <w:r>
              <w:rPr>
                <w:color w:val="000000" w:themeColor="text1"/>
                <w14:textFill>
                  <w14:solidFill>
                    <w14:schemeClr w14:val="tx1"/>
                  </w14:solidFill>
                </w14:textFill>
              </w:rPr>
              <w:t>2024</w:t>
            </w:r>
            <w:r>
              <w:rPr>
                <w:rFonts w:hint="eastAsia"/>
                <w:color w:val="000000" w:themeColor="text1"/>
                <w14:textFill>
                  <w14:solidFill>
                    <w14:schemeClr w14:val="tx1"/>
                  </w14:solidFill>
                </w14:textFill>
              </w:rPr>
              <w:t>年</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月</w:t>
            </w:r>
          </w:p>
        </w:tc>
        <w:tc>
          <w:tcPr>
            <w:tcW w:w="1122" w:type="dxa"/>
            <w:tcBorders>
              <w:top w:val="single" w:color="auto" w:sz="4" w:space="0"/>
              <w:left w:val="single" w:color="auto" w:sz="4" w:space="0"/>
              <w:bottom w:val="single" w:color="auto" w:sz="4" w:space="0"/>
              <w:right w:val="single" w:color="auto" w:sz="4" w:space="0"/>
            </w:tcBorders>
            <w:vAlign w:val="center"/>
          </w:tcPr>
          <w:p w14:paraId="0DC074A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432160E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0.014</w:t>
            </w:r>
          </w:p>
        </w:tc>
        <w:tc>
          <w:tcPr>
            <w:tcW w:w="1203" w:type="dxa"/>
            <w:tcBorders>
              <w:top w:val="single" w:color="auto" w:sz="4" w:space="0"/>
              <w:left w:val="single" w:color="auto" w:sz="4" w:space="0"/>
              <w:bottom w:val="single" w:color="auto" w:sz="4" w:space="0"/>
              <w:right w:val="single" w:color="auto" w:sz="4" w:space="0"/>
            </w:tcBorders>
            <w:vAlign w:val="center"/>
          </w:tcPr>
          <w:p w14:paraId="30248C4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0.036</w:t>
            </w:r>
          </w:p>
        </w:tc>
        <w:tc>
          <w:tcPr>
            <w:tcW w:w="1216" w:type="dxa"/>
            <w:tcBorders>
              <w:top w:val="single" w:color="auto" w:sz="4" w:space="0"/>
              <w:left w:val="single" w:color="auto" w:sz="4" w:space="0"/>
              <w:bottom w:val="single" w:color="auto" w:sz="4" w:space="0"/>
              <w:right w:val="single" w:color="auto" w:sz="4" w:space="0"/>
            </w:tcBorders>
            <w:vAlign w:val="center"/>
          </w:tcPr>
          <w:p w14:paraId="33298B0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0.019</w:t>
            </w:r>
          </w:p>
        </w:tc>
        <w:tc>
          <w:tcPr>
            <w:tcW w:w="1334" w:type="dxa"/>
            <w:tcBorders>
              <w:top w:val="single" w:color="auto" w:sz="4" w:space="0"/>
              <w:left w:val="single" w:color="auto" w:sz="4" w:space="0"/>
              <w:bottom w:val="single" w:color="auto" w:sz="4" w:space="0"/>
              <w:right w:val="single" w:color="auto" w:sz="4" w:space="0"/>
            </w:tcBorders>
            <w:vAlign w:val="center"/>
          </w:tcPr>
          <w:p w14:paraId="6891A51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0.6</w:t>
            </w:r>
          </w:p>
        </w:tc>
        <w:tc>
          <w:tcPr>
            <w:tcW w:w="1259" w:type="dxa"/>
            <w:tcBorders>
              <w:top w:val="single" w:color="auto" w:sz="4" w:space="0"/>
              <w:left w:val="single" w:color="auto" w:sz="4" w:space="0"/>
              <w:bottom w:val="single" w:color="auto" w:sz="4" w:space="0"/>
              <w:right w:val="nil"/>
            </w:tcBorders>
            <w:vAlign w:val="center"/>
          </w:tcPr>
          <w:p w14:paraId="3B4AA6F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0.104</w:t>
            </w:r>
          </w:p>
        </w:tc>
      </w:tr>
      <w:tr w14:paraId="4FE48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567363A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年平均</w:t>
            </w:r>
          </w:p>
        </w:tc>
        <w:tc>
          <w:tcPr>
            <w:tcW w:w="1122" w:type="dxa"/>
            <w:tcBorders>
              <w:top w:val="single" w:color="auto" w:sz="4" w:space="0"/>
              <w:left w:val="single" w:color="auto" w:sz="4" w:space="0"/>
              <w:bottom w:val="single" w:color="auto" w:sz="4" w:space="0"/>
              <w:right w:val="single" w:color="auto" w:sz="4" w:space="0"/>
            </w:tcBorders>
            <w:vAlign w:val="center"/>
          </w:tcPr>
          <w:p w14:paraId="1E0C06F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0.002</w:t>
            </w:r>
          </w:p>
        </w:tc>
        <w:tc>
          <w:tcPr>
            <w:tcW w:w="1203" w:type="dxa"/>
            <w:tcBorders>
              <w:top w:val="single" w:color="auto" w:sz="4" w:space="0"/>
              <w:left w:val="single" w:color="auto" w:sz="4" w:space="0"/>
              <w:bottom w:val="single" w:color="auto" w:sz="4" w:space="0"/>
              <w:right w:val="single" w:color="auto" w:sz="4" w:space="0"/>
            </w:tcBorders>
            <w:vAlign w:val="center"/>
          </w:tcPr>
          <w:p w14:paraId="2CB2830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0.011</w:t>
            </w:r>
          </w:p>
        </w:tc>
        <w:tc>
          <w:tcPr>
            <w:tcW w:w="1203" w:type="dxa"/>
            <w:tcBorders>
              <w:top w:val="single" w:color="auto" w:sz="4" w:space="0"/>
              <w:left w:val="single" w:color="auto" w:sz="4" w:space="0"/>
              <w:bottom w:val="single" w:color="auto" w:sz="4" w:space="0"/>
              <w:right w:val="single" w:color="auto" w:sz="4" w:space="0"/>
            </w:tcBorders>
            <w:vAlign w:val="center"/>
          </w:tcPr>
          <w:p w14:paraId="18340DE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0.032</w:t>
            </w:r>
          </w:p>
        </w:tc>
        <w:tc>
          <w:tcPr>
            <w:tcW w:w="1216" w:type="dxa"/>
            <w:tcBorders>
              <w:top w:val="single" w:color="auto" w:sz="4" w:space="0"/>
              <w:left w:val="single" w:color="auto" w:sz="4" w:space="0"/>
              <w:bottom w:val="single" w:color="auto" w:sz="4" w:space="0"/>
              <w:right w:val="single" w:color="auto" w:sz="4" w:space="0"/>
            </w:tcBorders>
            <w:vAlign w:val="center"/>
          </w:tcPr>
          <w:p w14:paraId="3FA3C22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0.017</w:t>
            </w:r>
          </w:p>
        </w:tc>
        <w:tc>
          <w:tcPr>
            <w:tcW w:w="1334" w:type="dxa"/>
            <w:tcBorders>
              <w:top w:val="single" w:color="auto" w:sz="4" w:space="0"/>
              <w:left w:val="single" w:color="auto" w:sz="4" w:space="0"/>
              <w:bottom w:val="single" w:color="auto" w:sz="4" w:space="0"/>
              <w:right w:val="single" w:color="auto" w:sz="4" w:space="0"/>
            </w:tcBorders>
            <w:vAlign w:val="center"/>
          </w:tcPr>
          <w:p w14:paraId="68D1ED6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0.7</w:t>
            </w:r>
          </w:p>
        </w:tc>
        <w:tc>
          <w:tcPr>
            <w:tcW w:w="1259" w:type="dxa"/>
            <w:tcBorders>
              <w:top w:val="single" w:color="auto" w:sz="4" w:space="0"/>
              <w:left w:val="single" w:color="auto" w:sz="4" w:space="0"/>
              <w:bottom w:val="single" w:color="auto" w:sz="4" w:space="0"/>
              <w:right w:val="nil"/>
            </w:tcBorders>
            <w:vAlign w:val="center"/>
          </w:tcPr>
          <w:p w14:paraId="11A6222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0.113</w:t>
            </w:r>
          </w:p>
        </w:tc>
      </w:tr>
      <w:tr w14:paraId="1D304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50440AF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国家二级标准</w:t>
            </w:r>
          </w:p>
        </w:tc>
        <w:tc>
          <w:tcPr>
            <w:tcW w:w="1122" w:type="dxa"/>
            <w:tcBorders>
              <w:top w:val="single" w:color="auto" w:sz="4" w:space="0"/>
              <w:left w:val="single" w:color="auto" w:sz="4" w:space="0"/>
              <w:bottom w:val="single" w:color="auto" w:sz="4" w:space="0"/>
              <w:right w:val="single" w:color="auto" w:sz="4" w:space="0"/>
            </w:tcBorders>
            <w:vAlign w:val="center"/>
          </w:tcPr>
          <w:p w14:paraId="11324F2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0.06</w:t>
            </w:r>
          </w:p>
        </w:tc>
        <w:tc>
          <w:tcPr>
            <w:tcW w:w="1203" w:type="dxa"/>
            <w:tcBorders>
              <w:top w:val="single" w:color="auto" w:sz="4" w:space="0"/>
              <w:left w:val="single" w:color="auto" w:sz="4" w:space="0"/>
              <w:bottom w:val="single" w:color="auto" w:sz="4" w:space="0"/>
              <w:right w:val="single" w:color="auto" w:sz="4" w:space="0"/>
            </w:tcBorders>
            <w:vAlign w:val="center"/>
          </w:tcPr>
          <w:p w14:paraId="70B0D19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0.04</w:t>
            </w:r>
          </w:p>
        </w:tc>
        <w:tc>
          <w:tcPr>
            <w:tcW w:w="1203" w:type="dxa"/>
            <w:tcBorders>
              <w:top w:val="single" w:color="auto" w:sz="4" w:space="0"/>
              <w:left w:val="single" w:color="auto" w:sz="4" w:space="0"/>
              <w:bottom w:val="single" w:color="auto" w:sz="4" w:space="0"/>
              <w:right w:val="single" w:color="auto" w:sz="4" w:space="0"/>
            </w:tcBorders>
            <w:vAlign w:val="center"/>
          </w:tcPr>
          <w:p w14:paraId="5ABD77B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0.07</w:t>
            </w:r>
          </w:p>
        </w:tc>
        <w:tc>
          <w:tcPr>
            <w:tcW w:w="1216" w:type="dxa"/>
            <w:tcBorders>
              <w:top w:val="single" w:color="auto" w:sz="4" w:space="0"/>
              <w:left w:val="single" w:color="auto" w:sz="4" w:space="0"/>
              <w:bottom w:val="single" w:color="auto" w:sz="4" w:space="0"/>
              <w:right w:val="single" w:color="auto" w:sz="4" w:space="0"/>
            </w:tcBorders>
            <w:vAlign w:val="center"/>
          </w:tcPr>
          <w:p w14:paraId="3D4FECF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0.035</w:t>
            </w:r>
          </w:p>
        </w:tc>
        <w:tc>
          <w:tcPr>
            <w:tcW w:w="1334" w:type="dxa"/>
            <w:tcBorders>
              <w:top w:val="single" w:color="auto" w:sz="4" w:space="0"/>
              <w:left w:val="single" w:color="auto" w:sz="4" w:space="0"/>
              <w:bottom w:val="single" w:color="auto" w:sz="4" w:space="0"/>
              <w:right w:val="single" w:color="auto" w:sz="4" w:space="0"/>
            </w:tcBorders>
            <w:vAlign w:val="center"/>
          </w:tcPr>
          <w:p w14:paraId="0B33598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1259" w:type="dxa"/>
            <w:tcBorders>
              <w:top w:val="single" w:color="auto" w:sz="4" w:space="0"/>
              <w:left w:val="single" w:color="auto" w:sz="4" w:space="0"/>
              <w:bottom w:val="single" w:color="auto" w:sz="4" w:space="0"/>
              <w:right w:val="nil"/>
            </w:tcBorders>
            <w:vAlign w:val="center"/>
          </w:tcPr>
          <w:p w14:paraId="7354EA9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0.16</w:t>
            </w:r>
          </w:p>
        </w:tc>
      </w:tr>
      <w:tr w14:paraId="5A7987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1733" w:type="dxa"/>
            <w:tcBorders>
              <w:top w:val="single" w:color="auto" w:sz="4" w:space="0"/>
              <w:left w:val="nil"/>
              <w:bottom w:val="single" w:color="auto" w:sz="4" w:space="0"/>
              <w:right w:val="single" w:color="auto" w:sz="4" w:space="0"/>
            </w:tcBorders>
            <w:vAlign w:val="center"/>
          </w:tcPr>
          <w:p w14:paraId="33CD098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达标情况</w:t>
            </w:r>
          </w:p>
        </w:tc>
        <w:tc>
          <w:tcPr>
            <w:tcW w:w="7337" w:type="dxa"/>
            <w:gridSpan w:val="6"/>
            <w:tcBorders>
              <w:top w:val="single" w:color="auto" w:sz="4" w:space="0"/>
              <w:left w:val="single" w:color="auto" w:sz="4" w:space="0"/>
              <w:bottom w:val="single" w:color="auto" w:sz="4" w:space="0"/>
              <w:right w:val="nil"/>
            </w:tcBorders>
            <w:vAlign w:val="center"/>
          </w:tcPr>
          <w:p w14:paraId="65EBE0F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达标</w:t>
            </w:r>
          </w:p>
        </w:tc>
      </w:tr>
      <w:tr w14:paraId="1DC34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84" w:hRule="atLeast"/>
          <w:jc w:val="center"/>
        </w:trPr>
        <w:tc>
          <w:tcPr>
            <w:tcW w:w="9070" w:type="dxa"/>
            <w:gridSpan w:val="7"/>
            <w:tcBorders>
              <w:top w:val="single" w:color="auto" w:sz="4" w:space="0"/>
              <w:left w:val="nil"/>
              <w:bottom w:val="single" w:color="auto" w:sz="12" w:space="0"/>
              <w:right w:val="nil"/>
            </w:tcBorders>
            <w:vAlign w:val="center"/>
          </w:tcPr>
          <w:p w14:paraId="4F78E7A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注：</w:t>
            </w:r>
            <w:r>
              <w:rPr>
                <w:color w:val="000000" w:themeColor="text1"/>
                <w14:textFill>
                  <w14:solidFill>
                    <w14:schemeClr w14:val="tx1"/>
                  </w14:solidFill>
                </w14:textFill>
              </w:rPr>
              <w:t>CO</w:t>
            </w:r>
            <w:r>
              <w:rPr>
                <w:rFonts w:hint="eastAsia"/>
                <w:color w:val="000000" w:themeColor="text1"/>
                <w14:textFill>
                  <w14:solidFill>
                    <w14:schemeClr w14:val="tx1"/>
                  </w14:solidFill>
                </w14:textFill>
              </w:rPr>
              <w:t>为日均值第</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百分位数，</w:t>
            </w:r>
            <w:r>
              <w:rPr>
                <w:color w:val="000000" w:themeColor="text1"/>
                <w14:textFill>
                  <w14:solidFill>
                    <w14:schemeClr w14:val="tx1"/>
                  </w14:solidFill>
                </w14:textFill>
              </w:rPr>
              <w:t>O3</w:t>
            </w:r>
            <w:r>
              <w:rPr>
                <w:rFonts w:hint="eastAsia"/>
                <w:color w:val="000000" w:themeColor="text1"/>
                <w14:textFill>
                  <w14:solidFill>
                    <w14:schemeClr w14:val="tx1"/>
                  </w14:solidFill>
                </w14:textFill>
              </w:rPr>
              <w:t>为日最大</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小时值第</w:t>
            </w:r>
            <w:r>
              <w:rPr>
                <w:color w:val="000000" w:themeColor="text1"/>
                <w14:textFill>
                  <w14:solidFill>
                    <w14:schemeClr w14:val="tx1"/>
                  </w14:solidFill>
                </w14:textFill>
              </w:rPr>
              <w:t>90</w:t>
            </w:r>
            <w:r>
              <w:rPr>
                <w:rFonts w:hint="eastAsia"/>
                <w:color w:val="000000" w:themeColor="text1"/>
                <w14:textFill>
                  <w14:solidFill>
                    <w14:schemeClr w14:val="tx1"/>
                  </w14:solidFill>
                </w14:textFill>
              </w:rPr>
              <w:t>百分位数。</w:t>
            </w:r>
          </w:p>
        </w:tc>
      </w:tr>
    </w:tbl>
    <w:p w14:paraId="60557B90">
      <w:pPr>
        <w:pStyle w:val="120"/>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地表水质量现状调查与评价</w:t>
      </w:r>
    </w:p>
    <w:p w14:paraId="68E99C0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本次评价委托福建九五检测技术服务有限公司（C</w:t>
      </w:r>
      <w:r>
        <w:rPr>
          <w:color w:val="000000" w:themeColor="text1"/>
          <w14:textFill>
            <w14:solidFill>
              <w14:schemeClr w14:val="tx1"/>
            </w14:solidFill>
          </w14:textFill>
        </w:rPr>
        <w:t>MA23131205A003</w:t>
      </w:r>
      <w:r>
        <w:rPr>
          <w:rFonts w:hint="eastAsia"/>
          <w:color w:val="000000" w:themeColor="text1"/>
          <w14:textFill>
            <w14:solidFill>
              <w14:schemeClr w14:val="tx1"/>
            </w14:solidFill>
          </w14:textFill>
        </w:rPr>
        <w:t>）于</w:t>
      </w:r>
      <w:r>
        <w:rPr>
          <w:color w:val="000000" w:themeColor="text1"/>
          <w14:textFill>
            <w14:solidFill>
              <w14:schemeClr w14:val="tx1"/>
            </w14:solidFill>
          </w14:textFill>
        </w:rPr>
        <w:t>2025年2月26日</w:t>
      </w:r>
      <w:bookmarkStart w:id="514" w:name="hmcheck_70ae10d3e2cc40cab67aa805ba4f6118"/>
      <w:r>
        <w:rPr>
          <w:rFonts w:hint="eastAsia"/>
          <w:color w:val="000000" w:themeColor="text1"/>
          <w:shd w:val="clear" w:fill="FFAFAA"/>
          <w14:textFill>
            <w14:solidFill>
              <w14:schemeClr w14:val="tx1"/>
            </w14:solidFill>
          </w14:textFill>
        </w:rPr>
        <w:t>~</w:t>
      </w:r>
      <w:bookmarkEnd w:id="514"/>
      <w:r>
        <w:rPr>
          <w:color w:val="000000" w:themeColor="text1"/>
          <w14:textFill>
            <w14:solidFill>
              <w14:schemeClr w14:val="tx1"/>
            </w14:solidFill>
          </w14:textFill>
        </w:rPr>
        <w:t>2月28日</w:t>
      </w:r>
      <w:r>
        <w:rPr>
          <w:rFonts w:hint="eastAsia"/>
          <w:color w:val="000000" w:themeColor="text1"/>
          <w14:textFill>
            <w14:solidFill>
              <w14:schemeClr w14:val="tx1"/>
            </w14:solidFill>
          </w14:textFill>
        </w:rPr>
        <w:t>对迳江进行监测，共设置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个监测断面。</w:t>
      </w:r>
    </w:p>
    <w:p w14:paraId="0ADB0B0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）监测概况</w:t>
      </w:r>
    </w:p>
    <w:p w14:paraId="67B36E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①监测点位：监测断面详见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_Ref119504364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表4.2-2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42C2E6F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②监测时间：采样时间</w:t>
      </w:r>
      <w:r>
        <w:rPr>
          <w:color w:val="000000" w:themeColor="text1"/>
          <w14:textFill>
            <w14:solidFill>
              <w14:schemeClr w14:val="tx1"/>
            </w14:solidFill>
          </w14:textFill>
        </w:rPr>
        <w:t>2025年2月26日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2月28日</w:t>
      </w:r>
      <w:r>
        <w:rPr>
          <w:rFonts w:hint="eastAsia"/>
          <w:color w:val="000000" w:themeColor="text1"/>
          <w14:textFill>
            <w14:solidFill>
              <w14:schemeClr w14:val="tx1"/>
            </w14:solidFill>
          </w14:textFill>
        </w:rPr>
        <w:t>。</w:t>
      </w:r>
    </w:p>
    <w:p w14:paraId="4242BAAE">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③</w:t>
      </w:r>
      <w:r>
        <w:rPr>
          <w:rFonts w:hint="eastAsia"/>
          <w:color w:val="000000" w:themeColor="text1"/>
          <w14:textFill>
            <w14:solidFill>
              <w14:schemeClr w14:val="tx1"/>
            </w14:solidFill>
          </w14:textFill>
        </w:rPr>
        <w:t>监测频次：一天一次，共</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天；</w:t>
      </w:r>
    </w:p>
    <w:p w14:paraId="5C44BA14">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④</w:t>
      </w:r>
      <w:r>
        <w:rPr>
          <w:rFonts w:hint="eastAsia"/>
          <w:color w:val="000000" w:themeColor="text1"/>
          <w14:textFill>
            <w14:solidFill>
              <w14:schemeClr w14:val="tx1"/>
            </w14:solidFill>
          </w14:textFill>
        </w:rPr>
        <w:t>监测项目：</w:t>
      </w:r>
      <w:r>
        <w:rPr>
          <w:color w:val="000000" w:themeColor="text1"/>
          <w14:textFill>
            <w14:solidFill>
              <w14:schemeClr w14:val="tx1"/>
            </w14:solidFill>
          </w14:textFill>
        </w:rPr>
        <w:t>水温、pH、DO、SS、高锰酸盐指数、BOD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、氨氮、</w:t>
      </w:r>
      <w:r>
        <w:rPr>
          <w:rFonts w:hint="eastAsia"/>
          <w:color w:val="000000" w:themeColor="text1"/>
          <w14:textFill>
            <w14:solidFill>
              <w14:schemeClr w14:val="tx1"/>
            </w14:solidFill>
          </w14:textFill>
        </w:rPr>
        <w:t>总磷、</w:t>
      </w:r>
      <w:r>
        <w:rPr>
          <w:color w:val="000000" w:themeColor="text1"/>
          <w14:textFill>
            <w14:solidFill>
              <w14:schemeClr w14:val="tx1"/>
            </w14:solidFill>
          </w14:textFill>
        </w:rPr>
        <w:t>石油类。</w:t>
      </w:r>
    </w:p>
    <w:p w14:paraId="556271BF">
      <w:pPr>
        <w:ind w:firstLine="48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⑤</w:t>
      </w:r>
      <w:r>
        <w:rPr>
          <w:rFonts w:hint="eastAsia"/>
          <w:color w:val="000000" w:themeColor="text1"/>
          <w14:textFill>
            <w14:solidFill>
              <w14:schemeClr w14:val="tx1"/>
            </w14:solidFill>
          </w14:textFill>
        </w:rPr>
        <w:t>监测分析方法：监测分析方法</w:t>
      </w:r>
      <w:bookmarkStart w:id="515" w:name="hmcheck_2019fb1cc7664b0c902d74e1221ca216"/>
      <w:r>
        <w:rPr>
          <w:rFonts w:hint="eastAsia"/>
          <w:color w:val="000000" w:themeColor="text1"/>
          <w:shd w:val="clear" w:fill="FFAFAA"/>
          <w14:textFill>
            <w14:solidFill>
              <w14:schemeClr w14:val="tx1"/>
            </w14:solidFill>
          </w14:textFill>
        </w:rPr>
        <w:t>统计于</w:t>
      </w:r>
      <w:bookmarkEnd w:id="515"/>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_Ref63067479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表4.2-3</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03F63D2D">
      <w:pPr>
        <w:pStyle w:val="87"/>
        <w:spacing w:before="163"/>
        <w:ind w:firstLine="360"/>
        <w:rPr>
          <w:color w:val="000000" w:themeColor="text1"/>
          <w14:textFill>
            <w14:solidFill>
              <w14:schemeClr w14:val="tx1"/>
            </w14:solidFill>
          </w14:textFill>
        </w:rPr>
      </w:pPr>
      <w:bookmarkStart w:id="516" w:name="_Ref119504364"/>
      <w:r>
        <w:rPr>
          <w:rFonts w:hint="eastAsia"/>
          <w:color w:val="000000" w:themeColor="text1"/>
          <w14:textFill>
            <w14:solidFill>
              <w14:schemeClr w14:val="tx1"/>
            </w14:solidFill>
          </w14:textFill>
        </w:rPr>
        <w:t>地表水监测断面</w:t>
      </w:r>
      <w:bookmarkEnd w:id="516"/>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9"/>
        <w:gridCol w:w="999"/>
        <w:gridCol w:w="1657"/>
        <w:gridCol w:w="2316"/>
        <w:gridCol w:w="1657"/>
        <w:gridCol w:w="1658"/>
      </w:tblGrid>
      <w:tr w14:paraId="620BC4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8" w:type="pct"/>
            <w:vAlign w:val="center"/>
          </w:tcPr>
          <w:p w14:paraId="43885C3B">
            <w:pPr>
              <w:pStyle w:val="10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538" w:type="pct"/>
            <w:vAlign w:val="center"/>
          </w:tcPr>
          <w:p w14:paraId="79FD0B9D">
            <w:pPr>
              <w:pStyle w:val="105"/>
              <w:rPr>
                <w:color w:val="000000" w:themeColor="text1"/>
                <w14:textFill>
                  <w14:solidFill>
                    <w14:schemeClr w14:val="tx1"/>
                  </w14:solidFill>
                </w14:textFill>
              </w:rPr>
            </w:pPr>
            <w:r>
              <w:rPr>
                <w:color w:val="000000" w:themeColor="text1"/>
                <w14:textFill>
                  <w14:solidFill>
                    <w14:schemeClr w14:val="tx1"/>
                  </w14:solidFill>
                </w14:textFill>
              </w:rPr>
              <w:t>河段</w:t>
            </w:r>
          </w:p>
        </w:tc>
        <w:tc>
          <w:tcPr>
            <w:tcW w:w="892" w:type="pct"/>
            <w:vAlign w:val="center"/>
          </w:tcPr>
          <w:p w14:paraId="406F09B2">
            <w:pPr>
              <w:pStyle w:val="105"/>
              <w:rPr>
                <w:color w:val="000000" w:themeColor="text1"/>
                <w14:textFill>
                  <w14:solidFill>
                    <w14:schemeClr w14:val="tx1"/>
                  </w14:solidFill>
                </w14:textFill>
              </w:rPr>
            </w:pPr>
            <w:r>
              <w:rPr>
                <w:color w:val="000000" w:themeColor="text1"/>
                <w14:textFill>
                  <w14:solidFill>
                    <w14:schemeClr w14:val="tx1"/>
                  </w14:solidFill>
                </w14:textFill>
              </w:rPr>
              <w:t>断面名称</w:t>
            </w:r>
          </w:p>
        </w:tc>
        <w:tc>
          <w:tcPr>
            <w:tcW w:w="1247" w:type="pct"/>
            <w:vAlign w:val="center"/>
          </w:tcPr>
          <w:p w14:paraId="4DA8D444">
            <w:pPr>
              <w:pStyle w:val="105"/>
              <w:rPr>
                <w:color w:val="000000" w:themeColor="text1"/>
                <w14:textFill>
                  <w14:solidFill>
                    <w14:schemeClr w14:val="tx1"/>
                  </w14:solidFill>
                </w14:textFill>
              </w:rPr>
            </w:pPr>
            <w:r>
              <w:rPr>
                <w:color w:val="000000" w:themeColor="text1"/>
                <w14:textFill>
                  <w14:solidFill>
                    <w14:schemeClr w14:val="tx1"/>
                  </w14:solidFill>
                </w14:textFill>
              </w:rPr>
              <w:t>断面位置</w:t>
            </w:r>
          </w:p>
        </w:tc>
        <w:tc>
          <w:tcPr>
            <w:tcW w:w="892" w:type="pct"/>
          </w:tcPr>
          <w:p w14:paraId="47B881A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河道宽度</w:t>
            </w:r>
          </w:p>
        </w:tc>
        <w:tc>
          <w:tcPr>
            <w:tcW w:w="892" w:type="pct"/>
          </w:tcPr>
          <w:p w14:paraId="2F1EF08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监测垂线</w:t>
            </w:r>
          </w:p>
        </w:tc>
      </w:tr>
      <w:tr w14:paraId="2EBE8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8" w:type="pct"/>
            <w:vMerge w:val="restart"/>
            <w:vAlign w:val="center"/>
          </w:tcPr>
          <w:p w14:paraId="45F24D52">
            <w:pPr>
              <w:pStyle w:val="105"/>
              <w:rPr>
                <w:color w:val="000000" w:themeColor="text1"/>
                <w14:textFill>
                  <w14:solidFill>
                    <w14:schemeClr w14:val="tx1"/>
                  </w14:solidFill>
                </w14:textFill>
              </w:rPr>
            </w:pPr>
            <w:r>
              <w:rPr>
                <w:color w:val="000000" w:themeColor="text1"/>
                <w14:textFill>
                  <w14:solidFill>
                    <w14:schemeClr w14:val="tx1"/>
                  </w14:solidFill>
                </w14:textFill>
              </w:rPr>
              <w:t>1</w:t>
            </w:r>
          </w:p>
        </w:tc>
        <w:tc>
          <w:tcPr>
            <w:tcW w:w="538" w:type="pct"/>
            <w:vMerge w:val="restart"/>
            <w:vAlign w:val="center"/>
          </w:tcPr>
          <w:p w14:paraId="0A49A51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迳江</w:t>
            </w:r>
          </w:p>
        </w:tc>
        <w:tc>
          <w:tcPr>
            <w:tcW w:w="892" w:type="pct"/>
            <w:vAlign w:val="center"/>
          </w:tcPr>
          <w:p w14:paraId="07E844C3">
            <w:pPr>
              <w:pStyle w:val="105"/>
              <w:rPr>
                <w:color w:val="000000" w:themeColor="text1"/>
                <w14:textFill>
                  <w14:solidFill>
                    <w14:schemeClr w14:val="tx1"/>
                  </w14:solidFill>
                </w14:textFill>
              </w:rPr>
            </w:pPr>
            <w:r>
              <w:rPr>
                <w:color w:val="000000" w:themeColor="text1"/>
                <w14:textFill>
                  <w14:solidFill>
                    <w14:schemeClr w14:val="tx1"/>
                  </w14:solidFill>
                </w14:textFill>
              </w:rPr>
              <w:t>W1#</w:t>
            </w:r>
          </w:p>
        </w:tc>
        <w:tc>
          <w:tcPr>
            <w:tcW w:w="1247" w:type="pct"/>
            <w:vAlign w:val="center"/>
          </w:tcPr>
          <w:p w14:paraId="4C2D655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上游钟枝大桥</w:t>
            </w:r>
          </w:p>
        </w:tc>
        <w:tc>
          <w:tcPr>
            <w:tcW w:w="892" w:type="pct"/>
          </w:tcPr>
          <w:p w14:paraId="0507527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~10</w:t>
            </w:r>
          </w:p>
        </w:tc>
        <w:tc>
          <w:tcPr>
            <w:tcW w:w="892" w:type="pct"/>
          </w:tcPr>
          <w:p w14:paraId="0C91AC1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中心</w:t>
            </w:r>
          </w:p>
        </w:tc>
      </w:tr>
      <w:tr w14:paraId="25D50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38" w:type="pct"/>
            <w:vMerge w:val="continue"/>
            <w:vAlign w:val="center"/>
          </w:tcPr>
          <w:p w14:paraId="66CEE2AB">
            <w:pPr>
              <w:pStyle w:val="105"/>
              <w:rPr>
                <w:color w:val="000000" w:themeColor="text1"/>
                <w14:textFill>
                  <w14:solidFill>
                    <w14:schemeClr w14:val="tx1"/>
                  </w14:solidFill>
                </w14:textFill>
              </w:rPr>
            </w:pPr>
          </w:p>
        </w:tc>
        <w:tc>
          <w:tcPr>
            <w:tcW w:w="538" w:type="pct"/>
            <w:vMerge w:val="continue"/>
            <w:vAlign w:val="center"/>
          </w:tcPr>
          <w:p w14:paraId="33F57432">
            <w:pPr>
              <w:pStyle w:val="105"/>
              <w:rPr>
                <w:color w:val="000000" w:themeColor="text1"/>
                <w14:textFill>
                  <w14:solidFill>
                    <w14:schemeClr w14:val="tx1"/>
                  </w14:solidFill>
                </w14:textFill>
              </w:rPr>
            </w:pPr>
          </w:p>
        </w:tc>
        <w:tc>
          <w:tcPr>
            <w:tcW w:w="892" w:type="pct"/>
            <w:vAlign w:val="center"/>
          </w:tcPr>
          <w:p w14:paraId="07A14ADC">
            <w:pPr>
              <w:pStyle w:val="105"/>
              <w:rPr>
                <w:color w:val="000000" w:themeColor="text1"/>
                <w14:textFill>
                  <w14:solidFill>
                    <w14:schemeClr w14:val="tx1"/>
                  </w14:solidFill>
                </w14:textFill>
              </w:rPr>
            </w:pPr>
            <w:r>
              <w:rPr>
                <w:color w:val="000000" w:themeColor="text1"/>
                <w14:textFill>
                  <w14:solidFill>
                    <w14:schemeClr w14:val="tx1"/>
                  </w14:solidFill>
                </w14:textFill>
              </w:rPr>
              <w:t>W2#</w:t>
            </w:r>
          </w:p>
        </w:tc>
        <w:tc>
          <w:tcPr>
            <w:tcW w:w="1247" w:type="pct"/>
            <w:vAlign w:val="center"/>
          </w:tcPr>
          <w:p w14:paraId="618B4C7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上张村王房</w:t>
            </w:r>
          </w:p>
        </w:tc>
        <w:tc>
          <w:tcPr>
            <w:tcW w:w="892" w:type="pct"/>
          </w:tcPr>
          <w:p w14:paraId="09C444C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8</w:t>
            </w:r>
            <w:r>
              <w:rPr>
                <w:color w:val="000000" w:themeColor="text1"/>
                <w14:textFill>
                  <w14:solidFill>
                    <w14:schemeClr w14:val="tx1"/>
                  </w14:solidFill>
                </w14:textFill>
              </w:rPr>
              <w:t>~10</w:t>
            </w:r>
          </w:p>
        </w:tc>
        <w:tc>
          <w:tcPr>
            <w:tcW w:w="892" w:type="pct"/>
          </w:tcPr>
          <w:p w14:paraId="1978D7E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中心</w:t>
            </w:r>
          </w:p>
        </w:tc>
      </w:tr>
      <w:tr w14:paraId="477DD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6"/>
            <w:vAlign w:val="center"/>
          </w:tcPr>
          <w:p w14:paraId="2F47FC6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监测技术：按照《地表水环境质量监测技术规范</w:t>
            </w:r>
            <w:r>
              <w:rPr>
                <w:color w:val="000000" w:themeColor="text1"/>
                <w14:textFill>
                  <w14:solidFill>
                    <w14:schemeClr w14:val="tx1"/>
                  </w14:solidFill>
                </w14:textFill>
              </w:rPr>
              <w:t>HJ91.2 2022</w:t>
            </w:r>
            <w:r>
              <w:rPr>
                <w:rFonts w:hint="eastAsia"/>
                <w:color w:val="000000" w:themeColor="text1"/>
                <w14:textFill>
                  <w14:solidFill>
                    <w14:schemeClr w14:val="tx1"/>
                  </w14:solidFill>
                </w14:textFill>
              </w:rPr>
              <w:t>》执行。</w:t>
            </w:r>
          </w:p>
        </w:tc>
      </w:tr>
    </w:tbl>
    <w:p w14:paraId="5F369D33">
      <w:pPr>
        <w:pStyle w:val="87"/>
        <w:spacing w:before="163"/>
        <w:ind w:firstLine="360"/>
        <w:rPr>
          <w:color w:val="000000" w:themeColor="text1"/>
          <w14:textFill>
            <w14:solidFill>
              <w14:schemeClr w14:val="tx1"/>
            </w14:solidFill>
          </w14:textFill>
        </w:rPr>
      </w:pPr>
      <w:bookmarkStart w:id="517" w:name="_Ref63067479"/>
      <w:r>
        <w:rPr>
          <w:rFonts w:hint="eastAsia"/>
          <w:color w:val="000000" w:themeColor="text1"/>
          <w14:textFill>
            <w14:solidFill>
              <w14:schemeClr w14:val="tx1"/>
            </w14:solidFill>
          </w14:textFill>
        </w:rPr>
        <w:t>监测方法</w:t>
      </w:r>
      <w:bookmarkEnd w:id="517"/>
    </w:p>
    <w:tbl>
      <w:tblPr>
        <w:tblStyle w:val="53"/>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23" w:type="dxa"/>
          <w:bottom w:w="0" w:type="dxa"/>
          <w:right w:w="23" w:type="dxa"/>
        </w:tblCellMar>
      </w:tblPr>
      <w:tblGrid>
        <w:gridCol w:w="1685"/>
        <w:gridCol w:w="6459"/>
        <w:gridCol w:w="926"/>
      </w:tblGrid>
      <w:tr w14:paraId="0CFB03F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04F5394B">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检测项目</w:t>
            </w:r>
          </w:p>
        </w:tc>
        <w:tc>
          <w:tcPr>
            <w:tcW w:w="6459" w:type="dxa"/>
            <w:vAlign w:val="center"/>
          </w:tcPr>
          <w:p w14:paraId="43997421">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检测依据</w:t>
            </w:r>
          </w:p>
        </w:tc>
        <w:tc>
          <w:tcPr>
            <w:tcW w:w="926" w:type="dxa"/>
            <w:vAlign w:val="center"/>
          </w:tcPr>
          <w:p w14:paraId="56E167B5">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检出限</w:t>
            </w:r>
          </w:p>
        </w:tc>
      </w:tr>
      <w:tr w14:paraId="676074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47592981">
            <w:pPr>
              <w:pStyle w:val="105"/>
              <w:ind w:left="-48" w:leftChars="-20" w:right="-48" w:rightChars="-2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水温</w:t>
            </w:r>
          </w:p>
        </w:tc>
        <w:tc>
          <w:tcPr>
            <w:tcW w:w="6459" w:type="dxa"/>
            <w:vAlign w:val="center"/>
          </w:tcPr>
          <w:p w14:paraId="57ADF387">
            <w:pPr>
              <w:pStyle w:val="105"/>
              <w:ind w:left="-48" w:leftChars="-20" w:right="-48" w:rightChars="-2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《水质</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水温的测定</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温度计或颠倒温度计测定法》（</w:t>
            </w:r>
            <w:r>
              <w:rPr>
                <w:color w:val="000000" w:themeColor="text1"/>
                <w14:textFill>
                  <w14:solidFill>
                    <w14:schemeClr w14:val="tx1"/>
                  </w14:solidFill>
                </w14:textFill>
              </w:rPr>
              <w:t>GB/T 13195-1991</w:t>
            </w:r>
            <w:r>
              <w:rPr>
                <w:rFonts w:hint="eastAsia"/>
                <w:color w:val="000000" w:themeColor="text1"/>
                <w14:textFill>
                  <w14:solidFill>
                    <w14:schemeClr w14:val="tx1"/>
                  </w14:solidFill>
                </w14:textFill>
              </w:rPr>
              <w:t>）</w:t>
            </w:r>
          </w:p>
        </w:tc>
        <w:tc>
          <w:tcPr>
            <w:tcW w:w="926" w:type="dxa"/>
            <w:vAlign w:val="center"/>
          </w:tcPr>
          <w:p w14:paraId="584FF656">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56D9DE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58574C30">
            <w:pPr>
              <w:pStyle w:val="105"/>
              <w:ind w:left="-48" w:leftChars="-20" w:right="-48" w:rightChars="-2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溶解氧</w:t>
            </w:r>
          </w:p>
        </w:tc>
        <w:tc>
          <w:tcPr>
            <w:tcW w:w="6459" w:type="dxa"/>
            <w:vAlign w:val="center"/>
          </w:tcPr>
          <w:p w14:paraId="77B3EFF7">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《水质 溶解氧的测定</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电化学探头法》（HJ 506-2009）</w:t>
            </w:r>
          </w:p>
        </w:tc>
        <w:tc>
          <w:tcPr>
            <w:tcW w:w="926" w:type="dxa"/>
            <w:vAlign w:val="center"/>
          </w:tcPr>
          <w:p w14:paraId="14FE359D">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63428E6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57A94B6A">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6459" w:type="dxa"/>
            <w:vAlign w:val="center"/>
          </w:tcPr>
          <w:p w14:paraId="249B7A1A">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《水质 pH值的测定 电极法》（HJ 1147-2020）</w:t>
            </w:r>
          </w:p>
        </w:tc>
        <w:tc>
          <w:tcPr>
            <w:tcW w:w="926" w:type="dxa"/>
            <w:vAlign w:val="center"/>
          </w:tcPr>
          <w:p w14:paraId="1191C035">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6CB618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30FA2C83">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悬浮物</w:t>
            </w:r>
          </w:p>
        </w:tc>
        <w:tc>
          <w:tcPr>
            <w:tcW w:w="6459" w:type="dxa"/>
            <w:vAlign w:val="center"/>
          </w:tcPr>
          <w:p w14:paraId="32280AD8">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《水质 悬浮物的测定 重量法》（GB/T 11901-1989）</w:t>
            </w:r>
          </w:p>
        </w:tc>
        <w:tc>
          <w:tcPr>
            <w:tcW w:w="926" w:type="dxa"/>
            <w:vAlign w:val="center"/>
          </w:tcPr>
          <w:p w14:paraId="0FE5F3BE">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4mg/L</w:t>
            </w:r>
          </w:p>
        </w:tc>
      </w:tr>
      <w:tr w14:paraId="5D42C2B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232E758B">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6459" w:type="dxa"/>
            <w:vAlign w:val="center"/>
          </w:tcPr>
          <w:p w14:paraId="751A3168">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《水质 石油类的测定 紫外分光光度法（试行）》（HJ 970-2018）</w:t>
            </w:r>
          </w:p>
        </w:tc>
        <w:tc>
          <w:tcPr>
            <w:tcW w:w="926" w:type="dxa"/>
            <w:vAlign w:val="center"/>
          </w:tcPr>
          <w:p w14:paraId="4D78F8BA">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0.01mg/L</w:t>
            </w:r>
          </w:p>
        </w:tc>
      </w:tr>
      <w:tr w14:paraId="68F8C1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5A93AD13">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高锰酸盐指数</w:t>
            </w:r>
          </w:p>
        </w:tc>
        <w:tc>
          <w:tcPr>
            <w:tcW w:w="6459" w:type="dxa"/>
            <w:vAlign w:val="center"/>
          </w:tcPr>
          <w:p w14:paraId="069C913D">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《水质 高锰酸盐指数的测定》（GB/T 11892-1989）</w:t>
            </w:r>
          </w:p>
        </w:tc>
        <w:tc>
          <w:tcPr>
            <w:tcW w:w="926" w:type="dxa"/>
            <w:vAlign w:val="center"/>
          </w:tcPr>
          <w:p w14:paraId="5BEC547D">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0.5mg/L</w:t>
            </w:r>
          </w:p>
        </w:tc>
      </w:tr>
      <w:tr w14:paraId="0588AA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24C061F1">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五日生化需氧量</w:t>
            </w:r>
          </w:p>
        </w:tc>
        <w:tc>
          <w:tcPr>
            <w:tcW w:w="6459" w:type="dxa"/>
            <w:vAlign w:val="center"/>
          </w:tcPr>
          <w:p w14:paraId="432591A8">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《水质 五日生化需氧量（BOD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）的测定 稀释与接种法》（HJ 505-2009）</w:t>
            </w:r>
          </w:p>
        </w:tc>
        <w:tc>
          <w:tcPr>
            <w:tcW w:w="926" w:type="dxa"/>
            <w:vAlign w:val="center"/>
          </w:tcPr>
          <w:p w14:paraId="16AA9505">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0.5mg/L</w:t>
            </w:r>
          </w:p>
        </w:tc>
      </w:tr>
      <w:tr w14:paraId="37B645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66A62875">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6459" w:type="dxa"/>
            <w:vAlign w:val="center"/>
          </w:tcPr>
          <w:p w14:paraId="0246C58C">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《水质 氨氮的测定 纳氏试剂分光光度法》（HJ 535-2009）</w:t>
            </w:r>
          </w:p>
        </w:tc>
        <w:tc>
          <w:tcPr>
            <w:tcW w:w="926" w:type="dxa"/>
            <w:vAlign w:val="center"/>
          </w:tcPr>
          <w:p w14:paraId="14DE19E0">
            <w:pPr>
              <w:pStyle w:val="105"/>
              <w:ind w:left="-48" w:leftChars="-20" w:right="-48" w:rightChars="-20"/>
              <w:jc w:val="center"/>
              <w:rPr>
                <w:color w:val="000000" w:themeColor="text1"/>
                <w14:textFill>
                  <w14:solidFill>
                    <w14:schemeClr w14:val="tx1"/>
                  </w14:solidFill>
                </w14:textFill>
              </w:rPr>
            </w:pPr>
            <w:r>
              <w:rPr>
                <w:color w:val="000000" w:themeColor="text1"/>
                <w14:textFill>
                  <w14:solidFill>
                    <w14:schemeClr w14:val="tx1"/>
                  </w14:solidFill>
                </w14:textFill>
              </w:rPr>
              <w:t>0.025mg/L</w:t>
            </w:r>
          </w:p>
        </w:tc>
      </w:tr>
      <w:tr w14:paraId="66062E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1685" w:type="dxa"/>
            <w:vAlign w:val="center"/>
          </w:tcPr>
          <w:p w14:paraId="3A816D40">
            <w:pPr>
              <w:pStyle w:val="105"/>
              <w:ind w:left="-48" w:leftChars="-20" w:right="-48" w:rightChars="-2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6459" w:type="dxa"/>
            <w:vAlign w:val="center"/>
          </w:tcPr>
          <w:p w14:paraId="450A5A2F">
            <w:pPr>
              <w:pStyle w:val="105"/>
              <w:ind w:left="-48" w:leftChars="-20" w:right="-48" w:rightChars="-2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《水质 总磷的测定 钼酸铵分光光度法》（</w:t>
            </w:r>
            <w:r>
              <w:rPr>
                <w:color w:val="000000" w:themeColor="text1"/>
                <w14:textFill>
                  <w14:solidFill>
                    <w14:schemeClr w14:val="tx1"/>
                  </w14:solidFill>
                </w14:textFill>
              </w:rPr>
              <w:t>GB/T 11893-1989</w:t>
            </w:r>
            <w:r>
              <w:rPr>
                <w:rFonts w:hint="eastAsia"/>
                <w:color w:val="000000" w:themeColor="text1"/>
                <w14:textFill>
                  <w14:solidFill>
                    <w14:schemeClr w14:val="tx1"/>
                  </w14:solidFill>
                </w14:textFill>
              </w:rPr>
              <w:t>）</w:t>
            </w:r>
          </w:p>
        </w:tc>
        <w:tc>
          <w:tcPr>
            <w:tcW w:w="926" w:type="dxa"/>
            <w:vAlign w:val="center"/>
          </w:tcPr>
          <w:p w14:paraId="3C70749C">
            <w:pPr>
              <w:pStyle w:val="105"/>
              <w:ind w:left="-48" w:leftChars="-20" w:right="-48" w:rightChars="-2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w:t>
            </w:r>
            <w:r>
              <w:rPr>
                <w:color w:val="000000" w:themeColor="text1"/>
                <w14:textFill>
                  <w14:solidFill>
                    <w14:schemeClr w14:val="tx1"/>
                  </w14:solidFill>
                </w14:textFill>
              </w:rPr>
              <w:t>mg/L</w:t>
            </w:r>
          </w:p>
        </w:tc>
      </w:tr>
    </w:tbl>
    <w:p w14:paraId="07BA9F59">
      <w:pPr>
        <w:pStyle w:val="105"/>
        <w:ind w:left="-2" w:leftChars="-59" w:hanging="140" w:hangingChars="67"/>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869940" cy="4140200"/>
            <wp:effectExtent l="0" t="0" r="0" b="0"/>
            <wp:docPr id="898" name="图片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 name="图片 898"/>
                    <pic:cNvPicPr>
                      <a:picLocks noChangeAspect="1" noChangeArrowheads="1"/>
                    </pic:cNvPicPr>
                  </pic:nvPicPr>
                  <pic:blipFill>
                    <a:blip r:embed="rId113" cstate="email"/>
                    <a:srcRect/>
                    <a:stretch>
                      <a:fillRect/>
                    </a:stretch>
                  </pic:blipFill>
                  <pic:spPr>
                    <a:xfrm>
                      <a:off x="0" y="0"/>
                      <a:ext cx="5879520" cy="4146777"/>
                    </a:xfrm>
                    <a:prstGeom prst="rect">
                      <a:avLst/>
                    </a:prstGeom>
                    <a:noFill/>
                    <a:ln>
                      <a:noFill/>
                    </a:ln>
                  </pic:spPr>
                </pic:pic>
              </a:graphicData>
            </a:graphic>
          </wp:inline>
        </w:drawing>
      </w:r>
    </w:p>
    <w:p w14:paraId="66B7FA6B">
      <w:pPr>
        <w:pStyle w:val="122"/>
        <w:rPr>
          <w:color w:val="000000" w:themeColor="text1"/>
          <w14:textFill>
            <w14:solidFill>
              <w14:schemeClr w14:val="tx1"/>
            </w14:solidFill>
          </w14:textFill>
        </w:rPr>
      </w:pPr>
      <w:r>
        <w:rPr>
          <w:rFonts w:hint="eastAsia"/>
          <w:color w:val="000000" w:themeColor="text1"/>
          <w14:textFill>
            <w14:solidFill>
              <w14:schemeClr w14:val="tx1"/>
            </w14:solidFill>
          </w14:textFill>
        </w:rPr>
        <w:t>地表水监测点位图</w:t>
      </w:r>
    </w:p>
    <w:p w14:paraId="01F71B0E">
      <w:pPr>
        <w:pStyle w:val="272"/>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）评价标准和评价方法</w:t>
      </w:r>
    </w:p>
    <w:p w14:paraId="4D3BC561">
      <w:pPr>
        <w:pStyle w:val="130"/>
        <w:rPr>
          <w:color w:val="000000" w:themeColor="text1"/>
          <w14:textFill>
            <w14:solidFill>
              <w14:schemeClr w14:val="tx1"/>
            </w14:solidFill>
          </w14:textFill>
        </w:rPr>
      </w:pPr>
      <w:r>
        <w:rPr>
          <w:rFonts w:hint="eastAsia"/>
          <w:color w:val="000000" w:themeColor="text1"/>
          <w14:textFill>
            <w14:solidFill>
              <w14:schemeClr w14:val="tx1"/>
            </w14:solidFill>
          </w14:textFill>
        </w:rPr>
        <w:t>迳江水体水质评价标准详见章节</w:t>
      </w:r>
      <w:r>
        <w:rPr>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_Ref82805770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表2.5-3</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；根据《环境影响评价技术导则地面水环境》（</w:t>
      </w:r>
      <w:r>
        <w:rPr>
          <w:color w:val="000000" w:themeColor="text1"/>
          <w14:textFill>
            <w14:solidFill>
              <w14:schemeClr w14:val="tx1"/>
            </w14:solidFill>
          </w14:textFill>
        </w:rPr>
        <w:t>HJ2.3-2018</w:t>
      </w:r>
      <w:r>
        <w:rPr>
          <w:rFonts w:hint="eastAsia"/>
          <w:color w:val="000000" w:themeColor="text1"/>
          <w14:textFill>
            <w14:solidFill>
              <w14:schemeClr w14:val="tx1"/>
            </w14:solidFill>
          </w14:textFill>
        </w:rPr>
        <w:t>），评价采用单项水质指数法评价地面水水质，计算公式为：</w:t>
      </w:r>
    </w:p>
    <w:p w14:paraId="7763BD65">
      <w:pPr>
        <w:pStyle w:val="13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①</w:t>
      </w:r>
      <w:r>
        <w:rPr>
          <w:rFonts w:hint="eastAsia"/>
          <w:color w:val="000000" w:themeColor="text1"/>
          <w14:textFill>
            <w14:solidFill>
              <w14:schemeClr w14:val="tx1"/>
            </w14:solidFill>
          </w14:textFill>
        </w:rPr>
        <w:t>一般性水质因子（随着浓度增加而水质变差的水质因子）的指数计算公式：</w:t>
      </w:r>
    </w:p>
    <w:p w14:paraId="1C17CDC7">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46" o:spt="75" type="#_x0000_t75" style="height:37.5pt;width:44.25pt;" o:ole="t" filled="f" o:preferrelative="t" stroked="f" coordsize="21600,21600">
            <v:path/>
            <v:fill on="f" focussize="0,0"/>
            <v:stroke on="f" joinstyle="miter"/>
            <v:imagedata r:id="rId115" o:title=""/>
            <o:lock v:ext="edit" aspectratio="t"/>
            <w10:wrap type="none"/>
            <w10:anchorlock/>
          </v:shape>
          <o:OLEObject Type="Embed" ProgID="Equation.3" ShapeID="_x0000_i1046" DrawAspect="Content" ObjectID="_1468075746" r:id="rId114">
            <o:LockedField>false</o:LockedField>
          </o:OLEObject>
        </w:object>
      </w:r>
    </w:p>
    <w:p w14:paraId="76B680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i/>
          <w:color w:val="000000" w:themeColor="text1"/>
          <w14:textFill>
            <w14:solidFill>
              <w14:schemeClr w14:val="tx1"/>
            </w14:solidFill>
          </w14:textFill>
        </w:rPr>
        <w:t>S</w:t>
      </w:r>
      <w:r>
        <w:rPr>
          <w:i/>
          <w:color w:val="000000" w:themeColor="text1"/>
          <w:vertAlign w:val="subscript"/>
          <w14:textFill>
            <w14:solidFill>
              <w14:schemeClr w14:val="tx1"/>
            </w14:solidFill>
          </w14:textFill>
        </w:rPr>
        <w:t>i，j</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评价因子</w:t>
      </w:r>
      <w:r>
        <w:rPr>
          <w:i/>
          <w:color w:val="000000" w:themeColor="text1"/>
          <w14:textFill>
            <w14:solidFill>
              <w14:schemeClr w14:val="tx1"/>
            </w14:solidFill>
          </w14:textFill>
        </w:rPr>
        <w:t>i</w:t>
      </w:r>
      <w:r>
        <w:rPr>
          <w:rFonts w:hint="eastAsia"/>
          <w:color w:val="000000" w:themeColor="text1"/>
          <w14:textFill>
            <w14:solidFill>
              <w14:schemeClr w14:val="tx1"/>
            </w14:solidFill>
          </w14:textFill>
        </w:rPr>
        <w:t>的水质指数，大于</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表明该水质因子超标；</w:t>
      </w:r>
    </w:p>
    <w:p w14:paraId="7B4D6C30">
      <w:pPr>
        <w:ind w:firstLine="1200" w:firstLineChars="500"/>
        <w:rPr>
          <w:color w:val="000000" w:themeColor="text1"/>
          <w14:textFill>
            <w14:solidFill>
              <w14:schemeClr w14:val="tx1"/>
            </w14:solidFill>
          </w14:textFill>
        </w:rPr>
      </w:pPr>
      <w:bookmarkStart w:id="518" w:name="hmcheck_1b86b1e4c40547d48eb18ebe6ac27c4a"/>
      <w:r>
        <w:rPr>
          <w:i/>
          <w:color w:val="000000" w:themeColor="text1"/>
          <w:shd w:val="clear" w:fill="FFAFAA"/>
          <w14:textFill>
            <w14:solidFill>
              <w14:schemeClr w14:val="tx1"/>
            </w14:solidFill>
          </w14:textFill>
        </w:rPr>
        <w:t>C</w:t>
      </w:r>
      <w:r>
        <w:rPr>
          <w:i/>
          <w:color w:val="000000" w:themeColor="text1"/>
          <w:shd w:val="clear" w:fill="FFAFAA"/>
          <w:vertAlign w:val="subscript"/>
          <w14:textFill>
            <w14:solidFill>
              <w14:schemeClr w14:val="tx1"/>
            </w14:solidFill>
          </w14:textFill>
        </w:rPr>
        <w:t>i</w:t>
      </w:r>
      <w:bookmarkEnd w:id="518"/>
      <w:r>
        <w:rPr>
          <w:i/>
          <w:color w:val="000000" w:themeColor="text1"/>
          <w:vertAlign w:val="subscript"/>
          <w14:textFill>
            <w14:solidFill>
              <w14:schemeClr w14:val="tx1"/>
            </w14:solidFill>
          </w14:textFill>
        </w:rPr>
        <w:t>，j</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评价因子</w:t>
      </w:r>
      <w:r>
        <w:rPr>
          <w:i/>
          <w:color w:val="000000" w:themeColor="text1"/>
          <w14:textFill>
            <w14:solidFill>
              <w14:schemeClr w14:val="tx1"/>
            </w14:solidFill>
          </w14:textFill>
        </w:rPr>
        <w:t>i</w:t>
      </w:r>
      <w:r>
        <w:rPr>
          <w:rFonts w:hint="eastAsia"/>
          <w:color w:val="000000" w:themeColor="text1"/>
          <w14:textFill>
            <w14:solidFill>
              <w14:schemeClr w14:val="tx1"/>
            </w14:solidFill>
          </w14:textFill>
        </w:rPr>
        <w:t>在</w:t>
      </w:r>
      <w:r>
        <w:rPr>
          <w:i/>
          <w:color w:val="000000" w:themeColor="text1"/>
          <w14:textFill>
            <w14:solidFill>
              <w14:schemeClr w14:val="tx1"/>
            </w14:solidFill>
          </w14:textFill>
        </w:rPr>
        <w:t>j</w:t>
      </w:r>
      <w:r>
        <w:rPr>
          <w:rFonts w:hint="eastAsia"/>
          <w:color w:val="000000" w:themeColor="text1"/>
          <w14:textFill>
            <w14:solidFill>
              <w14:schemeClr w14:val="tx1"/>
            </w14:solidFill>
          </w14:textFill>
        </w:rPr>
        <w:t>点的实测统计代表值，</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p w14:paraId="767FA18F">
      <w:pPr>
        <w:ind w:firstLine="1200" w:firstLineChars="500"/>
        <w:rPr>
          <w:color w:val="000000" w:themeColor="text1"/>
          <w14:textFill>
            <w14:solidFill>
              <w14:schemeClr w14:val="tx1"/>
            </w14:solidFill>
          </w14:textFill>
        </w:rPr>
      </w:pPr>
      <w:r>
        <w:rPr>
          <w:i/>
          <w:color w:val="000000" w:themeColor="text1"/>
          <w14:textFill>
            <w14:solidFill>
              <w14:schemeClr w14:val="tx1"/>
            </w14:solidFill>
          </w14:textFill>
        </w:rPr>
        <w:t>C</w:t>
      </w:r>
      <w:r>
        <w:rPr>
          <w:i/>
          <w:color w:val="000000" w:themeColor="text1"/>
          <w:vertAlign w:val="subscript"/>
          <w14:textFill>
            <w14:solidFill>
              <w14:schemeClr w14:val="tx1"/>
            </w14:solidFill>
          </w14:textFill>
        </w:rPr>
        <w:t>si</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为第</w:t>
      </w:r>
      <w:r>
        <w:rPr>
          <w:i/>
          <w:color w:val="000000" w:themeColor="text1"/>
          <w14:textFill>
            <w14:solidFill>
              <w14:schemeClr w14:val="tx1"/>
            </w14:solidFill>
          </w14:textFill>
        </w:rPr>
        <w:t>j</w:t>
      </w:r>
      <w:r>
        <w:rPr>
          <w:rFonts w:hint="eastAsia"/>
          <w:color w:val="000000" w:themeColor="text1"/>
          <w14:textFill>
            <w14:solidFill>
              <w14:schemeClr w14:val="tx1"/>
            </w14:solidFill>
          </w14:textFill>
        </w:rPr>
        <w:t>个断面第</w:t>
      </w:r>
      <w:r>
        <w:rPr>
          <w:i/>
          <w:color w:val="000000" w:themeColor="text1"/>
          <w14:textFill>
            <w14:solidFill>
              <w14:schemeClr w14:val="tx1"/>
            </w14:solidFill>
          </w14:textFill>
        </w:rPr>
        <w:t>i</w:t>
      </w:r>
      <w:r>
        <w:rPr>
          <w:rFonts w:hint="eastAsia"/>
          <w:color w:val="000000" w:themeColor="text1"/>
          <w14:textFill>
            <w14:solidFill>
              <w14:schemeClr w14:val="tx1"/>
            </w14:solidFill>
          </w14:textFill>
        </w:rPr>
        <w:t>种污染物的标准值（</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p w14:paraId="0233281E">
      <w:pPr>
        <w:pStyle w:val="13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②</w:t>
      </w:r>
      <w:r>
        <w:rPr>
          <w:rFonts w:hint="eastAsia"/>
          <w:color w:val="000000" w:themeColor="text1"/>
          <w14:textFill>
            <w14:solidFill>
              <w14:schemeClr w14:val="tx1"/>
            </w14:solidFill>
          </w14:textFill>
        </w:rPr>
        <w:t>溶解氧（</w:t>
      </w:r>
      <w:r>
        <w:rPr>
          <w:color w:val="000000" w:themeColor="text1"/>
          <w14:textFill>
            <w14:solidFill>
              <w14:schemeClr w14:val="tx1"/>
            </w14:solidFill>
          </w14:textFill>
        </w:rPr>
        <w:t>DO</w:t>
      </w:r>
      <w:r>
        <w:rPr>
          <w:rFonts w:hint="eastAsia"/>
          <w:color w:val="000000" w:themeColor="text1"/>
          <w14:textFill>
            <w14:solidFill>
              <w14:schemeClr w14:val="tx1"/>
            </w14:solidFill>
          </w14:textFill>
        </w:rPr>
        <w:t>）的标准指数计算公式：</w:t>
      </w:r>
    </w:p>
    <w:p w14:paraId="366F776C">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47" o:spt="75" type="#_x0000_t75" style="height:37.5pt;width:72pt;" o:ole="t" fillcolor="#000005" filled="f" o:preferrelative="t" stroked="f" coordsize="21600,21600">
            <v:path/>
            <v:fill on="f" focussize="0,0"/>
            <v:stroke on="f" joinstyle="miter"/>
            <v:imagedata r:id="rId117" o:title=""/>
            <o:lock v:ext="edit" aspectratio="t"/>
            <w10:wrap type="none"/>
            <w10:anchorlock/>
          </v:shape>
          <o:OLEObject Type="Embed" ProgID="Equation.3" ShapeID="_x0000_i1047" DrawAspect="Content" ObjectID="_1468075747" r:id="rId116">
            <o:LockedField>false</o:LockedField>
          </o:OLEObject>
        </w:object>
      </w:r>
      <w:bookmarkStart w:id="519" w:name="hmcheck_bca36b4690304952a6c09ad7bfec64c4"/>
      <w:r>
        <w:rPr>
          <w:i/>
          <w:color w:val="000000" w:themeColor="text1"/>
          <w:shd w:val="clear" w:fill="FFAFAA"/>
          <w14:textFill>
            <w14:solidFill>
              <w14:schemeClr w14:val="tx1"/>
            </w14:solidFill>
          </w14:textFill>
        </w:rPr>
        <w:t>DO</w:t>
      </w:r>
      <w:r>
        <w:rPr>
          <w:i/>
          <w:color w:val="000000" w:themeColor="text1"/>
          <w:shd w:val="clear" w:fill="FFAFAA"/>
          <w:vertAlign w:val="subscript"/>
          <w14:textFill>
            <w14:solidFill>
              <w14:schemeClr w14:val="tx1"/>
            </w14:solidFill>
          </w14:textFill>
        </w:rPr>
        <w:t>j</w:t>
      </w:r>
      <w:bookmarkEnd w:id="519"/>
      <w:bookmarkStart w:id="520" w:name="hmcheck_302e84c3e40046ee9b874fd2e25a5a6c"/>
      <w:r>
        <w:rPr>
          <w:rFonts w:hint="eastAsia"/>
          <w:color w:val="000000" w:themeColor="text1"/>
          <w:shd w:val="clear" w:fill="FFAFAA"/>
          <w14:textFill>
            <w14:solidFill>
              <w14:schemeClr w14:val="tx1"/>
            </w14:solidFill>
          </w14:textFill>
        </w:rPr>
        <w:t>＞</w:t>
      </w:r>
      <w:bookmarkEnd w:id="520"/>
      <w:bookmarkStart w:id="521" w:name="hmcheck_6a6f53f33f734e2da203b57d6f4ac1c2"/>
      <w:r>
        <w:rPr>
          <w:i/>
          <w:color w:val="000000" w:themeColor="text1"/>
          <w:shd w:val="clear" w:fill="FFAFAA"/>
          <w14:textFill>
            <w14:solidFill>
              <w14:schemeClr w14:val="tx1"/>
            </w14:solidFill>
          </w14:textFill>
        </w:rPr>
        <w:t>DO</w:t>
      </w:r>
      <w:r>
        <w:rPr>
          <w:i/>
          <w:color w:val="000000" w:themeColor="text1"/>
          <w:shd w:val="clear" w:fill="FFAFAA"/>
          <w:vertAlign w:val="subscript"/>
          <w14:textFill>
            <w14:solidFill>
              <w14:schemeClr w14:val="tx1"/>
            </w14:solidFill>
          </w14:textFill>
        </w:rPr>
        <w:t>f</w:t>
      </w:r>
      <w:bookmarkEnd w:id="521"/>
    </w:p>
    <w:p w14:paraId="6B4568FC">
      <w:pPr>
        <w:ind w:firstLine="480"/>
        <w:jc w:val="center"/>
        <w:rPr>
          <w:color w:val="000000" w:themeColor="text1"/>
          <w14:textFill>
            <w14:solidFill>
              <w14:schemeClr w14:val="tx1"/>
            </w14:solidFill>
          </w14:textFill>
        </w:rPr>
      </w:pPr>
      <w:r>
        <w:rPr>
          <w:color w:val="000000" w:themeColor="text1"/>
          <w:position w:val="-30"/>
          <w14:textFill>
            <w14:solidFill>
              <w14:schemeClr w14:val="tx1"/>
            </w14:solidFill>
          </w14:textFill>
        </w:rPr>
        <w:object>
          <v:shape id="_x0000_i1048" o:spt="75" type="#_x0000_t75" style="height:27.75pt;width:49.5pt;" o:ole="t" fillcolor="#000005" filled="f" o:preferrelative="t" stroked="f" coordsize="21600,21600">
            <v:path/>
            <v:fill on="f" focussize="0,0"/>
            <v:stroke on="f" joinstyle="miter"/>
            <v:imagedata r:id="rId119" o:title=""/>
            <o:lock v:ext="edit" aspectratio="t"/>
            <w10:wrap type="none"/>
            <w10:anchorlock/>
          </v:shape>
          <o:OLEObject Type="Embed" ProgID="Equation.3" ShapeID="_x0000_i1048" DrawAspect="Content" ObjectID="_1468075748" r:id="rId118">
            <o:LockedField>false</o:LockedField>
          </o:OLEObject>
        </w:object>
      </w:r>
      <w:bookmarkStart w:id="522" w:name="hmcheck_fe7ee230ed934b16b3b34776e343d287"/>
      <w:r>
        <w:rPr>
          <w:i/>
          <w:color w:val="000000" w:themeColor="text1"/>
          <w:shd w:val="clear" w:fill="FFAFAA"/>
          <w14:textFill>
            <w14:solidFill>
              <w14:schemeClr w14:val="tx1"/>
            </w14:solidFill>
          </w14:textFill>
        </w:rPr>
        <w:t>DO</w:t>
      </w:r>
      <w:r>
        <w:rPr>
          <w:i/>
          <w:color w:val="000000" w:themeColor="text1"/>
          <w:shd w:val="clear" w:fill="FFAFAA"/>
          <w:vertAlign w:val="subscript"/>
          <w14:textFill>
            <w14:solidFill>
              <w14:schemeClr w14:val="tx1"/>
            </w14:solidFill>
          </w14:textFill>
        </w:rPr>
        <w:t>j</w:t>
      </w:r>
      <w:bookmarkEnd w:id="522"/>
      <w:r>
        <w:rPr>
          <w:rFonts w:hint="eastAsia"/>
          <w:color w:val="000000" w:themeColor="text1"/>
          <w14:textFill>
            <w14:solidFill>
              <w14:schemeClr w14:val="tx1"/>
            </w14:solidFill>
          </w14:textFill>
        </w:rPr>
        <w:t>≤</w:t>
      </w:r>
      <w:bookmarkStart w:id="523" w:name="hmcheck_d89d983f91c547a0a543c4e390ce8e17"/>
      <w:r>
        <w:rPr>
          <w:i/>
          <w:color w:val="000000" w:themeColor="text1"/>
          <w:shd w:val="clear" w:fill="FFAFAA"/>
          <w14:textFill>
            <w14:solidFill>
              <w14:schemeClr w14:val="tx1"/>
            </w14:solidFill>
          </w14:textFill>
        </w:rPr>
        <w:t>DO</w:t>
      </w:r>
      <w:r>
        <w:rPr>
          <w:i/>
          <w:color w:val="000000" w:themeColor="text1"/>
          <w:shd w:val="clear" w:fill="FFAFAA"/>
          <w:vertAlign w:val="subscript"/>
          <w14:textFill>
            <w14:solidFill>
              <w14:schemeClr w14:val="tx1"/>
            </w14:solidFill>
          </w14:textFill>
        </w:rPr>
        <w:t>f</w:t>
      </w:r>
      <w:bookmarkEnd w:id="523"/>
    </w:p>
    <w:p w14:paraId="44BC9BEF">
      <w:pPr>
        <w:pStyle w:val="13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i/>
          <w:color w:val="000000" w:themeColor="text1"/>
          <w14:textFill>
            <w14:solidFill>
              <w14:schemeClr w14:val="tx1"/>
            </w14:solidFill>
          </w14:textFill>
        </w:rPr>
        <w:t>S</w:t>
      </w:r>
      <w:r>
        <w:rPr>
          <w:i/>
          <w:color w:val="000000" w:themeColor="text1"/>
          <w:vertAlign w:val="subscript"/>
          <w14:textFill>
            <w14:solidFill>
              <w14:schemeClr w14:val="tx1"/>
            </w14:solidFill>
          </w14:textFill>
        </w:rPr>
        <w:t>DO</w:t>
      </w:r>
      <w:r>
        <w:rPr>
          <w:color w:val="000000" w:themeColor="text1"/>
          <w:vertAlign w:val="subscript"/>
          <w14:textFill>
            <w14:solidFill>
              <w14:schemeClr w14:val="tx1"/>
            </w14:solidFill>
          </w14:textFill>
        </w:rPr>
        <w:t>，</w:t>
      </w:r>
      <w:r>
        <w:rPr>
          <w:i/>
          <w:color w:val="000000" w:themeColor="text1"/>
          <w:vertAlign w:val="subscript"/>
          <w14:textFill>
            <w14:solidFill>
              <w14:schemeClr w14:val="tx1"/>
            </w14:solidFill>
          </w14:textFill>
        </w:rPr>
        <w:t>j</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溶解氧的标准指数，大于</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表明该水质因子超标；</w:t>
      </w:r>
    </w:p>
    <w:p w14:paraId="40F4B92F">
      <w:pPr>
        <w:pStyle w:val="130"/>
        <w:ind w:firstLine="1200" w:firstLineChars="500"/>
        <w:rPr>
          <w:color w:val="000000" w:themeColor="text1"/>
          <w14:textFill>
            <w14:solidFill>
              <w14:schemeClr w14:val="tx1"/>
            </w14:solidFill>
          </w14:textFill>
        </w:rPr>
      </w:pPr>
      <w:bookmarkStart w:id="524" w:name="hmcheck_86d9902a7b94409182a7c1905750845f"/>
      <w:r>
        <w:rPr>
          <w:i/>
          <w:color w:val="000000" w:themeColor="text1"/>
          <w:shd w:val="clear" w:fill="FFAFAA"/>
          <w14:textFill>
            <w14:solidFill>
              <w14:schemeClr w14:val="tx1"/>
            </w14:solidFill>
          </w14:textFill>
        </w:rPr>
        <w:t>DO</w:t>
      </w:r>
      <w:r>
        <w:rPr>
          <w:i/>
          <w:color w:val="000000" w:themeColor="text1"/>
          <w:shd w:val="clear" w:fill="FFAFAA"/>
          <w:vertAlign w:val="subscript"/>
          <w14:textFill>
            <w14:solidFill>
              <w14:schemeClr w14:val="tx1"/>
            </w14:solidFill>
          </w14:textFill>
        </w:rPr>
        <w:t>j</w:t>
      </w:r>
      <w:bookmarkEnd w:id="524"/>
      <w:r>
        <w:rPr>
          <w:color w:val="000000" w:themeColor="text1"/>
          <w14:textFill>
            <w14:solidFill>
              <w14:schemeClr w14:val="tx1"/>
            </w14:solidFill>
          </w14:textFill>
        </w:rPr>
        <w:t>——</w:t>
      </w:r>
      <w:r>
        <w:rPr>
          <w:rFonts w:hint="eastAsia"/>
          <w:color w:val="000000" w:themeColor="text1"/>
          <w14:textFill>
            <w14:solidFill>
              <w14:schemeClr w14:val="tx1"/>
            </w14:solidFill>
          </w14:textFill>
        </w:rPr>
        <w:t>溶解氧在</w:t>
      </w:r>
      <w:r>
        <w:rPr>
          <w:i/>
          <w:color w:val="000000" w:themeColor="text1"/>
          <w14:textFill>
            <w14:solidFill>
              <w14:schemeClr w14:val="tx1"/>
            </w14:solidFill>
          </w14:textFill>
        </w:rPr>
        <w:t>j</w:t>
      </w:r>
      <w:r>
        <w:rPr>
          <w:rFonts w:hint="eastAsia"/>
          <w:color w:val="000000" w:themeColor="text1"/>
          <w14:textFill>
            <w14:solidFill>
              <w14:schemeClr w14:val="tx1"/>
            </w14:solidFill>
          </w14:textFill>
        </w:rPr>
        <w:t>点的实测统计代表值，</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p w14:paraId="0537AE9C">
      <w:pPr>
        <w:pStyle w:val="130"/>
        <w:ind w:firstLine="1200" w:firstLineChars="500"/>
        <w:rPr>
          <w:color w:val="000000" w:themeColor="text1"/>
          <w14:textFill>
            <w14:solidFill>
              <w14:schemeClr w14:val="tx1"/>
            </w14:solidFill>
          </w14:textFill>
        </w:rPr>
      </w:pPr>
      <w:r>
        <w:rPr>
          <w:i/>
          <w:color w:val="000000" w:themeColor="text1"/>
          <w14:textFill>
            <w14:solidFill>
              <w14:schemeClr w14:val="tx1"/>
            </w14:solidFill>
          </w14:textFill>
        </w:rPr>
        <w:t>DO</w:t>
      </w:r>
      <w:r>
        <w:rPr>
          <w:i/>
          <w:color w:val="000000" w:themeColor="text1"/>
          <w:vertAlign w:val="subscript"/>
          <w14:textFill>
            <w14:solidFill>
              <w14:schemeClr w14:val="tx1"/>
            </w14:solidFill>
          </w14:textFill>
        </w:rPr>
        <w:t>s</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溶解氧的水质评价标准限值，</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p w14:paraId="09C8AA5B">
      <w:pPr>
        <w:pStyle w:val="130"/>
        <w:ind w:firstLine="1200" w:firstLineChars="500"/>
        <w:rPr>
          <w:color w:val="000000" w:themeColor="text1"/>
          <w14:textFill>
            <w14:solidFill>
              <w14:schemeClr w14:val="tx1"/>
            </w14:solidFill>
          </w14:textFill>
        </w:rPr>
      </w:pPr>
      <w:bookmarkStart w:id="525" w:name="hmcheck_aa781f94e9244450a84ac81c169b571a"/>
      <w:r>
        <w:rPr>
          <w:i/>
          <w:color w:val="000000" w:themeColor="text1"/>
          <w:shd w:val="clear" w:fill="FFAFAA"/>
          <w14:textFill>
            <w14:solidFill>
              <w14:schemeClr w14:val="tx1"/>
            </w14:solidFill>
          </w14:textFill>
        </w:rPr>
        <w:t>DO</w:t>
      </w:r>
      <w:r>
        <w:rPr>
          <w:i/>
          <w:color w:val="000000" w:themeColor="text1"/>
          <w:shd w:val="clear" w:fill="FFAFAA"/>
          <w:vertAlign w:val="subscript"/>
          <w14:textFill>
            <w14:solidFill>
              <w14:schemeClr w14:val="tx1"/>
            </w14:solidFill>
          </w14:textFill>
        </w:rPr>
        <w:t>f</w:t>
      </w:r>
      <w:bookmarkEnd w:id="525"/>
      <w:r>
        <w:rPr>
          <w:color w:val="000000" w:themeColor="text1"/>
          <w14:textFill>
            <w14:solidFill>
              <w14:schemeClr w14:val="tx1"/>
            </w14:solidFill>
          </w14:textFill>
        </w:rPr>
        <w:t>——</w:t>
      </w:r>
      <w:r>
        <w:rPr>
          <w:rFonts w:hint="eastAsia"/>
          <w:color w:val="000000" w:themeColor="text1"/>
          <w14:textFill>
            <w14:solidFill>
              <w14:schemeClr w14:val="tx1"/>
            </w14:solidFill>
          </w14:textFill>
        </w:rPr>
        <w:t>饱和溶解氧浓度，</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，对于河流，</w:t>
      </w:r>
      <w:bookmarkStart w:id="526" w:name="hmcheck_f937cb88576848c09d19098dfbdea9d4"/>
      <w:r>
        <w:rPr>
          <w:i/>
          <w:color w:val="000000" w:themeColor="text1"/>
          <w:shd w:val="clear" w:fill="FFAFAA"/>
          <w14:textFill>
            <w14:solidFill>
              <w14:schemeClr w14:val="tx1"/>
            </w14:solidFill>
          </w14:textFill>
        </w:rPr>
        <w:t>DO</w:t>
      </w:r>
      <w:r>
        <w:rPr>
          <w:i/>
          <w:color w:val="000000" w:themeColor="text1"/>
          <w:shd w:val="clear" w:fill="FFAFAA"/>
          <w:vertAlign w:val="subscript"/>
          <w14:textFill>
            <w14:solidFill>
              <w14:schemeClr w14:val="tx1"/>
            </w14:solidFill>
          </w14:textFill>
        </w:rPr>
        <w:t>f</w:t>
      </w:r>
      <w:bookmarkEnd w:id="526"/>
      <w:r>
        <w:rPr>
          <w:i/>
          <w:color w:val="000000" w:themeColor="text1"/>
          <w:vertAlign w:val="superscript"/>
          <w14:textFill>
            <w14:solidFill>
              <w14:schemeClr w14:val="tx1"/>
            </w14:solidFill>
          </w14:textFill>
        </w:rPr>
        <w:t>=</w:t>
      </w:r>
      <w:r>
        <w:rPr>
          <w:color w:val="000000" w:themeColor="text1"/>
          <w14:textFill>
            <w14:solidFill>
              <w14:schemeClr w14:val="tx1"/>
            </w14:solidFill>
          </w14:textFill>
        </w:rPr>
        <w:t>468/</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31.6+</w:t>
      </w:r>
      <w:r>
        <w:rPr>
          <w:i/>
          <w:color w:val="000000" w:themeColor="text1"/>
          <w14:textFill>
            <w14:solidFill>
              <w14:schemeClr w14:val="tx1"/>
            </w14:solidFill>
          </w14:textFill>
        </w:rPr>
        <w:t>T</w:t>
      </w:r>
      <w:r>
        <w:rPr>
          <w:rFonts w:hint="eastAsia"/>
          <w:color w:val="000000" w:themeColor="text1"/>
          <w14:textFill>
            <w14:solidFill>
              <w14:schemeClr w14:val="tx1"/>
            </w14:solidFill>
          </w14:textFill>
        </w:rPr>
        <w:t>）。</w:t>
      </w:r>
    </w:p>
    <w:p w14:paraId="689C71E2">
      <w:pPr>
        <w:pStyle w:val="130"/>
        <w:rPr>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③</w:t>
      </w:r>
      <w:r>
        <w:rPr>
          <w:color w:val="000000" w:themeColor="text1"/>
          <w14:textFill>
            <w14:solidFill>
              <w14:schemeClr w14:val="tx1"/>
            </w14:solidFill>
          </w14:textFill>
        </w:rPr>
        <w:t>pH</w:t>
      </w:r>
      <w:r>
        <w:rPr>
          <w:rFonts w:hint="eastAsia"/>
          <w:color w:val="000000" w:themeColor="text1"/>
          <w14:textFill>
            <w14:solidFill>
              <w14:schemeClr w14:val="tx1"/>
            </w14:solidFill>
          </w14:textFill>
        </w:rPr>
        <w:t>值的指数计算公式：</w:t>
      </w:r>
    </w:p>
    <w:p w14:paraId="00216686">
      <w:pPr>
        <w:ind w:firstLine="480"/>
        <w:jc w:val="center"/>
        <w:rPr>
          <w:color w:val="000000" w:themeColor="text1"/>
          <w14:textFill>
            <w14:solidFill>
              <w14:schemeClr w14:val="tx1"/>
            </w14:solidFill>
          </w14:textFill>
        </w:rPr>
      </w:pPr>
      <w:r>
        <w:rPr>
          <w:color w:val="000000" w:themeColor="text1"/>
          <w:position w:val="-61"/>
          <w14:textFill>
            <w14:solidFill>
              <w14:schemeClr w14:val="tx1"/>
            </w14:solidFill>
          </w14:textFill>
        </w:rPr>
        <w:object>
          <v:shape id="_x0000_i1049" o:spt="75" type="#_x0000_t75" style="height:64.5pt;width:136.5pt;" o:ole="t" fillcolor="#000005" filled="f" o:preferrelative="t" stroked="f" coordsize="21600,21600">
            <v:path/>
            <v:fill on="f" focussize="0,0"/>
            <v:stroke on="f" joinstyle="miter"/>
            <v:imagedata r:id="rId121" o:title=""/>
            <o:lock v:ext="edit" aspectratio="t"/>
            <w10:wrap type="none"/>
            <w10:anchorlock/>
          </v:shape>
          <o:OLEObject Type="Embed" ProgID="Equation" ShapeID="_x0000_i1049" DrawAspect="Content" ObjectID="_1468075749" r:id="rId120">
            <o:LockedField>false</o:LockedField>
          </o:OLEObject>
        </w:object>
      </w:r>
    </w:p>
    <w:p w14:paraId="56DBAFBB">
      <w:pPr>
        <w:pStyle w:val="13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r>
        <w:rPr>
          <w:i/>
          <w:color w:val="000000" w:themeColor="text1"/>
          <w14:textFill>
            <w14:solidFill>
              <w14:schemeClr w14:val="tx1"/>
            </w14:solidFill>
          </w14:textFill>
        </w:rPr>
        <w:t>S</w:t>
      </w:r>
      <w:r>
        <w:rPr>
          <w:i/>
          <w:color w:val="000000" w:themeColor="text1"/>
          <w:vertAlign w:val="subscript"/>
          <w14:textFill>
            <w14:solidFill>
              <w14:schemeClr w14:val="tx1"/>
            </w14:solidFill>
          </w14:textFill>
        </w:rPr>
        <w:t>pH，j</w:t>
      </w:r>
      <w:r>
        <w:rPr>
          <w:color w:val="000000" w:themeColor="text1"/>
          <w14:textFill>
            <w14:solidFill>
              <w14:schemeClr w14:val="tx1"/>
            </w14:solidFill>
          </w14:textFill>
        </w:rPr>
        <w:t>——pH</w:t>
      </w:r>
      <w:r>
        <w:rPr>
          <w:rFonts w:hint="eastAsia"/>
          <w:color w:val="000000" w:themeColor="text1"/>
          <w14:textFill>
            <w14:solidFill>
              <w14:schemeClr w14:val="tx1"/>
            </w14:solidFill>
          </w14:textFill>
        </w:rPr>
        <w:t>值的指数，大于</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表明该水质因子超标；</w:t>
      </w:r>
    </w:p>
    <w:p w14:paraId="14DCC539">
      <w:pPr>
        <w:pStyle w:val="130"/>
        <w:ind w:firstLine="1200" w:firstLineChars="500"/>
        <w:rPr>
          <w:color w:val="000000" w:themeColor="text1"/>
          <w14:textFill>
            <w14:solidFill>
              <w14:schemeClr w14:val="tx1"/>
            </w14:solidFill>
          </w14:textFill>
        </w:rPr>
      </w:pPr>
      <w:bookmarkStart w:id="527" w:name="hmcheck_8321d2db2952413abf4f733052d266b3"/>
      <w:r>
        <w:rPr>
          <w:color w:val="000000" w:themeColor="text1"/>
          <w:shd w:val="clear" w:fill="FFAFAA"/>
          <w14:textFill>
            <w14:solidFill>
              <w14:schemeClr w14:val="tx1"/>
            </w14:solidFill>
          </w14:textFill>
        </w:rPr>
        <w:t>pH</w:t>
      </w:r>
      <w:r>
        <w:rPr>
          <w:i/>
          <w:color w:val="000000" w:themeColor="text1"/>
          <w:shd w:val="clear" w:fill="FFAFAA"/>
          <w:vertAlign w:val="subscript"/>
          <w14:textFill>
            <w14:solidFill>
              <w14:schemeClr w14:val="tx1"/>
            </w14:solidFill>
          </w14:textFill>
        </w:rPr>
        <w:t>j</w:t>
      </w:r>
      <w:bookmarkEnd w:id="527"/>
      <w:r>
        <w:rPr>
          <w:color w:val="000000" w:themeColor="text1"/>
          <w14:textFill>
            <w14:solidFill>
              <w14:schemeClr w14:val="tx1"/>
            </w14:solidFill>
          </w14:textFill>
        </w:rPr>
        <w:t>——pH</w:t>
      </w:r>
      <w:r>
        <w:rPr>
          <w:rFonts w:hint="eastAsia"/>
          <w:color w:val="000000" w:themeColor="text1"/>
          <w14:textFill>
            <w14:solidFill>
              <w14:schemeClr w14:val="tx1"/>
            </w14:solidFill>
          </w14:textFill>
        </w:rPr>
        <w:t>值实测统计代表值；</w:t>
      </w:r>
    </w:p>
    <w:p w14:paraId="16B118C0">
      <w:pPr>
        <w:pStyle w:val="130"/>
        <w:ind w:firstLine="1200" w:firstLineChars="500"/>
        <w:rPr>
          <w:color w:val="000000" w:themeColor="text1"/>
          <w14:textFill>
            <w14:solidFill>
              <w14:schemeClr w14:val="tx1"/>
            </w14:solidFill>
          </w14:textFill>
        </w:rPr>
      </w:pPr>
      <w:bookmarkStart w:id="528" w:name="hmcheck_16c299ba0c44454a80608d47de0256b5"/>
      <w:r>
        <w:rPr>
          <w:color w:val="000000" w:themeColor="text1"/>
          <w:shd w:val="clear" w:fill="FFAFAA"/>
          <w14:textFill>
            <w14:solidFill>
              <w14:schemeClr w14:val="tx1"/>
            </w14:solidFill>
          </w14:textFill>
        </w:rPr>
        <w:t>pH</w:t>
      </w:r>
      <w:r>
        <w:rPr>
          <w:i/>
          <w:color w:val="000000" w:themeColor="text1"/>
          <w:shd w:val="clear" w:fill="FFAFAA"/>
          <w:vertAlign w:val="subscript"/>
          <w14:textFill>
            <w14:solidFill>
              <w14:schemeClr w14:val="tx1"/>
            </w14:solidFill>
          </w14:textFill>
        </w:rPr>
        <w:t>sd</w:t>
      </w:r>
      <w:bookmarkEnd w:id="528"/>
      <w:r>
        <w:rPr>
          <w:color w:val="000000" w:themeColor="text1"/>
          <w14:textFill>
            <w14:solidFill>
              <w14:schemeClr w14:val="tx1"/>
            </w14:solidFill>
          </w14:textFill>
        </w:rPr>
        <w:t>——</w:t>
      </w:r>
      <w:r>
        <w:rPr>
          <w:rFonts w:hint="eastAsia"/>
          <w:color w:val="000000" w:themeColor="text1"/>
          <w14:textFill>
            <w14:solidFill>
              <w14:schemeClr w14:val="tx1"/>
            </w14:solidFill>
          </w14:textFill>
        </w:rPr>
        <w:t>评价标准中</w:t>
      </w:r>
      <w:r>
        <w:rPr>
          <w:color w:val="000000" w:themeColor="text1"/>
          <w14:textFill>
            <w14:solidFill>
              <w14:schemeClr w14:val="tx1"/>
            </w14:solidFill>
          </w14:textFill>
        </w:rPr>
        <w:t>pH</w:t>
      </w:r>
      <w:r>
        <w:rPr>
          <w:rFonts w:hint="eastAsia"/>
          <w:color w:val="000000" w:themeColor="text1"/>
          <w14:textFill>
            <w14:solidFill>
              <w14:schemeClr w14:val="tx1"/>
            </w14:solidFill>
          </w14:textFill>
        </w:rPr>
        <w:t>值的下限值；</w:t>
      </w:r>
    </w:p>
    <w:p w14:paraId="0F39E9FE">
      <w:pPr>
        <w:pStyle w:val="130"/>
        <w:ind w:firstLine="1200" w:firstLineChars="500"/>
        <w:rPr>
          <w:color w:val="000000" w:themeColor="text1"/>
          <w14:textFill>
            <w14:solidFill>
              <w14:schemeClr w14:val="tx1"/>
            </w14:solidFill>
          </w14:textFill>
        </w:rPr>
      </w:pPr>
      <w:bookmarkStart w:id="529" w:name="hmcheck_c190e2e63d6845f08f472aec91c3ef77"/>
      <w:r>
        <w:rPr>
          <w:color w:val="000000" w:themeColor="text1"/>
          <w:shd w:val="clear" w:fill="FFAFAA"/>
          <w14:textFill>
            <w14:solidFill>
              <w14:schemeClr w14:val="tx1"/>
            </w14:solidFill>
          </w14:textFill>
        </w:rPr>
        <w:t>pH</w:t>
      </w:r>
      <w:r>
        <w:rPr>
          <w:i/>
          <w:color w:val="000000" w:themeColor="text1"/>
          <w:shd w:val="clear" w:fill="FFAFAA"/>
          <w:vertAlign w:val="subscript"/>
          <w14:textFill>
            <w14:solidFill>
              <w14:schemeClr w14:val="tx1"/>
            </w14:solidFill>
          </w14:textFill>
        </w:rPr>
        <w:t>su</w:t>
      </w:r>
      <w:bookmarkEnd w:id="529"/>
      <w:r>
        <w:rPr>
          <w:color w:val="000000" w:themeColor="text1"/>
          <w14:textFill>
            <w14:solidFill>
              <w14:schemeClr w14:val="tx1"/>
            </w14:solidFill>
          </w14:textFill>
        </w:rPr>
        <w:t>——</w:t>
      </w:r>
      <w:r>
        <w:rPr>
          <w:rFonts w:hint="eastAsia"/>
          <w:color w:val="000000" w:themeColor="text1"/>
          <w14:textFill>
            <w14:solidFill>
              <w14:schemeClr w14:val="tx1"/>
            </w14:solidFill>
          </w14:textFill>
        </w:rPr>
        <w:t>评价标准中</w:t>
      </w:r>
      <w:r>
        <w:rPr>
          <w:color w:val="000000" w:themeColor="text1"/>
          <w14:textFill>
            <w14:solidFill>
              <w14:schemeClr w14:val="tx1"/>
            </w14:solidFill>
          </w14:textFill>
        </w:rPr>
        <w:t>pH</w:t>
      </w:r>
      <w:r>
        <w:rPr>
          <w:rFonts w:hint="eastAsia"/>
          <w:color w:val="000000" w:themeColor="text1"/>
          <w14:textFill>
            <w14:solidFill>
              <w14:schemeClr w14:val="tx1"/>
            </w14:solidFill>
          </w14:textFill>
        </w:rPr>
        <w:t>值的上限值。</w:t>
      </w:r>
    </w:p>
    <w:p w14:paraId="6BA40B99">
      <w:pPr>
        <w:pStyle w:val="13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）监测结果与评价</w:t>
      </w:r>
    </w:p>
    <w:p w14:paraId="625D1930">
      <w:pPr>
        <w:pStyle w:val="130"/>
        <w:rPr>
          <w:color w:val="000000" w:themeColor="text1"/>
          <w14:textFill>
            <w14:solidFill>
              <w14:schemeClr w14:val="tx1"/>
            </w14:solidFill>
          </w14:textFill>
        </w:rPr>
      </w:pPr>
      <w:r>
        <w:rPr>
          <w:rFonts w:hint="eastAsia"/>
          <w:color w:val="000000" w:themeColor="text1"/>
          <w14:textFill>
            <w14:solidFill>
              <w14:schemeClr w14:val="tx1"/>
            </w14:solidFill>
          </w14:textFill>
        </w:rPr>
        <w:t>各监测断面水质监测结果和评价结果见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_Ref147910434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表4.2-4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496968E0">
      <w:pPr>
        <w:pStyle w:val="130"/>
        <w:rPr>
          <w:color w:val="000000" w:themeColor="text1"/>
          <w14:textFill>
            <w14:solidFill>
              <w14:schemeClr w14:val="tx1"/>
            </w14:solidFill>
          </w14:textFill>
        </w:rPr>
      </w:pPr>
    </w:p>
    <w:p w14:paraId="15573435">
      <w:pPr>
        <w:pStyle w:val="130"/>
        <w:rPr>
          <w:color w:val="000000" w:themeColor="text1"/>
          <w14:textFill>
            <w14:solidFill>
              <w14:schemeClr w14:val="tx1"/>
            </w14:solidFill>
          </w14:textFill>
        </w:rPr>
      </w:pPr>
    </w:p>
    <w:p w14:paraId="530AB773">
      <w:pPr>
        <w:pStyle w:val="87"/>
        <w:spacing w:before="163"/>
        <w:ind w:firstLine="360"/>
        <w:rPr>
          <w:color w:val="000000" w:themeColor="text1"/>
          <w14:textFill>
            <w14:solidFill>
              <w14:schemeClr w14:val="tx1"/>
            </w14:solidFill>
          </w14:textFill>
        </w:rPr>
      </w:pPr>
      <w:bookmarkStart w:id="530" w:name="_Ref491184037"/>
      <w:bookmarkStart w:id="531" w:name="_Ref147910434"/>
      <w:r>
        <w:rPr>
          <w:rFonts w:hint="eastAsia"/>
          <w:color w:val="000000" w:themeColor="text1"/>
          <w14:textFill>
            <w14:solidFill>
              <w14:schemeClr w14:val="tx1"/>
            </w14:solidFill>
          </w14:textFill>
        </w:rPr>
        <w:t>地表水检测结果</w:t>
      </w:r>
      <w:bookmarkEnd w:id="530"/>
      <w:r>
        <w:rPr>
          <w:rFonts w:hint="eastAsia"/>
          <w:color w:val="000000" w:themeColor="text1"/>
          <w14:textFill>
            <w14:solidFill>
              <w14:schemeClr w14:val="tx1"/>
            </w14:solidFill>
          </w14:textFill>
        </w:rPr>
        <w:t>及评价结果</w:t>
      </w:r>
      <w:bookmarkEnd w:id="531"/>
    </w:p>
    <w:tbl>
      <w:tblPr>
        <w:tblStyle w:val="245"/>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93"/>
        <w:gridCol w:w="2221"/>
        <w:gridCol w:w="1675"/>
        <w:gridCol w:w="1887"/>
        <w:gridCol w:w="1488"/>
        <w:gridCol w:w="1122"/>
      </w:tblGrid>
      <w:tr w14:paraId="515075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blHeader/>
          <w:jc w:val="center"/>
        </w:trPr>
        <w:tc>
          <w:tcPr>
            <w:tcW w:w="481" w:type="pct"/>
            <w:vMerge w:val="restart"/>
            <w:vAlign w:val="center"/>
          </w:tcPr>
          <w:p w14:paraId="58A3BD90">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采样</w:t>
            </w:r>
          </w:p>
          <w:p w14:paraId="25D9F007">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日期</w:t>
            </w:r>
          </w:p>
        </w:tc>
        <w:tc>
          <w:tcPr>
            <w:tcW w:w="1196" w:type="pct"/>
            <w:vMerge w:val="restart"/>
            <w:vAlign w:val="center"/>
          </w:tcPr>
          <w:p w14:paraId="7BE02CF6">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检测项目</w:t>
            </w:r>
          </w:p>
        </w:tc>
        <w:tc>
          <w:tcPr>
            <w:tcW w:w="1918" w:type="pct"/>
            <w:gridSpan w:val="2"/>
            <w:vAlign w:val="center"/>
          </w:tcPr>
          <w:p w14:paraId="404A99A5">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采样点位、检测结果（</w:t>
            </w:r>
            <w:r>
              <w:rPr>
                <w:color w:val="000000" w:themeColor="text1"/>
                <w14:textFill>
                  <w14:solidFill>
                    <w14:schemeClr w14:val="tx1"/>
                  </w14:solidFill>
                </w14:textFill>
              </w:rPr>
              <w:t>mg/L</w:t>
            </w:r>
            <w:r>
              <w:rPr>
                <w:rFonts w:hint="eastAsia"/>
                <w:color w:val="000000" w:themeColor="text1"/>
                <w14:textFill>
                  <w14:solidFill>
                    <w14:schemeClr w14:val="tx1"/>
                  </w14:solidFill>
                </w14:textFill>
              </w:rPr>
              <w:t>）</w:t>
            </w:r>
          </w:p>
        </w:tc>
        <w:tc>
          <w:tcPr>
            <w:tcW w:w="1405" w:type="pct"/>
            <w:gridSpan w:val="2"/>
            <w:vAlign w:val="center"/>
          </w:tcPr>
          <w:p w14:paraId="7A222D93">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水质评价结果Si</w:t>
            </w:r>
          </w:p>
        </w:tc>
      </w:tr>
      <w:tr w14:paraId="3CBA7D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tblHeader/>
          <w:jc w:val="center"/>
        </w:trPr>
        <w:tc>
          <w:tcPr>
            <w:tcW w:w="481" w:type="pct"/>
            <w:vMerge w:val="continue"/>
            <w:vAlign w:val="center"/>
          </w:tcPr>
          <w:p w14:paraId="5BE24917">
            <w:pPr>
              <w:pStyle w:val="105"/>
              <w:spacing w:before="0" w:after="0"/>
              <w:jc w:val="center"/>
              <w:rPr>
                <w:color w:val="000000" w:themeColor="text1"/>
                <w14:textFill>
                  <w14:solidFill>
                    <w14:schemeClr w14:val="tx1"/>
                  </w14:solidFill>
                </w14:textFill>
              </w:rPr>
            </w:pPr>
          </w:p>
        </w:tc>
        <w:tc>
          <w:tcPr>
            <w:tcW w:w="1196" w:type="pct"/>
            <w:vMerge w:val="continue"/>
            <w:vAlign w:val="center"/>
          </w:tcPr>
          <w:p w14:paraId="2E2B2758">
            <w:pPr>
              <w:pStyle w:val="105"/>
              <w:spacing w:before="0" w:after="0"/>
              <w:jc w:val="center"/>
              <w:rPr>
                <w:color w:val="000000" w:themeColor="text1"/>
                <w14:textFill>
                  <w14:solidFill>
                    <w14:schemeClr w14:val="tx1"/>
                  </w14:solidFill>
                </w14:textFill>
              </w:rPr>
            </w:pPr>
          </w:p>
        </w:tc>
        <w:tc>
          <w:tcPr>
            <w:tcW w:w="902" w:type="pct"/>
            <w:vAlign w:val="center"/>
          </w:tcPr>
          <w:p w14:paraId="1A893C9A">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W</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w:t>
            </w:r>
          </w:p>
        </w:tc>
        <w:tc>
          <w:tcPr>
            <w:tcW w:w="1016" w:type="pct"/>
            <w:vAlign w:val="center"/>
          </w:tcPr>
          <w:p w14:paraId="3F72D166">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W2</w:t>
            </w:r>
          </w:p>
        </w:tc>
        <w:tc>
          <w:tcPr>
            <w:tcW w:w="801" w:type="pct"/>
            <w:vAlign w:val="center"/>
          </w:tcPr>
          <w:p w14:paraId="6260D107">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W</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 xml:space="preserve"> </w:t>
            </w:r>
          </w:p>
        </w:tc>
        <w:tc>
          <w:tcPr>
            <w:tcW w:w="604" w:type="pct"/>
            <w:vAlign w:val="center"/>
          </w:tcPr>
          <w:p w14:paraId="1425B23E">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W2</w:t>
            </w:r>
          </w:p>
        </w:tc>
      </w:tr>
      <w:tr w14:paraId="0ACD23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restart"/>
            <w:vAlign w:val="center"/>
          </w:tcPr>
          <w:p w14:paraId="1CA4E16F">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2月</w:t>
            </w:r>
          </w:p>
          <w:p w14:paraId="6BB77A1F">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26日</w:t>
            </w:r>
          </w:p>
        </w:tc>
        <w:tc>
          <w:tcPr>
            <w:tcW w:w="1196" w:type="pct"/>
            <w:vAlign w:val="center"/>
          </w:tcPr>
          <w:p w14:paraId="1C0AF9E0">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水温</w:t>
            </w:r>
          </w:p>
        </w:tc>
        <w:tc>
          <w:tcPr>
            <w:tcW w:w="902" w:type="pct"/>
            <w:vAlign w:val="center"/>
          </w:tcPr>
          <w:p w14:paraId="09523818">
            <w:pPr>
              <w:pStyle w:val="105"/>
              <w:spacing w:before="0" w:after="0"/>
              <w:jc w:val="center"/>
              <w:rPr>
                <w:color w:val="000000" w:themeColor="text1"/>
                <w14:textFill>
                  <w14:solidFill>
                    <w14:schemeClr w14:val="tx1"/>
                  </w14:solidFill>
                </w14:textFill>
              </w:rPr>
            </w:pPr>
          </w:p>
        </w:tc>
        <w:tc>
          <w:tcPr>
            <w:tcW w:w="1016" w:type="pct"/>
            <w:vAlign w:val="center"/>
          </w:tcPr>
          <w:p w14:paraId="6B3BCFB8">
            <w:pPr>
              <w:pStyle w:val="105"/>
              <w:spacing w:before="0" w:after="0"/>
              <w:jc w:val="center"/>
              <w:rPr>
                <w:color w:val="000000" w:themeColor="text1"/>
                <w14:textFill>
                  <w14:solidFill>
                    <w14:schemeClr w14:val="tx1"/>
                  </w14:solidFill>
                </w14:textFill>
              </w:rPr>
            </w:pPr>
          </w:p>
        </w:tc>
        <w:tc>
          <w:tcPr>
            <w:tcW w:w="801" w:type="pct"/>
            <w:vAlign w:val="bottom"/>
          </w:tcPr>
          <w:p w14:paraId="45F9F2EA">
            <w:pPr>
              <w:pStyle w:val="105"/>
              <w:spacing w:before="0" w:after="0"/>
              <w:jc w:val="center"/>
              <w:rPr>
                <w:color w:val="000000" w:themeColor="text1"/>
                <w14:textFill>
                  <w14:solidFill>
                    <w14:schemeClr w14:val="tx1"/>
                  </w14:solidFill>
                </w14:textFill>
              </w:rPr>
            </w:pPr>
          </w:p>
        </w:tc>
        <w:tc>
          <w:tcPr>
            <w:tcW w:w="604" w:type="pct"/>
            <w:vAlign w:val="bottom"/>
          </w:tcPr>
          <w:p w14:paraId="1156D734">
            <w:pPr>
              <w:pStyle w:val="105"/>
              <w:spacing w:before="0" w:after="0"/>
              <w:jc w:val="center"/>
              <w:rPr>
                <w:color w:val="000000" w:themeColor="text1"/>
                <w14:textFill>
                  <w14:solidFill>
                    <w14:schemeClr w14:val="tx1"/>
                  </w14:solidFill>
                </w14:textFill>
              </w:rPr>
            </w:pPr>
          </w:p>
        </w:tc>
      </w:tr>
      <w:tr w14:paraId="77DD09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84" w:hRule="atLeast"/>
          <w:jc w:val="center"/>
        </w:trPr>
        <w:tc>
          <w:tcPr>
            <w:tcW w:w="481" w:type="pct"/>
            <w:vMerge w:val="continue"/>
            <w:vAlign w:val="center"/>
          </w:tcPr>
          <w:p w14:paraId="03AC3224">
            <w:pPr>
              <w:pStyle w:val="105"/>
              <w:spacing w:before="0" w:after="0"/>
              <w:jc w:val="center"/>
              <w:rPr>
                <w:color w:val="000000" w:themeColor="text1"/>
                <w14:textFill>
                  <w14:solidFill>
                    <w14:schemeClr w14:val="tx1"/>
                  </w14:solidFill>
                </w14:textFill>
              </w:rPr>
            </w:pPr>
          </w:p>
        </w:tc>
        <w:tc>
          <w:tcPr>
            <w:tcW w:w="1196" w:type="pct"/>
            <w:vAlign w:val="center"/>
          </w:tcPr>
          <w:p w14:paraId="01EA0058">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溶解氧</w:t>
            </w:r>
          </w:p>
        </w:tc>
        <w:tc>
          <w:tcPr>
            <w:tcW w:w="902" w:type="pct"/>
            <w:vAlign w:val="center"/>
          </w:tcPr>
          <w:p w14:paraId="4E47A4E8">
            <w:pPr>
              <w:pStyle w:val="105"/>
              <w:spacing w:before="0" w:after="0"/>
              <w:jc w:val="center"/>
              <w:rPr>
                <w:color w:val="000000" w:themeColor="text1"/>
                <w14:textFill>
                  <w14:solidFill>
                    <w14:schemeClr w14:val="tx1"/>
                  </w14:solidFill>
                </w14:textFill>
              </w:rPr>
            </w:pPr>
          </w:p>
        </w:tc>
        <w:tc>
          <w:tcPr>
            <w:tcW w:w="1016" w:type="pct"/>
            <w:vAlign w:val="center"/>
          </w:tcPr>
          <w:p w14:paraId="2BC405AA">
            <w:pPr>
              <w:pStyle w:val="105"/>
              <w:spacing w:before="0" w:after="0"/>
              <w:jc w:val="center"/>
              <w:rPr>
                <w:color w:val="000000" w:themeColor="text1"/>
                <w14:textFill>
                  <w14:solidFill>
                    <w14:schemeClr w14:val="tx1"/>
                  </w14:solidFill>
                </w14:textFill>
              </w:rPr>
            </w:pPr>
          </w:p>
        </w:tc>
        <w:tc>
          <w:tcPr>
            <w:tcW w:w="801" w:type="pct"/>
            <w:vAlign w:val="center"/>
          </w:tcPr>
          <w:p w14:paraId="2B841D4F">
            <w:pPr>
              <w:pStyle w:val="105"/>
              <w:spacing w:before="0" w:after="0"/>
              <w:jc w:val="center"/>
              <w:rPr>
                <w:color w:val="000000" w:themeColor="text1"/>
                <w14:textFill>
                  <w14:solidFill>
                    <w14:schemeClr w14:val="tx1"/>
                  </w14:solidFill>
                </w14:textFill>
              </w:rPr>
            </w:pPr>
          </w:p>
        </w:tc>
        <w:tc>
          <w:tcPr>
            <w:tcW w:w="604" w:type="pct"/>
            <w:vAlign w:val="center"/>
          </w:tcPr>
          <w:p w14:paraId="060AFA1B">
            <w:pPr>
              <w:pStyle w:val="105"/>
              <w:spacing w:before="0" w:after="0"/>
              <w:jc w:val="center"/>
              <w:rPr>
                <w:color w:val="000000" w:themeColor="text1"/>
                <w14:textFill>
                  <w14:solidFill>
                    <w14:schemeClr w14:val="tx1"/>
                  </w14:solidFill>
                </w14:textFill>
              </w:rPr>
            </w:pPr>
          </w:p>
        </w:tc>
      </w:tr>
      <w:tr w14:paraId="5F03E5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0F423412">
            <w:pPr>
              <w:pStyle w:val="105"/>
              <w:spacing w:before="0" w:after="0"/>
              <w:jc w:val="center"/>
              <w:rPr>
                <w:color w:val="000000" w:themeColor="text1"/>
                <w14:textFill>
                  <w14:solidFill>
                    <w14:schemeClr w14:val="tx1"/>
                  </w14:solidFill>
                </w14:textFill>
              </w:rPr>
            </w:pPr>
          </w:p>
        </w:tc>
        <w:tc>
          <w:tcPr>
            <w:tcW w:w="1196" w:type="pct"/>
            <w:vAlign w:val="center"/>
          </w:tcPr>
          <w:p w14:paraId="6331A7F8">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902" w:type="pct"/>
            <w:vAlign w:val="center"/>
          </w:tcPr>
          <w:p w14:paraId="7B1C639C">
            <w:pPr>
              <w:pStyle w:val="105"/>
              <w:spacing w:before="0" w:after="0"/>
              <w:jc w:val="center"/>
              <w:rPr>
                <w:color w:val="000000" w:themeColor="text1"/>
                <w14:textFill>
                  <w14:solidFill>
                    <w14:schemeClr w14:val="tx1"/>
                  </w14:solidFill>
                </w14:textFill>
              </w:rPr>
            </w:pPr>
          </w:p>
        </w:tc>
        <w:tc>
          <w:tcPr>
            <w:tcW w:w="1016" w:type="pct"/>
            <w:vAlign w:val="center"/>
          </w:tcPr>
          <w:p w14:paraId="404FB68A">
            <w:pPr>
              <w:pStyle w:val="105"/>
              <w:spacing w:before="0" w:after="0"/>
              <w:jc w:val="center"/>
              <w:rPr>
                <w:color w:val="000000" w:themeColor="text1"/>
                <w14:textFill>
                  <w14:solidFill>
                    <w14:schemeClr w14:val="tx1"/>
                  </w14:solidFill>
                </w14:textFill>
              </w:rPr>
            </w:pPr>
          </w:p>
        </w:tc>
        <w:tc>
          <w:tcPr>
            <w:tcW w:w="801" w:type="pct"/>
            <w:vAlign w:val="center"/>
          </w:tcPr>
          <w:p w14:paraId="73D91DC7">
            <w:pPr>
              <w:pStyle w:val="105"/>
              <w:spacing w:before="0" w:after="0"/>
              <w:jc w:val="center"/>
              <w:rPr>
                <w:color w:val="000000" w:themeColor="text1"/>
                <w14:textFill>
                  <w14:solidFill>
                    <w14:schemeClr w14:val="tx1"/>
                  </w14:solidFill>
                </w14:textFill>
              </w:rPr>
            </w:pPr>
          </w:p>
        </w:tc>
        <w:tc>
          <w:tcPr>
            <w:tcW w:w="604" w:type="pct"/>
            <w:vAlign w:val="center"/>
          </w:tcPr>
          <w:p w14:paraId="56709A3A">
            <w:pPr>
              <w:pStyle w:val="105"/>
              <w:spacing w:before="0" w:after="0"/>
              <w:jc w:val="center"/>
              <w:rPr>
                <w:color w:val="000000" w:themeColor="text1"/>
                <w14:textFill>
                  <w14:solidFill>
                    <w14:schemeClr w14:val="tx1"/>
                  </w14:solidFill>
                </w14:textFill>
              </w:rPr>
            </w:pPr>
          </w:p>
        </w:tc>
      </w:tr>
      <w:tr w14:paraId="4783BEC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0686F284">
            <w:pPr>
              <w:pStyle w:val="105"/>
              <w:spacing w:before="0" w:after="0"/>
              <w:jc w:val="center"/>
              <w:rPr>
                <w:color w:val="000000" w:themeColor="text1"/>
                <w14:textFill>
                  <w14:solidFill>
                    <w14:schemeClr w14:val="tx1"/>
                  </w14:solidFill>
                </w14:textFill>
              </w:rPr>
            </w:pPr>
          </w:p>
        </w:tc>
        <w:tc>
          <w:tcPr>
            <w:tcW w:w="1196" w:type="pct"/>
            <w:vAlign w:val="center"/>
          </w:tcPr>
          <w:p w14:paraId="0F0068CD">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悬浮物</w:t>
            </w:r>
          </w:p>
        </w:tc>
        <w:tc>
          <w:tcPr>
            <w:tcW w:w="902" w:type="pct"/>
            <w:vAlign w:val="center"/>
          </w:tcPr>
          <w:p w14:paraId="3B48CB36">
            <w:pPr>
              <w:pStyle w:val="105"/>
              <w:spacing w:before="0" w:after="0"/>
              <w:jc w:val="center"/>
              <w:rPr>
                <w:color w:val="000000" w:themeColor="text1"/>
                <w14:textFill>
                  <w14:solidFill>
                    <w14:schemeClr w14:val="tx1"/>
                  </w14:solidFill>
                </w14:textFill>
              </w:rPr>
            </w:pPr>
          </w:p>
        </w:tc>
        <w:tc>
          <w:tcPr>
            <w:tcW w:w="1016" w:type="pct"/>
            <w:vAlign w:val="center"/>
          </w:tcPr>
          <w:p w14:paraId="3052CACD">
            <w:pPr>
              <w:pStyle w:val="105"/>
              <w:spacing w:before="0" w:after="0"/>
              <w:jc w:val="center"/>
              <w:rPr>
                <w:color w:val="000000" w:themeColor="text1"/>
                <w14:textFill>
                  <w14:solidFill>
                    <w14:schemeClr w14:val="tx1"/>
                  </w14:solidFill>
                </w14:textFill>
              </w:rPr>
            </w:pPr>
          </w:p>
        </w:tc>
        <w:tc>
          <w:tcPr>
            <w:tcW w:w="801" w:type="pct"/>
            <w:vAlign w:val="center"/>
          </w:tcPr>
          <w:p w14:paraId="5669C588">
            <w:pPr>
              <w:pStyle w:val="105"/>
              <w:spacing w:before="0" w:after="0"/>
              <w:jc w:val="center"/>
              <w:rPr>
                <w:color w:val="000000" w:themeColor="text1"/>
                <w14:textFill>
                  <w14:solidFill>
                    <w14:schemeClr w14:val="tx1"/>
                  </w14:solidFill>
                </w14:textFill>
              </w:rPr>
            </w:pPr>
          </w:p>
        </w:tc>
        <w:tc>
          <w:tcPr>
            <w:tcW w:w="604" w:type="pct"/>
            <w:vAlign w:val="center"/>
          </w:tcPr>
          <w:p w14:paraId="3C1B6A72">
            <w:pPr>
              <w:pStyle w:val="105"/>
              <w:spacing w:before="0" w:after="0"/>
              <w:jc w:val="center"/>
              <w:rPr>
                <w:color w:val="000000" w:themeColor="text1"/>
                <w14:textFill>
                  <w14:solidFill>
                    <w14:schemeClr w14:val="tx1"/>
                  </w14:solidFill>
                </w14:textFill>
              </w:rPr>
            </w:pPr>
          </w:p>
        </w:tc>
      </w:tr>
      <w:tr w14:paraId="521FA6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0610A1A2">
            <w:pPr>
              <w:pStyle w:val="105"/>
              <w:spacing w:before="0" w:after="0"/>
              <w:jc w:val="center"/>
              <w:rPr>
                <w:color w:val="000000" w:themeColor="text1"/>
                <w14:textFill>
                  <w14:solidFill>
                    <w14:schemeClr w14:val="tx1"/>
                  </w14:solidFill>
                </w14:textFill>
              </w:rPr>
            </w:pPr>
          </w:p>
        </w:tc>
        <w:tc>
          <w:tcPr>
            <w:tcW w:w="1196" w:type="pct"/>
            <w:vAlign w:val="center"/>
          </w:tcPr>
          <w:p w14:paraId="21FBAF40">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902" w:type="pct"/>
            <w:vAlign w:val="center"/>
          </w:tcPr>
          <w:p w14:paraId="61FDEFBA">
            <w:pPr>
              <w:pStyle w:val="105"/>
              <w:spacing w:before="0" w:after="0"/>
              <w:jc w:val="center"/>
              <w:rPr>
                <w:color w:val="000000" w:themeColor="text1"/>
                <w14:textFill>
                  <w14:solidFill>
                    <w14:schemeClr w14:val="tx1"/>
                  </w14:solidFill>
                </w14:textFill>
              </w:rPr>
            </w:pPr>
          </w:p>
        </w:tc>
        <w:tc>
          <w:tcPr>
            <w:tcW w:w="1016" w:type="pct"/>
            <w:vAlign w:val="center"/>
          </w:tcPr>
          <w:p w14:paraId="6D0B474B">
            <w:pPr>
              <w:pStyle w:val="105"/>
              <w:spacing w:before="0" w:after="0"/>
              <w:jc w:val="center"/>
              <w:rPr>
                <w:color w:val="000000" w:themeColor="text1"/>
                <w14:textFill>
                  <w14:solidFill>
                    <w14:schemeClr w14:val="tx1"/>
                  </w14:solidFill>
                </w14:textFill>
              </w:rPr>
            </w:pPr>
          </w:p>
        </w:tc>
        <w:tc>
          <w:tcPr>
            <w:tcW w:w="801" w:type="pct"/>
            <w:vAlign w:val="center"/>
          </w:tcPr>
          <w:p w14:paraId="2696E7EC">
            <w:pPr>
              <w:pStyle w:val="105"/>
              <w:spacing w:before="0" w:after="0"/>
              <w:jc w:val="center"/>
              <w:rPr>
                <w:color w:val="000000" w:themeColor="text1"/>
                <w14:textFill>
                  <w14:solidFill>
                    <w14:schemeClr w14:val="tx1"/>
                  </w14:solidFill>
                </w14:textFill>
              </w:rPr>
            </w:pPr>
          </w:p>
        </w:tc>
        <w:tc>
          <w:tcPr>
            <w:tcW w:w="604" w:type="pct"/>
            <w:vAlign w:val="center"/>
          </w:tcPr>
          <w:p w14:paraId="004DC271">
            <w:pPr>
              <w:pStyle w:val="105"/>
              <w:spacing w:before="0" w:after="0"/>
              <w:jc w:val="center"/>
              <w:rPr>
                <w:color w:val="000000" w:themeColor="text1"/>
                <w14:textFill>
                  <w14:solidFill>
                    <w14:schemeClr w14:val="tx1"/>
                  </w14:solidFill>
                </w14:textFill>
              </w:rPr>
            </w:pPr>
          </w:p>
        </w:tc>
      </w:tr>
      <w:tr w14:paraId="030BE63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33CAE38C">
            <w:pPr>
              <w:pStyle w:val="105"/>
              <w:spacing w:before="0" w:after="0"/>
              <w:jc w:val="center"/>
              <w:rPr>
                <w:color w:val="000000" w:themeColor="text1"/>
                <w14:textFill>
                  <w14:solidFill>
                    <w14:schemeClr w14:val="tx1"/>
                  </w14:solidFill>
                </w14:textFill>
              </w:rPr>
            </w:pPr>
          </w:p>
        </w:tc>
        <w:tc>
          <w:tcPr>
            <w:tcW w:w="1196" w:type="pct"/>
            <w:vAlign w:val="center"/>
          </w:tcPr>
          <w:p w14:paraId="27539177">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高锰酸盐指数</w:t>
            </w:r>
          </w:p>
        </w:tc>
        <w:tc>
          <w:tcPr>
            <w:tcW w:w="902" w:type="pct"/>
            <w:vAlign w:val="center"/>
          </w:tcPr>
          <w:p w14:paraId="50292C09">
            <w:pPr>
              <w:pStyle w:val="105"/>
              <w:spacing w:before="0" w:after="0"/>
              <w:jc w:val="center"/>
              <w:rPr>
                <w:color w:val="000000" w:themeColor="text1"/>
                <w14:textFill>
                  <w14:solidFill>
                    <w14:schemeClr w14:val="tx1"/>
                  </w14:solidFill>
                </w14:textFill>
              </w:rPr>
            </w:pPr>
          </w:p>
        </w:tc>
        <w:tc>
          <w:tcPr>
            <w:tcW w:w="1016" w:type="pct"/>
            <w:vAlign w:val="center"/>
          </w:tcPr>
          <w:p w14:paraId="78B37A3A">
            <w:pPr>
              <w:pStyle w:val="105"/>
              <w:spacing w:before="0" w:after="0"/>
              <w:jc w:val="center"/>
              <w:rPr>
                <w:color w:val="000000" w:themeColor="text1"/>
                <w14:textFill>
                  <w14:solidFill>
                    <w14:schemeClr w14:val="tx1"/>
                  </w14:solidFill>
                </w14:textFill>
              </w:rPr>
            </w:pPr>
          </w:p>
        </w:tc>
        <w:tc>
          <w:tcPr>
            <w:tcW w:w="801" w:type="pct"/>
            <w:vAlign w:val="center"/>
          </w:tcPr>
          <w:p w14:paraId="298C16F6">
            <w:pPr>
              <w:pStyle w:val="105"/>
              <w:spacing w:before="0" w:after="0"/>
              <w:jc w:val="center"/>
              <w:rPr>
                <w:color w:val="000000" w:themeColor="text1"/>
                <w14:textFill>
                  <w14:solidFill>
                    <w14:schemeClr w14:val="tx1"/>
                  </w14:solidFill>
                </w14:textFill>
              </w:rPr>
            </w:pPr>
          </w:p>
        </w:tc>
        <w:tc>
          <w:tcPr>
            <w:tcW w:w="604" w:type="pct"/>
            <w:vAlign w:val="center"/>
          </w:tcPr>
          <w:p w14:paraId="7B7F3824">
            <w:pPr>
              <w:pStyle w:val="105"/>
              <w:spacing w:before="0" w:after="0"/>
              <w:jc w:val="center"/>
              <w:rPr>
                <w:color w:val="000000" w:themeColor="text1"/>
                <w14:textFill>
                  <w14:solidFill>
                    <w14:schemeClr w14:val="tx1"/>
                  </w14:solidFill>
                </w14:textFill>
              </w:rPr>
            </w:pPr>
          </w:p>
        </w:tc>
      </w:tr>
      <w:tr w14:paraId="54DD18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678F6E2F">
            <w:pPr>
              <w:pStyle w:val="105"/>
              <w:spacing w:before="0" w:after="0"/>
              <w:jc w:val="center"/>
              <w:rPr>
                <w:color w:val="000000" w:themeColor="text1"/>
                <w14:textFill>
                  <w14:solidFill>
                    <w14:schemeClr w14:val="tx1"/>
                  </w14:solidFill>
                </w14:textFill>
              </w:rPr>
            </w:pPr>
          </w:p>
        </w:tc>
        <w:tc>
          <w:tcPr>
            <w:tcW w:w="1196" w:type="pct"/>
            <w:vAlign w:val="center"/>
          </w:tcPr>
          <w:p w14:paraId="403430BA">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五日生化需氧量</w:t>
            </w:r>
          </w:p>
        </w:tc>
        <w:tc>
          <w:tcPr>
            <w:tcW w:w="902" w:type="pct"/>
            <w:vAlign w:val="center"/>
          </w:tcPr>
          <w:p w14:paraId="33021658">
            <w:pPr>
              <w:pStyle w:val="105"/>
              <w:spacing w:before="0" w:after="0"/>
              <w:jc w:val="center"/>
              <w:rPr>
                <w:color w:val="000000" w:themeColor="text1"/>
                <w14:textFill>
                  <w14:solidFill>
                    <w14:schemeClr w14:val="tx1"/>
                  </w14:solidFill>
                </w14:textFill>
              </w:rPr>
            </w:pPr>
          </w:p>
        </w:tc>
        <w:tc>
          <w:tcPr>
            <w:tcW w:w="1016" w:type="pct"/>
            <w:vAlign w:val="center"/>
          </w:tcPr>
          <w:p w14:paraId="00B3EF41">
            <w:pPr>
              <w:pStyle w:val="105"/>
              <w:spacing w:before="0" w:after="0"/>
              <w:jc w:val="center"/>
              <w:rPr>
                <w:color w:val="000000" w:themeColor="text1"/>
                <w14:textFill>
                  <w14:solidFill>
                    <w14:schemeClr w14:val="tx1"/>
                  </w14:solidFill>
                </w14:textFill>
              </w:rPr>
            </w:pPr>
          </w:p>
        </w:tc>
        <w:tc>
          <w:tcPr>
            <w:tcW w:w="801" w:type="pct"/>
            <w:vAlign w:val="center"/>
          </w:tcPr>
          <w:p w14:paraId="39FE5F61">
            <w:pPr>
              <w:pStyle w:val="105"/>
              <w:spacing w:before="0" w:after="0"/>
              <w:jc w:val="center"/>
              <w:rPr>
                <w:color w:val="000000" w:themeColor="text1"/>
                <w14:textFill>
                  <w14:solidFill>
                    <w14:schemeClr w14:val="tx1"/>
                  </w14:solidFill>
                </w14:textFill>
              </w:rPr>
            </w:pPr>
          </w:p>
        </w:tc>
        <w:tc>
          <w:tcPr>
            <w:tcW w:w="604" w:type="pct"/>
            <w:vAlign w:val="center"/>
          </w:tcPr>
          <w:p w14:paraId="29C563DA">
            <w:pPr>
              <w:pStyle w:val="105"/>
              <w:spacing w:before="0" w:after="0"/>
              <w:jc w:val="center"/>
              <w:rPr>
                <w:color w:val="000000" w:themeColor="text1"/>
                <w14:textFill>
                  <w14:solidFill>
                    <w14:schemeClr w14:val="tx1"/>
                  </w14:solidFill>
                </w14:textFill>
              </w:rPr>
            </w:pPr>
          </w:p>
        </w:tc>
      </w:tr>
      <w:tr w14:paraId="2B528F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6664D693">
            <w:pPr>
              <w:pStyle w:val="105"/>
              <w:spacing w:before="0" w:after="0"/>
              <w:jc w:val="center"/>
              <w:rPr>
                <w:color w:val="000000" w:themeColor="text1"/>
                <w14:textFill>
                  <w14:solidFill>
                    <w14:schemeClr w14:val="tx1"/>
                  </w14:solidFill>
                </w14:textFill>
              </w:rPr>
            </w:pPr>
          </w:p>
        </w:tc>
        <w:tc>
          <w:tcPr>
            <w:tcW w:w="1196" w:type="pct"/>
            <w:vAlign w:val="center"/>
          </w:tcPr>
          <w:p w14:paraId="579B9733">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902" w:type="pct"/>
            <w:vAlign w:val="center"/>
          </w:tcPr>
          <w:p w14:paraId="764DD6B9">
            <w:pPr>
              <w:pStyle w:val="105"/>
              <w:spacing w:before="0" w:after="0"/>
              <w:jc w:val="center"/>
              <w:rPr>
                <w:color w:val="000000" w:themeColor="text1"/>
                <w14:textFill>
                  <w14:solidFill>
                    <w14:schemeClr w14:val="tx1"/>
                  </w14:solidFill>
                </w14:textFill>
              </w:rPr>
            </w:pPr>
          </w:p>
        </w:tc>
        <w:tc>
          <w:tcPr>
            <w:tcW w:w="1016" w:type="pct"/>
            <w:vAlign w:val="center"/>
          </w:tcPr>
          <w:p w14:paraId="4331325F">
            <w:pPr>
              <w:pStyle w:val="105"/>
              <w:spacing w:before="0" w:after="0"/>
              <w:jc w:val="center"/>
              <w:rPr>
                <w:color w:val="000000" w:themeColor="text1"/>
                <w14:textFill>
                  <w14:solidFill>
                    <w14:schemeClr w14:val="tx1"/>
                  </w14:solidFill>
                </w14:textFill>
              </w:rPr>
            </w:pPr>
          </w:p>
        </w:tc>
        <w:tc>
          <w:tcPr>
            <w:tcW w:w="801" w:type="pct"/>
            <w:vAlign w:val="center"/>
          </w:tcPr>
          <w:p w14:paraId="0315E2FB">
            <w:pPr>
              <w:pStyle w:val="105"/>
              <w:spacing w:before="0" w:after="0"/>
              <w:jc w:val="center"/>
              <w:rPr>
                <w:color w:val="000000" w:themeColor="text1"/>
                <w14:textFill>
                  <w14:solidFill>
                    <w14:schemeClr w14:val="tx1"/>
                  </w14:solidFill>
                </w14:textFill>
              </w:rPr>
            </w:pPr>
          </w:p>
        </w:tc>
        <w:tc>
          <w:tcPr>
            <w:tcW w:w="604" w:type="pct"/>
            <w:vAlign w:val="center"/>
          </w:tcPr>
          <w:p w14:paraId="00206867">
            <w:pPr>
              <w:pStyle w:val="105"/>
              <w:spacing w:before="0" w:after="0"/>
              <w:jc w:val="center"/>
              <w:rPr>
                <w:color w:val="000000" w:themeColor="text1"/>
                <w14:textFill>
                  <w14:solidFill>
                    <w14:schemeClr w14:val="tx1"/>
                  </w14:solidFill>
                </w14:textFill>
              </w:rPr>
            </w:pPr>
          </w:p>
        </w:tc>
      </w:tr>
      <w:tr w14:paraId="66616F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84" w:hRule="atLeast"/>
          <w:jc w:val="center"/>
        </w:trPr>
        <w:tc>
          <w:tcPr>
            <w:tcW w:w="481" w:type="pct"/>
            <w:vMerge w:val="continue"/>
            <w:vAlign w:val="center"/>
          </w:tcPr>
          <w:p w14:paraId="6AE7A767">
            <w:pPr>
              <w:pStyle w:val="105"/>
              <w:spacing w:before="0" w:after="0"/>
              <w:jc w:val="center"/>
              <w:rPr>
                <w:color w:val="000000" w:themeColor="text1"/>
                <w14:textFill>
                  <w14:solidFill>
                    <w14:schemeClr w14:val="tx1"/>
                  </w14:solidFill>
                </w14:textFill>
              </w:rPr>
            </w:pPr>
          </w:p>
        </w:tc>
        <w:tc>
          <w:tcPr>
            <w:tcW w:w="1196" w:type="pct"/>
            <w:vAlign w:val="center"/>
          </w:tcPr>
          <w:p w14:paraId="209506B5">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902" w:type="pct"/>
            <w:vAlign w:val="center"/>
          </w:tcPr>
          <w:p w14:paraId="1087D3B1">
            <w:pPr>
              <w:pStyle w:val="105"/>
              <w:spacing w:before="0" w:after="0"/>
              <w:jc w:val="center"/>
              <w:rPr>
                <w:color w:val="000000" w:themeColor="text1"/>
                <w14:textFill>
                  <w14:solidFill>
                    <w14:schemeClr w14:val="tx1"/>
                  </w14:solidFill>
                </w14:textFill>
              </w:rPr>
            </w:pPr>
          </w:p>
        </w:tc>
        <w:tc>
          <w:tcPr>
            <w:tcW w:w="1016" w:type="pct"/>
            <w:vAlign w:val="center"/>
          </w:tcPr>
          <w:p w14:paraId="593A2F67">
            <w:pPr>
              <w:pStyle w:val="105"/>
              <w:spacing w:before="0" w:after="0"/>
              <w:jc w:val="center"/>
              <w:rPr>
                <w:color w:val="000000" w:themeColor="text1"/>
                <w14:textFill>
                  <w14:solidFill>
                    <w14:schemeClr w14:val="tx1"/>
                  </w14:solidFill>
                </w14:textFill>
              </w:rPr>
            </w:pPr>
          </w:p>
        </w:tc>
        <w:tc>
          <w:tcPr>
            <w:tcW w:w="801" w:type="pct"/>
            <w:vAlign w:val="center"/>
          </w:tcPr>
          <w:p w14:paraId="230B2F4F">
            <w:pPr>
              <w:pStyle w:val="105"/>
              <w:spacing w:before="0" w:after="0"/>
              <w:jc w:val="center"/>
              <w:rPr>
                <w:color w:val="000000" w:themeColor="text1"/>
                <w14:textFill>
                  <w14:solidFill>
                    <w14:schemeClr w14:val="tx1"/>
                  </w14:solidFill>
                </w14:textFill>
              </w:rPr>
            </w:pPr>
          </w:p>
        </w:tc>
        <w:tc>
          <w:tcPr>
            <w:tcW w:w="604" w:type="pct"/>
            <w:vAlign w:val="center"/>
          </w:tcPr>
          <w:p w14:paraId="708F1DCE">
            <w:pPr>
              <w:pStyle w:val="105"/>
              <w:spacing w:before="0" w:after="0"/>
              <w:jc w:val="center"/>
              <w:rPr>
                <w:color w:val="000000" w:themeColor="text1"/>
                <w14:textFill>
                  <w14:solidFill>
                    <w14:schemeClr w14:val="tx1"/>
                  </w14:solidFill>
                </w14:textFill>
              </w:rPr>
            </w:pPr>
          </w:p>
        </w:tc>
      </w:tr>
      <w:tr w14:paraId="4C0A02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restart"/>
            <w:vAlign w:val="center"/>
          </w:tcPr>
          <w:p w14:paraId="348FFBC1">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2月</w:t>
            </w:r>
          </w:p>
          <w:p w14:paraId="18B3A1A1">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27日</w:t>
            </w:r>
          </w:p>
        </w:tc>
        <w:tc>
          <w:tcPr>
            <w:tcW w:w="1196" w:type="pct"/>
            <w:vAlign w:val="center"/>
          </w:tcPr>
          <w:p w14:paraId="625FFCB4">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水温</w:t>
            </w:r>
          </w:p>
        </w:tc>
        <w:tc>
          <w:tcPr>
            <w:tcW w:w="902" w:type="pct"/>
            <w:vAlign w:val="center"/>
          </w:tcPr>
          <w:p w14:paraId="437544DE">
            <w:pPr>
              <w:pStyle w:val="105"/>
              <w:spacing w:before="0" w:after="0"/>
              <w:jc w:val="center"/>
              <w:rPr>
                <w:color w:val="000000" w:themeColor="text1"/>
                <w14:textFill>
                  <w14:solidFill>
                    <w14:schemeClr w14:val="tx1"/>
                  </w14:solidFill>
                </w14:textFill>
              </w:rPr>
            </w:pPr>
          </w:p>
        </w:tc>
        <w:tc>
          <w:tcPr>
            <w:tcW w:w="1016" w:type="pct"/>
            <w:vAlign w:val="center"/>
          </w:tcPr>
          <w:p w14:paraId="5ED7FAA1">
            <w:pPr>
              <w:pStyle w:val="105"/>
              <w:spacing w:before="0" w:after="0"/>
              <w:jc w:val="center"/>
              <w:rPr>
                <w:color w:val="000000" w:themeColor="text1"/>
                <w14:textFill>
                  <w14:solidFill>
                    <w14:schemeClr w14:val="tx1"/>
                  </w14:solidFill>
                </w14:textFill>
              </w:rPr>
            </w:pPr>
          </w:p>
        </w:tc>
        <w:tc>
          <w:tcPr>
            <w:tcW w:w="801" w:type="pct"/>
            <w:vAlign w:val="bottom"/>
          </w:tcPr>
          <w:p w14:paraId="6BFB6E58">
            <w:pPr>
              <w:pStyle w:val="105"/>
              <w:spacing w:before="0" w:after="0"/>
              <w:jc w:val="center"/>
              <w:rPr>
                <w:color w:val="000000" w:themeColor="text1"/>
                <w14:textFill>
                  <w14:solidFill>
                    <w14:schemeClr w14:val="tx1"/>
                  </w14:solidFill>
                </w14:textFill>
              </w:rPr>
            </w:pPr>
          </w:p>
        </w:tc>
        <w:tc>
          <w:tcPr>
            <w:tcW w:w="604" w:type="pct"/>
            <w:vAlign w:val="bottom"/>
          </w:tcPr>
          <w:p w14:paraId="69E5C21B">
            <w:pPr>
              <w:pStyle w:val="105"/>
              <w:spacing w:before="0" w:after="0"/>
              <w:jc w:val="center"/>
              <w:rPr>
                <w:color w:val="000000" w:themeColor="text1"/>
                <w14:textFill>
                  <w14:solidFill>
                    <w14:schemeClr w14:val="tx1"/>
                  </w14:solidFill>
                </w14:textFill>
              </w:rPr>
            </w:pPr>
          </w:p>
        </w:tc>
      </w:tr>
      <w:tr w14:paraId="1160D5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4EB47F9D">
            <w:pPr>
              <w:pStyle w:val="105"/>
              <w:spacing w:before="0" w:after="0"/>
              <w:jc w:val="center"/>
              <w:rPr>
                <w:color w:val="000000" w:themeColor="text1"/>
                <w14:textFill>
                  <w14:solidFill>
                    <w14:schemeClr w14:val="tx1"/>
                  </w14:solidFill>
                </w14:textFill>
              </w:rPr>
            </w:pPr>
          </w:p>
        </w:tc>
        <w:tc>
          <w:tcPr>
            <w:tcW w:w="1196" w:type="pct"/>
            <w:vAlign w:val="center"/>
          </w:tcPr>
          <w:p w14:paraId="3637E5B3">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溶解氧</w:t>
            </w:r>
          </w:p>
        </w:tc>
        <w:tc>
          <w:tcPr>
            <w:tcW w:w="902" w:type="pct"/>
            <w:vAlign w:val="center"/>
          </w:tcPr>
          <w:p w14:paraId="48114BA7">
            <w:pPr>
              <w:pStyle w:val="105"/>
              <w:spacing w:before="0" w:after="0"/>
              <w:jc w:val="center"/>
              <w:rPr>
                <w:color w:val="000000" w:themeColor="text1"/>
                <w14:textFill>
                  <w14:solidFill>
                    <w14:schemeClr w14:val="tx1"/>
                  </w14:solidFill>
                </w14:textFill>
              </w:rPr>
            </w:pPr>
          </w:p>
        </w:tc>
        <w:tc>
          <w:tcPr>
            <w:tcW w:w="1016" w:type="pct"/>
            <w:vAlign w:val="center"/>
          </w:tcPr>
          <w:p w14:paraId="4E761FF9">
            <w:pPr>
              <w:pStyle w:val="105"/>
              <w:spacing w:before="0" w:after="0"/>
              <w:jc w:val="center"/>
              <w:rPr>
                <w:color w:val="000000" w:themeColor="text1"/>
                <w14:textFill>
                  <w14:solidFill>
                    <w14:schemeClr w14:val="tx1"/>
                  </w14:solidFill>
                </w14:textFill>
              </w:rPr>
            </w:pPr>
          </w:p>
        </w:tc>
        <w:tc>
          <w:tcPr>
            <w:tcW w:w="801" w:type="pct"/>
            <w:vAlign w:val="center"/>
          </w:tcPr>
          <w:p w14:paraId="1961C161">
            <w:pPr>
              <w:pStyle w:val="105"/>
              <w:spacing w:before="0" w:after="0"/>
              <w:jc w:val="center"/>
              <w:rPr>
                <w:color w:val="000000" w:themeColor="text1"/>
                <w14:textFill>
                  <w14:solidFill>
                    <w14:schemeClr w14:val="tx1"/>
                  </w14:solidFill>
                </w14:textFill>
              </w:rPr>
            </w:pPr>
          </w:p>
        </w:tc>
        <w:tc>
          <w:tcPr>
            <w:tcW w:w="604" w:type="pct"/>
            <w:vAlign w:val="center"/>
          </w:tcPr>
          <w:p w14:paraId="3F8FD81A">
            <w:pPr>
              <w:pStyle w:val="105"/>
              <w:spacing w:before="0" w:after="0"/>
              <w:jc w:val="center"/>
              <w:rPr>
                <w:color w:val="000000" w:themeColor="text1"/>
                <w14:textFill>
                  <w14:solidFill>
                    <w14:schemeClr w14:val="tx1"/>
                  </w14:solidFill>
                </w14:textFill>
              </w:rPr>
            </w:pPr>
          </w:p>
        </w:tc>
      </w:tr>
      <w:tr w14:paraId="7DF161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4DCD1163">
            <w:pPr>
              <w:pStyle w:val="105"/>
              <w:spacing w:before="0" w:after="0"/>
              <w:jc w:val="center"/>
              <w:rPr>
                <w:color w:val="000000" w:themeColor="text1"/>
                <w14:textFill>
                  <w14:solidFill>
                    <w14:schemeClr w14:val="tx1"/>
                  </w14:solidFill>
                </w14:textFill>
              </w:rPr>
            </w:pPr>
          </w:p>
        </w:tc>
        <w:tc>
          <w:tcPr>
            <w:tcW w:w="1196" w:type="pct"/>
            <w:vAlign w:val="center"/>
          </w:tcPr>
          <w:p w14:paraId="293325D1">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902" w:type="pct"/>
            <w:vAlign w:val="center"/>
          </w:tcPr>
          <w:p w14:paraId="67FF9D7E">
            <w:pPr>
              <w:pStyle w:val="105"/>
              <w:spacing w:before="0" w:after="0"/>
              <w:jc w:val="center"/>
              <w:rPr>
                <w:color w:val="000000" w:themeColor="text1"/>
                <w14:textFill>
                  <w14:solidFill>
                    <w14:schemeClr w14:val="tx1"/>
                  </w14:solidFill>
                </w14:textFill>
              </w:rPr>
            </w:pPr>
          </w:p>
        </w:tc>
        <w:tc>
          <w:tcPr>
            <w:tcW w:w="1016" w:type="pct"/>
            <w:vAlign w:val="center"/>
          </w:tcPr>
          <w:p w14:paraId="6628CE0B">
            <w:pPr>
              <w:pStyle w:val="105"/>
              <w:spacing w:before="0" w:after="0"/>
              <w:jc w:val="center"/>
              <w:rPr>
                <w:color w:val="000000" w:themeColor="text1"/>
                <w14:textFill>
                  <w14:solidFill>
                    <w14:schemeClr w14:val="tx1"/>
                  </w14:solidFill>
                </w14:textFill>
              </w:rPr>
            </w:pPr>
          </w:p>
        </w:tc>
        <w:tc>
          <w:tcPr>
            <w:tcW w:w="801" w:type="pct"/>
            <w:vAlign w:val="center"/>
          </w:tcPr>
          <w:p w14:paraId="32E502CA">
            <w:pPr>
              <w:pStyle w:val="105"/>
              <w:spacing w:before="0" w:after="0"/>
              <w:jc w:val="center"/>
              <w:rPr>
                <w:color w:val="000000" w:themeColor="text1"/>
                <w14:textFill>
                  <w14:solidFill>
                    <w14:schemeClr w14:val="tx1"/>
                  </w14:solidFill>
                </w14:textFill>
              </w:rPr>
            </w:pPr>
          </w:p>
        </w:tc>
        <w:tc>
          <w:tcPr>
            <w:tcW w:w="604" w:type="pct"/>
            <w:vAlign w:val="center"/>
          </w:tcPr>
          <w:p w14:paraId="0CA70012">
            <w:pPr>
              <w:pStyle w:val="105"/>
              <w:spacing w:before="0" w:after="0"/>
              <w:jc w:val="center"/>
              <w:rPr>
                <w:color w:val="000000" w:themeColor="text1"/>
                <w14:textFill>
                  <w14:solidFill>
                    <w14:schemeClr w14:val="tx1"/>
                  </w14:solidFill>
                </w14:textFill>
              </w:rPr>
            </w:pPr>
          </w:p>
        </w:tc>
      </w:tr>
      <w:tr w14:paraId="2E9746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84" w:hRule="atLeast"/>
          <w:jc w:val="center"/>
        </w:trPr>
        <w:tc>
          <w:tcPr>
            <w:tcW w:w="481" w:type="pct"/>
            <w:vMerge w:val="continue"/>
            <w:vAlign w:val="center"/>
          </w:tcPr>
          <w:p w14:paraId="011725E2">
            <w:pPr>
              <w:pStyle w:val="105"/>
              <w:spacing w:before="0" w:after="0"/>
              <w:jc w:val="center"/>
              <w:rPr>
                <w:color w:val="000000" w:themeColor="text1"/>
                <w14:textFill>
                  <w14:solidFill>
                    <w14:schemeClr w14:val="tx1"/>
                  </w14:solidFill>
                </w14:textFill>
              </w:rPr>
            </w:pPr>
          </w:p>
        </w:tc>
        <w:tc>
          <w:tcPr>
            <w:tcW w:w="1196" w:type="pct"/>
            <w:vAlign w:val="center"/>
          </w:tcPr>
          <w:p w14:paraId="7C82E592">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悬浮物</w:t>
            </w:r>
          </w:p>
        </w:tc>
        <w:tc>
          <w:tcPr>
            <w:tcW w:w="902" w:type="pct"/>
            <w:vAlign w:val="center"/>
          </w:tcPr>
          <w:p w14:paraId="63226197">
            <w:pPr>
              <w:pStyle w:val="105"/>
              <w:spacing w:before="0" w:after="0"/>
              <w:jc w:val="center"/>
              <w:rPr>
                <w:color w:val="000000" w:themeColor="text1"/>
                <w14:textFill>
                  <w14:solidFill>
                    <w14:schemeClr w14:val="tx1"/>
                  </w14:solidFill>
                </w14:textFill>
              </w:rPr>
            </w:pPr>
          </w:p>
        </w:tc>
        <w:tc>
          <w:tcPr>
            <w:tcW w:w="1016" w:type="pct"/>
            <w:vAlign w:val="center"/>
          </w:tcPr>
          <w:p w14:paraId="73C7DBA9">
            <w:pPr>
              <w:pStyle w:val="105"/>
              <w:spacing w:before="0" w:after="0"/>
              <w:jc w:val="center"/>
              <w:rPr>
                <w:color w:val="000000" w:themeColor="text1"/>
                <w14:textFill>
                  <w14:solidFill>
                    <w14:schemeClr w14:val="tx1"/>
                  </w14:solidFill>
                </w14:textFill>
              </w:rPr>
            </w:pPr>
          </w:p>
        </w:tc>
        <w:tc>
          <w:tcPr>
            <w:tcW w:w="801" w:type="pct"/>
            <w:vAlign w:val="bottom"/>
          </w:tcPr>
          <w:p w14:paraId="620F0271">
            <w:pPr>
              <w:pStyle w:val="105"/>
              <w:spacing w:before="0" w:after="0"/>
              <w:jc w:val="center"/>
              <w:rPr>
                <w:color w:val="000000" w:themeColor="text1"/>
                <w14:textFill>
                  <w14:solidFill>
                    <w14:schemeClr w14:val="tx1"/>
                  </w14:solidFill>
                </w14:textFill>
              </w:rPr>
            </w:pPr>
          </w:p>
        </w:tc>
        <w:tc>
          <w:tcPr>
            <w:tcW w:w="604" w:type="pct"/>
            <w:vAlign w:val="bottom"/>
          </w:tcPr>
          <w:p w14:paraId="39A568E0">
            <w:pPr>
              <w:pStyle w:val="105"/>
              <w:spacing w:before="0" w:after="0"/>
              <w:jc w:val="center"/>
              <w:rPr>
                <w:color w:val="000000" w:themeColor="text1"/>
                <w14:textFill>
                  <w14:solidFill>
                    <w14:schemeClr w14:val="tx1"/>
                  </w14:solidFill>
                </w14:textFill>
              </w:rPr>
            </w:pPr>
          </w:p>
        </w:tc>
      </w:tr>
      <w:tr w14:paraId="48E411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5FCCADFE">
            <w:pPr>
              <w:pStyle w:val="105"/>
              <w:spacing w:before="0" w:after="0"/>
              <w:jc w:val="center"/>
              <w:rPr>
                <w:color w:val="000000" w:themeColor="text1"/>
                <w14:textFill>
                  <w14:solidFill>
                    <w14:schemeClr w14:val="tx1"/>
                  </w14:solidFill>
                </w14:textFill>
              </w:rPr>
            </w:pPr>
          </w:p>
        </w:tc>
        <w:tc>
          <w:tcPr>
            <w:tcW w:w="1196" w:type="pct"/>
            <w:vAlign w:val="center"/>
          </w:tcPr>
          <w:p w14:paraId="453BAD58">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902" w:type="pct"/>
            <w:vAlign w:val="center"/>
          </w:tcPr>
          <w:p w14:paraId="662EF77F">
            <w:pPr>
              <w:pStyle w:val="105"/>
              <w:spacing w:before="0" w:after="0"/>
              <w:jc w:val="center"/>
              <w:rPr>
                <w:color w:val="000000" w:themeColor="text1"/>
                <w14:textFill>
                  <w14:solidFill>
                    <w14:schemeClr w14:val="tx1"/>
                  </w14:solidFill>
                </w14:textFill>
              </w:rPr>
            </w:pPr>
          </w:p>
        </w:tc>
        <w:tc>
          <w:tcPr>
            <w:tcW w:w="1016" w:type="pct"/>
            <w:vAlign w:val="center"/>
          </w:tcPr>
          <w:p w14:paraId="1C320A4D">
            <w:pPr>
              <w:pStyle w:val="105"/>
              <w:spacing w:before="0" w:after="0"/>
              <w:jc w:val="center"/>
              <w:rPr>
                <w:color w:val="000000" w:themeColor="text1"/>
                <w14:textFill>
                  <w14:solidFill>
                    <w14:schemeClr w14:val="tx1"/>
                  </w14:solidFill>
                </w14:textFill>
              </w:rPr>
            </w:pPr>
          </w:p>
        </w:tc>
        <w:tc>
          <w:tcPr>
            <w:tcW w:w="801" w:type="pct"/>
            <w:vAlign w:val="center"/>
          </w:tcPr>
          <w:p w14:paraId="278665B7">
            <w:pPr>
              <w:pStyle w:val="105"/>
              <w:spacing w:before="0" w:after="0"/>
              <w:jc w:val="center"/>
              <w:rPr>
                <w:color w:val="000000" w:themeColor="text1"/>
                <w14:textFill>
                  <w14:solidFill>
                    <w14:schemeClr w14:val="tx1"/>
                  </w14:solidFill>
                </w14:textFill>
              </w:rPr>
            </w:pPr>
          </w:p>
        </w:tc>
        <w:tc>
          <w:tcPr>
            <w:tcW w:w="604" w:type="pct"/>
            <w:vAlign w:val="center"/>
          </w:tcPr>
          <w:p w14:paraId="2C0DDFC9">
            <w:pPr>
              <w:pStyle w:val="105"/>
              <w:spacing w:before="0" w:after="0"/>
              <w:jc w:val="center"/>
              <w:rPr>
                <w:color w:val="000000" w:themeColor="text1"/>
                <w14:textFill>
                  <w14:solidFill>
                    <w14:schemeClr w14:val="tx1"/>
                  </w14:solidFill>
                </w14:textFill>
              </w:rPr>
            </w:pPr>
          </w:p>
        </w:tc>
      </w:tr>
      <w:tr w14:paraId="60AB1B2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43E13824">
            <w:pPr>
              <w:pStyle w:val="105"/>
              <w:spacing w:before="0" w:after="0"/>
              <w:jc w:val="center"/>
              <w:rPr>
                <w:color w:val="000000" w:themeColor="text1"/>
                <w14:textFill>
                  <w14:solidFill>
                    <w14:schemeClr w14:val="tx1"/>
                  </w14:solidFill>
                </w14:textFill>
              </w:rPr>
            </w:pPr>
          </w:p>
        </w:tc>
        <w:tc>
          <w:tcPr>
            <w:tcW w:w="1196" w:type="pct"/>
            <w:vAlign w:val="center"/>
          </w:tcPr>
          <w:p w14:paraId="2E6BA36D">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高锰酸盐指数</w:t>
            </w:r>
          </w:p>
        </w:tc>
        <w:tc>
          <w:tcPr>
            <w:tcW w:w="902" w:type="pct"/>
            <w:vAlign w:val="center"/>
          </w:tcPr>
          <w:p w14:paraId="52F5B94B">
            <w:pPr>
              <w:pStyle w:val="105"/>
              <w:spacing w:before="0" w:after="0"/>
              <w:jc w:val="center"/>
              <w:rPr>
                <w:color w:val="000000" w:themeColor="text1"/>
                <w14:textFill>
                  <w14:solidFill>
                    <w14:schemeClr w14:val="tx1"/>
                  </w14:solidFill>
                </w14:textFill>
              </w:rPr>
            </w:pPr>
          </w:p>
        </w:tc>
        <w:tc>
          <w:tcPr>
            <w:tcW w:w="1016" w:type="pct"/>
            <w:vAlign w:val="center"/>
          </w:tcPr>
          <w:p w14:paraId="2951C80D">
            <w:pPr>
              <w:pStyle w:val="105"/>
              <w:spacing w:before="0" w:after="0"/>
              <w:jc w:val="center"/>
              <w:rPr>
                <w:color w:val="000000" w:themeColor="text1"/>
                <w14:textFill>
                  <w14:solidFill>
                    <w14:schemeClr w14:val="tx1"/>
                  </w14:solidFill>
                </w14:textFill>
              </w:rPr>
            </w:pPr>
          </w:p>
        </w:tc>
        <w:tc>
          <w:tcPr>
            <w:tcW w:w="801" w:type="pct"/>
            <w:vAlign w:val="center"/>
          </w:tcPr>
          <w:p w14:paraId="3C630B5B">
            <w:pPr>
              <w:pStyle w:val="105"/>
              <w:spacing w:before="0" w:after="0"/>
              <w:jc w:val="center"/>
              <w:rPr>
                <w:color w:val="000000" w:themeColor="text1"/>
                <w14:textFill>
                  <w14:solidFill>
                    <w14:schemeClr w14:val="tx1"/>
                  </w14:solidFill>
                </w14:textFill>
              </w:rPr>
            </w:pPr>
          </w:p>
        </w:tc>
        <w:tc>
          <w:tcPr>
            <w:tcW w:w="604" w:type="pct"/>
            <w:vAlign w:val="center"/>
          </w:tcPr>
          <w:p w14:paraId="34D62698">
            <w:pPr>
              <w:pStyle w:val="105"/>
              <w:spacing w:before="0" w:after="0"/>
              <w:jc w:val="center"/>
              <w:rPr>
                <w:color w:val="000000" w:themeColor="text1"/>
                <w14:textFill>
                  <w14:solidFill>
                    <w14:schemeClr w14:val="tx1"/>
                  </w14:solidFill>
                </w14:textFill>
              </w:rPr>
            </w:pPr>
          </w:p>
        </w:tc>
      </w:tr>
      <w:tr w14:paraId="7E03CB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59C4B5F8">
            <w:pPr>
              <w:pStyle w:val="105"/>
              <w:spacing w:before="0" w:after="0"/>
              <w:jc w:val="center"/>
              <w:rPr>
                <w:color w:val="000000" w:themeColor="text1"/>
                <w14:textFill>
                  <w14:solidFill>
                    <w14:schemeClr w14:val="tx1"/>
                  </w14:solidFill>
                </w14:textFill>
              </w:rPr>
            </w:pPr>
          </w:p>
        </w:tc>
        <w:tc>
          <w:tcPr>
            <w:tcW w:w="1196" w:type="pct"/>
            <w:vAlign w:val="center"/>
          </w:tcPr>
          <w:p w14:paraId="28B54F0E">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五日生化需氧量</w:t>
            </w:r>
          </w:p>
        </w:tc>
        <w:tc>
          <w:tcPr>
            <w:tcW w:w="902" w:type="pct"/>
            <w:vAlign w:val="center"/>
          </w:tcPr>
          <w:p w14:paraId="05FE2DBB">
            <w:pPr>
              <w:pStyle w:val="105"/>
              <w:spacing w:before="0" w:after="0"/>
              <w:jc w:val="center"/>
              <w:rPr>
                <w:color w:val="000000" w:themeColor="text1"/>
                <w14:textFill>
                  <w14:solidFill>
                    <w14:schemeClr w14:val="tx1"/>
                  </w14:solidFill>
                </w14:textFill>
              </w:rPr>
            </w:pPr>
          </w:p>
        </w:tc>
        <w:tc>
          <w:tcPr>
            <w:tcW w:w="1016" w:type="pct"/>
            <w:vAlign w:val="center"/>
          </w:tcPr>
          <w:p w14:paraId="6DE3A5C5">
            <w:pPr>
              <w:pStyle w:val="105"/>
              <w:spacing w:before="0" w:after="0"/>
              <w:jc w:val="center"/>
              <w:rPr>
                <w:color w:val="000000" w:themeColor="text1"/>
                <w14:textFill>
                  <w14:solidFill>
                    <w14:schemeClr w14:val="tx1"/>
                  </w14:solidFill>
                </w14:textFill>
              </w:rPr>
            </w:pPr>
          </w:p>
        </w:tc>
        <w:tc>
          <w:tcPr>
            <w:tcW w:w="801" w:type="pct"/>
            <w:vAlign w:val="center"/>
          </w:tcPr>
          <w:p w14:paraId="7C9CE9EB">
            <w:pPr>
              <w:pStyle w:val="105"/>
              <w:spacing w:before="0" w:after="0"/>
              <w:jc w:val="center"/>
              <w:rPr>
                <w:color w:val="000000" w:themeColor="text1"/>
                <w14:textFill>
                  <w14:solidFill>
                    <w14:schemeClr w14:val="tx1"/>
                  </w14:solidFill>
                </w14:textFill>
              </w:rPr>
            </w:pPr>
          </w:p>
        </w:tc>
        <w:tc>
          <w:tcPr>
            <w:tcW w:w="604" w:type="pct"/>
            <w:vAlign w:val="center"/>
          </w:tcPr>
          <w:p w14:paraId="497A8C7D">
            <w:pPr>
              <w:pStyle w:val="105"/>
              <w:spacing w:before="0" w:after="0"/>
              <w:jc w:val="center"/>
              <w:rPr>
                <w:color w:val="000000" w:themeColor="text1"/>
                <w14:textFill>
                  <w14:solidFill>
                    <w14:schemeClr w14:val="tx1"/>
                  </w14:solidFill>
                </w14:textFill>
              </w:rPr>
            </w:pPr>
          </w:p>
        </w:tc>
      </w:tr>
      <w:tr w14:paraId="2977A5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49512571">
            <w:pPr>
              <w:pStyle w:val="105"/>
              <w:spacing w:before="0" w:after="0"/>
              <w:jc w:val="center"/>
              <w:rPr>
                <w:color w:val="000000" w:themeColor="text1"/>
                <w14:textFill>
                  <w14:solidFill>
                    <w14:schemeClr w14:val="tx1"/>
                  </w14:solidFill>
                </w14:textFill>
              </w:rPr>
            </w:pPr>
          </w:p>
        </w:tc>
        <w:tc>
          <w:tcPr>
            <w:tcW w:w="1196" w:type="pct"/>
            <w:vAlign w:val="center"/>
          </w:tcPr>
          <w:p w14:paraId="147F3672">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902" w:type="pct"/>
            <w:vAlign w:val="center"/>
          </w:tcPr>
          <w:p w14:paraId="45B04EC1">
            <w:pPr>
              <w:pStyle w:val="105"/>
              <w:spacing w:before="0" w:after="0"/>
              <w:jc w:val="center"/>
              <w:rPr>
                <w:color w:val="000000" w:themeColor="text1"/>
                <w14:textFill>
                  <w14:solidFill>
                    <w14:schemeClr w14:val="tx1"/>
                  </w14:solidFill>
                </w14:textFill>
              </w:rPr>
            </w:pPr>
          </w:p>
        </w:tc>
        <w:tc>
          <w:tcPr>
            <w:tcW w:w="1016" w:type="pct"/>
            <w:vAlign w:val="center"/>
          </w:tcPr>
          <w:p w14:paraId="5C14F080">
            <w:pPr>
              <w:pStyle w:val="105"/>
              <w:spacing w:before="0" w:after="0"/>
              <w:jc w:val="center"/>
              <w:rPr>
                <w:color w:val="000000" w:themeColor="text1"/>
                <w14:textFill>
                  <w14:solidFill>
                    <w14:schemeClr w14:val="tx1"/>
                  </w14:solidFill>
                </w14:textFill>
              </w:rPr>
            </w:pPr>
          </w:p>
        </w:tc>
        <w:tc>
          <w:tcPr>
            <w:tcW w:w="801" w:type="pct"/>
            <w:vAlign w:val="center"/>
          </w:tcPr>
          <w:p w14:paraId="3AE87F77">
            <w:pPr>
              <w:pStyle w:val="105"/>
              <w:spacing w:before="0" w:after="0"/>
              <w:jc w:val="center"/>
              <w:rPr>
                <w:color w:val="000000" w:themeColor="text1"/>
                <w14:textFill>
                  <w14:solidFill>
                    <w14:schemeClr w14:val="tx1"/>
                  </w14:solidFill>
                </w14:textFill>
              </w:rPr>
            </w:pPr>
          </w:p>
        </w:tc>
        <w:tc>
          <w:tcPr>
            <w:tcW w:w="604" w:type="pct"/>
            <w:vAlign w:val="center"/>
          </w:tcPr>
          <w:p w14:paraId="1BD38809">
            <w:pPr>
              <w:pStyle w:val="105"/>
              <w:spacing w:before="0" w:after="0"/>
              <w:jc w:val="center"/>
              <w:rPr>
                <w:color w:val="000000" w:themeColor="text1"/>
                <w14:textFill>
                  <w14:solidFill>
                    <w14:schemeClr w14:val="tx1"/>
                  </w14:solidFill>
                </w14:textFill>
              </w:rPr>
            </w:pPr>
          </w:p>
        </w:tc>
      </w:tr>
      <w:tr w14:paraId="5AA96A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7795F76B">
            <w:pPr>
              <w:pStyle w:val="105"/>
              <w:spacing w:before="0" w:after="0"/>
              <w:jc w:val="center"/>
              <w:rPr>
                <w:color w:val="000000" w:themeColor="text1"/>
                <w14:textFill>
                  <w14:solidFill>
                    <w14:schemeClr w14:val="tx1"/>
                  </w14:solidFill>
                </w14:textFill>
              </w:rPr>
            </w:pPr>
          </w:p>
        </w:tc>
        <w:tc>
          <w:tcPr>
            <w:tcW w:w="1196" w:type="pct"/>
            <w:vAlign w:val="center"/>
          </w:tcPr>
          <w:p w14:paraId="117C94F3">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902" w:type="pct"/>
            <w:vAlign w:val="center"/>
          </w:tcPr>
          <w:p w14:paraId="2CD8496A">
            <w:pPr>
              <w:pStyle w:val="105"/>
              <w:spacing w:before="0" w:after="0"/>
              <w:jc w:val="center"/>
              <w:rPr>
                <w:color w:val="000000" w:themeColor="text1"/>
                <w14:textFill>
                  <w14:solidFill>
                    <w14:schemeClr w14:val="tx1"/>
                  </w14:solidFill>
                </w14:textFill>
              </w:rPr>
            </w:pPr>
          </w:p>
        </w:tc>
        <w:tc>
          <w:tcPr>
            <w:tcW w:w="1016" w:type="pct"/>
            <w:vAlign w:val="center"/>
          </w:tcPr>
          <w:p w14:paraId="2FD7962E">
            <w:pPr>
              <w:pStyle w:val="105"/>
              <w:spacing w:before="0" w:after="0"/>
              <w:jc w:val="center"/>
              <w:rPr>
                <w:color w:val="000000" w:themeColor="text1"/>
                <w14:textFill>
                  <w14:solidFill>
                    <w14:schemeClr w14:val="tx1"/>
                  </w14:solidFill>
                </w14:textFill>
              </w:rPr>
            </w:pPr>
          </w:p>
        </w:tc>
        <w:tc>
          <w:tcPr>
            <w:tcW w:w="801" w:type="pct"/>
            <w:vAlign w:val="center"/>
          </w:tcPr>
          <w:p w14:paraId="4700176C">
            <w:pPr>
              <w:pStyle w:val="105"/>
              <w:spacing w:before="0" w:after="0"/>
              <w:jc w:val="center"/>
              <w:rPr>
                <w:color w:val="000000" w:themeColor="text1"/>
                <w14:textFill>
                  <w14:solidFill>
                    <w14:schemeClr w14:val="tx1"/>
                  </w14:solidFill>
                </w14:textFill>
              </w:rPr>
            </w:pPr>
          </w:p>
        </w:tc>
        <w:tc>
          <w:tcPr>
            <w:tcW w:w="604" w:type="pct"/>
            <w:vAlign w:val="center"/>
          </w:tcPr>
          <w:p w14:paraId="0EABCFA3">
            <w:pPr>
              <w:pStyle w:val="105"/>
              <w:spacing w:before="0" w:after="0"/>
              <w:jc w:val="center"/>
              <w:rPr>
                <w:color w:val="000000" w:themeColor="text1"/>
                <w14:textFill>
                  <w14:solidFill>
                    <w14:schemeClr w14:val="tx1"/>
                  </w14:solidFill>
                </w14:textFill>
              </w:rPr>
            </w:pPr>
          </w:p>
        </w:tc>
      </w:tr>
      <w:tr w14:paraId="7B7887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284" w:hRule="atLeast"/>
          <w:jc w:val="center"/>
        </w:trPr>
        <w:tc>
          <w:tcPr>
            <w:tcW w:w="481" w:type="pct"/>
            <w:vMerge w:val="restart"/>
            <w:vAlign w:val="center"/>
          </w:tcPr>
          <w:p w14:paraId="0D709C23">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2月</w:t>
            </w:r>
          </w:p>
          <w:p w14:paraId="56D37C6B">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28日</w:t>
            </w:r>
          </w:p>
        </w:tc>
        <w:tc>
          <w:tcPr>
            <w:tcW w:w="1196" w:type="pct"/>
            <w:vAlign w:val="center"/>
          </w:tcPr>
          <w:p w14:paraId="286F050B">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水温</w:t>
            </w:r>
          </w:p>
        </w:tc>
        <w:tc>
          <w:tcPr>
            <w:tcW w:w="902" w:type="pct"/>
            <w:vAlign w:val="center"/>
          </w:tcPr>
          <w:p w14:paraId="6FB3770A">
            <w:pPr>
              <w:pStyle w:val="105"/>
              <w:spacing w:before="0" w:after="0"/>
              <w:jc w:val="center"/>
              <w:rPr>
                <w:color w:val="000000" w:themeColor="text1"/>
                <w14:textFill>
                  <w14:solidFill>
                    <w14:schemeClr w14:val="tx1"/>
                  </w14:solidFill>
                </w14:textFill>
              </w:rPr>
            </w:pPr>
          </w:p>
        </w:tc>
        <w:tc>
          <w:tcPr>
            <w:tcW w:w="1016" w:type="pct"/>
            <w:vAlign w:val="center"/>
          </w:tcPr>
          <w:p w14:paraId="3B62E8A7">
            <w:pPr>
              <w:pStyle w:val="105"/>
              <w:spacing w:before="0" w:after="0"/>
              <w:jc w:val="center"/>
              <w:rPr>
                <w:color w:val="000000" w:themeColor="text1"/>
                <w14:textFill>
                  <w14:solidFill>
                    <w14:schemeClr w14:val="tx1"/>
                  </w14:solidFill>
                </w14:textFill>
              </w:rPr>
            </w:pPr>
          </w:p>
        </w:tc>
        <w:tc>
          <w:tcPr>
            <w:tcW w:w="801" w:type="pct"/>
            <w:vAlign w:val="bottom"/>
          </w:tcPr>
          <w:p w14:paraId="50CC7090">
            <w:pPr>
              <w:pStyle w:val="105"/>
              <w:spacing w:before="0" w:after="0"/>
              <w:jc w:val="center"/>
              <w:rPr>
                <w:color w:val="000000" w:themeColor="text1"/>
                <w14:textFill>
                  <w14:solidFill>
                    <w14:schemeClr w14:val="tx1"/>
                  </w14:solidFill>
                </w14:textFill>
              </w:rPr>
            </w:pPr>
          </w:p>
        </w:tc>
        <w:tc>
          <w:tcPr>
            <w:tcW w:w="604" w:type="pct"/>
            <w:vAlign w:val="bottom"/>
          </w:tcPr>
          <w:p w14:paraId="14D4229A">
            <w:pPr>
              <w:pStyle w:val="105"/>
              <w:spacing w:before="0" w:after="0"/>
              <w:jc w:val="center"/>
              <w:rPr>
                <w:color w:val="000000" w:themeColor="text1"/>
                <w14:textFill>
                  <w14:solidFill>
                    <w14:schemeClr w14:val="tx1"/>
                  </w14:solidFill>
                </w14:textFill>
              </w:rPr>
            </w:pPr>
          </w:p>
        </w:tc>
      </w:tr>
      <w:tr w14:paraId="572D4E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1F69F67F">
            <w:pPr>
              <w:pStyle w:val="105"/>
              <w:spacing w:before="0" w:after="0"/>
              <w:jc w:val="center"/>
              <w:rPr>
                <w:color w:val="000000" w:themeColor="text1"/>
                <w14:textFill>
                  <w14:solidFill>
                    <w14:schemeClr w14:val="tx1"/>
                  </w14:solidFill>
                </w14:textFill>
              </w:rPr>
            </w:pPr>
          </w:p>
        </w:tc>
        <w:tc>
          <w:tcPr>
            <w:tcW w:w="1196" w:type="pct"/>
            <w:vAlign w:val="center"/>
          </w:tcPr>
          <w:p w14:paraId="15522BAF">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溶解氧</w:t>
            </w:r>
          </w:p>
        </w:tc>
        <w:tc>
          <w:tcPr>
            <w:tcW w:w="902" w:type="pct"/>
            <w:vAlign w:val="center"/>
          </w:tcPr>
          <w:p w14:paraId="328243BA">
            <w:pPr>
              <w:pStyle w:val="105"/>
              <w:spacing w:before="0" w:after="0"/>
              <w:jc w:val="center"/>
              <w:rPr>
                <w:color w:val="000000" w:themeColor="text1"/>
                <w14:textFill>
                  <w14:solidFill>
                    <w14:schemeClr w14:val="tx1"/>
                  </w14:solidFill>
                </w14:textFill>
              </w:rPr>
            </w:pPr>
          </w:p>
        </w:tc>
        <w:tc>
          <w:tcPr>
            <w:tcW w:w="1016" w:type="pct"/>
            <w:vAlign w:val="center"/>
          </w:tcPr>
          <w:p w14:paraId="111DCB50">
            <w:pPr>
              <w:pStyle w:val="105"/>
              <w:spacing w:before="0" w:after="0"/>
              <w:jc w:val="center"/>
              <w:rPr>
                <w:color w:val="000000" w:themeColor="text1"/>
                <w14:textFill>
                  <w14:solidFill>
                    <w14:schemeClr w14:val="tx1"/>
                  </w14:solidFill>
                </w14:textFill>
              </w:rPr>
            </w:pPr>
          </w:p>
        </w:tc>
        <w:tc>
          <w:tcPr>
            <w:tcW w:w="801" w:type="pct"/>
            <w:vAlign w:val="center"/>
          </w:tcPr>
          <w:p w14:paraId="52AB755B">
            <w:pPr>
              <w:pStyle w:val="105"/>
              <w:spacing w:before="0" w:after="0"/>
              <w:jc w:val="center"/>
              <w:rPr>
                <w:color w:val="000000" w:themeColor="text1"/>
                <w14:textFill>
                  <w14:solidFill>
                    <w14:schemeClr w14:val="tx1"/>
                  </w14:solidFill>
                </w14:textFill>
              </w:rPr>
            </w:pPr>
          </w:p>
        </w:tc>
        <w:tc>
          <w:tcPr>
            <w:tcW w:w="604" w:type="pct"/>
            <w:vAlign w:val="center"/>
          </w:tcPr>
          <w:p w14:paraId="625B67D8">
            <w:pPr>
              <w:pStyle w:val="105"/>
              <w:spacing w:before="0" w:after="0"/>
              <w:jc w:val="center"/>
              <w:rPr>
                <w:color w:val="000000" w:themeColor="text1"/>
                <w14:textFill>
                  <w14:solidFill>
                    <w14:schemeClr w14:val="tx1"/>
                  </w14:solidFill>
                </w14:textFill>
              </w:rPr>
            </w:pPr>
          </w:p>
        </w:tc>
      </w:tr>
      <w:tr w14:paraId="38BA595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097A0963">
            <w:pPr>
              <w:pStyle w:val="105"/>
              <w:spacing w:before="0" w:after="0"/>
              <w:jc w:val="center"/>
              <w:rPr>
                <w:color w:val="000000" w:themeColor="text1"/>
                <w14:textFill>
                  <w14:solidFill>
                    <w14:schemeClr w14:val="tx1"/>
                  </w14:solidFill>
                </w14:textFill>
              </w:rPr>
            </w:pPr>
          </w:p>
        </w:tc>
        <w:tc>
          <w:tcPr>
            <w:tcW w:w="1196" w:type="pct"/>
            <w:vAlign w:val="center"/>
          </w:tcPr>
          <w:p w14:paraId="18BC5C26">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pH值</w:t>
            </w:r>
          </w:p>
        </w:tc>
        <w:tc>
          <w:tcPr>
            <w:tcW w:w="902" w:type="pct"/>
            <w:vAlign w:val="center"/>
          </w:tcPr>
          <w:p w14:paraId="33EF0576">
            <w:pPr>
              <w:pStyle w:val="105"/>
              <w:spacing w:before="0" w:after="0"/>
              <w:jc w:val="center"/>
              <w:rPr>
                <w:color w:val="000000" w:themeColor="text1"/>
                <w14:textFill>
                  <w14:solidFill>
                    <w14:schemeClr w14:val="tx1"/>
                  </w14:solidFill>
                </w14:textFill>
              </w:rPr>
            </w:pPr>
          </w:p>
        </w:tc>
        <w:tc>
          <w:tcPr>
            <w:tcW w:w="1016" w:type="pct"/>
            <w:vAlign w:val="center"/>
          </w:tcPr>
          <w:p w14:paraId="382171F7">
            <w:pPr>
              <w:pStyle w:val="105"/>
              <w:spacing w:before="0" w:after="0"/>
              <w:jc w:val="center"/>
              <w:rPr>
                <w:color w:val="000000" w:themeColor="text1"/>
                <w14:textFill>
                  <w14:solidFill>
                    <w14:schemeClr w14:val="tx1"/>
                  </w14:solidFill>
                </w14:textFill>
              </w:rPr>
            </w:pPr>
          </w:p>
        </w:tc>
        <w:tc>
          <w:tcPr>
            <w:tcW w:w="801" w:type="pct"/>
            <w:vAlign w:val="center"/>
          </w:tcPr>
          <w:p w14:paraId="3B068F36">
            <w:pPr>
              <w:pStyle w:val="105"/>
              <w:spacing w:before="0" w:after="0"/>
              <w:jc w:val="center"/>
              <w:rPr>
                <w:color w:val="000000" w:themeColor="text1"/>
                <w14:textFill>
                  <w14:solidFill>
                    <w14:schemeClr w14:val="tx1"/>
                  </w14:solidFill>
                </w14:textFill>
              </w:rPr>
            </w:pPr>
          </w:p>
        </w:tc>
        <w:tc>
          <w:tcPr>
            <w:tcW w:w="604" w:type="pct"/>
            <w:vAlign w:val="center"/>
          </w:tcPr>
          <w:p w14:paraId="7EC1DACC">
            <w:pPr>
              <w:pStyle w:val="105"/>
              <w:spacing w:before="0" w:after="0"/>
              <w:jc w:val="center"/>
              <w:rPr>
                <w:color w:val="000000" w:themeColor="text1"/>
                <w14:textFill>
                  <w14:solidFill>
                    <w14:schemeClr w14:val="tx1"/>
                  </w14:solidFill>
                </w14:textFill>
              </w:rPr>
            </w:pPr>
          </w:p>
        </w:tc>
      </w:tr>
      <w:tr w14:paraId="0AD716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2DF139DD">
            <w:pPr>
              <w:pStyle w:val="105"/>
              <w:spacing w:before="0" w:after="0"/>
              <w:jc w:val="center"/>
              <w:rPr>
                <w:color w:val="000000" w:themeColor="text1"/>
                <w14:textFill>
                  <w14:solidFill>
                    <w14:schemeClr w14:val="tx1"/>
                  </w14:solidFill>
                </w14:textFill>
              </w:rPr>
            </w:pPr>
          </w:p>
        </w:tc>
        <w:tc>
          <w:tcPr>
            <w:tcW w:w="1196" w:type="pct"/>
            <w:vAlign w:val="center"/>
          </w:tcPr>
          <w:p w14:paraId="49E8D4D9">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悬浮物</w:t>
            </w:r>
          </w:p>
        </w:tc>
        <w:tc>
          <w:tcPr>
            <w:tcW w:w="902" w:type="pct"/>
            <w:vAlign w:val="center"/>
          </w:tcPr>
          <w:p w14:paraId="593129B2">
            <w:pPr>
              <w:pStyle w:val="105"/>
              <w:spacing w:before="0" w:after="0"/>
              <w:jc w:val="center"/>
              <w:rPr>
                <w:color w:val="000000" w:themeColor="text1"/>
                <w14:textFill>
                  <w14:solidFill>
                    <w14:schemeClr w14:val="tx1"/>
                  </w14:solidFill>
                </w14:textFill>
              </w:rPr>
            </w:pPr>
          </w:p>
        </w:tc>
        <w:tc>
          <w:tcPr>
            <w:tcW w:w="1016" w:type="pct"/>
            <w:vAlign w:val="center"/>
          </w:tcPr>
          <w:p w14:paraId="5B90BF6C">
            <w:pPr>
              <w:pStyle w:val="105"/>
              <w:spacing w:before="0" w:after="0"/>
              <w:jc w:val="center"/>
              <w:rPr>
                <w:color w:val="000000" w:themeColor="text1"/>
                <w14:textFill>
                  <w14:solidFill>
                    <w14:schemeClr w14:val="tx1"/>
                  </w14:solidFill>
                </w14:textFill>
              </w:rPr>
            </w:pPr>
          </w:p>
        </w:tc>
        <w:tc>
          <w:tcPr>
            <w:tcW w:w="801" w:type="pct"/>
            <w:vAlign w:val="bottom"/>
          </w:tcPr>
          <w:p w14:paraId="606C719D">
            <w:pPr>
              <w:pStyle w:val="105"/>
              <w:spacing w:before="0" w:after="0"/>
              <w:jc w:val="center"/>
              <w:rPr>
                <w:color w:val="000000" w:themeColor="text1"/>
                <w14:textFill>
                  <w14:solidFill>
                    <w14:schemeClr w14:val="tx1"/>
                  </w14:solidFill>
                </w14:textFill>
              </w:rPr>
            </w:pPr>
          </w:p>
        </w:tc>
        <w:tc>
          <w:tcPr>
            <w:tcW w:w="604" w:type="pct"/>
            <w:vAlign w:val="bottom"/>
          </w:tcPr>
          <w:p w14:paraId="1D18F6EE">
            <w:pPr>
              <w:pStyle w:val="105"/>
              <w:spacing w:before="0" w:after="0"/>
              <w:jc w:val="center"/>
              <w:rPr>
                <w:color w:val="000000" w:themeColor="text1"/>
                <w14:textFill>
                  <w14:solidFill>
                    <w14:schemeClr w14:val="tx1"/>
                  </w14:solidFill>
                </w14:textFill>
              </w:rPr>
            </w:pPr>
          </w:p>
        </w:tc>
      </w:tr>
      <w:tr w14:paraId="1D9E0E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0AFE6250">
            <w:pPr>
              <w:pStyle w:val="105"/>
              <w:spacing w:before="0" w:after="0"/>
              <w:jc w:val="center"/>
              <w:rPr>
                <w:color w:val="000000" w:themeColor="text1"/>
                <w14:textFill>
                  <w14:solidFill>
                    <w14:schemeClr w14:val="tx1"/>
                  </w14:solidFill>
                </w14:textFill>
              </w:rPr>
            </w:pPr>
          </w:p>
        </w:tc>
        <w:tc>
          <w:tcPr>
            <w:tcW w:w="1196" w:type="pct"/>
            <w:vAlign w:val="center"/>
          </w:tcPr>
          <w:p w14:paraId="255902C3">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石油类</w:t>
            </w:r>
          </w:p>
        </w:tc>
        <w:tc>
          <w:tcPr>
            <w:tcW w:w="902" w:type="pct"/>
            <w:vAlign w:val="center"/>
          </w:tcPr>
          <w:p w14:paraId="712342C4">
            <w:pPr>
              <w:pStyle w:val="105"/>
              <w:spacing w:before="0" w:after="0"/>
              <w:jc w:val="center"/>
              <w:rPr>
                <w:color w:val="000000" w:themeColor="text1"/>
                <w14:textFill>
                  <w14:solidFill>
                    <w14:schemeClr w14:val="tx1"/>
                  </w14:solidFill>
                </w14:textFill>
              </w:rPr>
            </w:pPr>
          </w:p>
        </w:tc>
        <w:tc>
          <w:tcPr>
            <w:tcW w:w="1016" w:type="pct"/>
            <w:vAlign w:val="center"/>
          </w:tcPr>
          <w:p w14:paraId="49A586A8">
            <w:pPr>
              <w:pStyle w:val="105"/>
              <w:spacing w:before="0" w:after="0"/>
              <w:jc w:val="center"/>
              <w:rPr>
                <w:color w:val="000000" w:themeColor="text1"/>
                <w14:textFill>
                  <w14:solidFill>
                    <w14:schemeClr w14:val="tx1"/>
                  </w14:solidFill>
                </w14:textFill>
              </w:rPr>
            </w:pPr>
          </w:p>
        </w:tc>
        <w:tc>
          <w:tcPr>
            <w:tcW w:w="801" w:type="pct"/>
            <w:vAlign w:val="center"/>
          </w:tcPr>
          <w:p w14:paraId="34F02A22">
            <w:pPr>
              <w:pStyle w:val="105"/>
              <w:spacing w:before="0" w:after="0"/>
              <w:jc w:val="center"/>
              <w:rPr>
                <w:color w:val="000000" w:themeColor="text1"/>
                <w14:textFill>
                  <w14:solidFill>
                    <w14:schemeClr w14:val="tx1"/>
                  </w14:solidFill>
                </w14:textFill>
              </w:rPr>
            </w:pPr>
          </w:p>
        </w:tc>
        <w:tc>
          <w:tcPr>
            <w:tcW w:w="604" w:type="pct"/>
            <w:vAlign w:val="center"/>
          </w:tcPr>
          <w:p w14:paraId="3F207584">
            <w:pPr>
              <w:pStyle w:val="105"/>
              <w:spacing w:before="0" w:after="0"/>
              <w:jc w:val="center"/>
              <w:rPr>
                <w:color w:val="000000" w:themeColor="text1"/>
                <w14:textFill>
                  <w14:solidFill>
                    <w14:schemeClr w14:val="tx1"/>
                  </w14:solidFill>
                </w14:textFill>
              </w:rPr>
            </w:pPr>
          </w:p>
        </w:tc>
      </w:tr>
      <w:tr w14:paraId="27FBCEB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75F03A0B">
            <w:pPr>
              <w:pStyle w:val="105"/>
              <w:spacing w:before="0" w:after="0"/>
              <w:jc w:val="center"/>
              <w:rPr>
                <w:color w:val="000000" w:themeColor="text1"/>
                <w14:textFill>
                  <w14:solidFill>
                    <w14:schemeClr w14:val="tx1"/>
                  </w14:solidFill>
                </w14:textFill>
              </w:rPr>
            </w:pPr>
          </w:p>
        </w:tc>
        <w:tc>
          <w:tcPr>
            <w:tcW w:w="1196" w:type="pct"/>
            <w:vAlign w:val="center"/>
          </w:tcPr>
          <w:p w14:paraId="23CF57BC">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高锰酸盐指数</w:t>
            </w:r>
          </w:p>
        </w:tc>
        <w:tc>
          <w:tcPr>
            <w:tcW w:w="902" w:type="pct"/>
            <w:vAlign w:val="center"/>
          </w:tcPr>
          <w:p w14:paraId="40A07DEA">
            <w:pPr>
              <w:pStyle w:val="105"/>
              <w:spacing w:before="0" w:after="0"/>
              <w:jc w:val="center"/>
              <w:rPr>
                <w:color w:val="000000" w:themeColor="text1"/>
                <w14:textFill>
                  <w14:solidFill>
                    <w14:schemeClr w14:val="tx1"/>
                  </w14:solidFill>
                </w14:textFill>
              </w:rPr>
            </w:pPr>
          </w:p>
        </w:tc>
        <w:tc>
          <w:tcPr>
            <w:tcW w:w="1016" w:type="pct"/>
            <w:vAlign w:val="center"/>
          </w:tcPr>
          <w:p w14:paraId="661899B0">
            <w:pPr>
              <w:pStyle w:val="105"/>
              <w:spacing w:before="0" w:after="0"/>
              <w:jc w:val="center"/>
              <w:rPr>
                <w:color w:val="000000" w:themeColor="text1"/>
                <w14:textFill>
                  <w14:solidFill>
                    <w14:schemeClr w14:val="tx1"/>
                  </w14:solidFill>
                </w14:textFill>
              </w:rPr>
            </w:pPr>
          </w:p>
        </w:tc>
        <w:tc>
          <w:tcPr>
            <w:tcW w:w="801" w:type="pct"/>
            <w:vAlign w:val="center"/>
          </w:tcPr>
          <w:p w14:paraId="6BF0DB29">
            <w:pPr>
              <w:pStyle w:val="105"/>
              <w:spacing w:before="0" w:after="0"/>
              <w:jc w:val="center"/>
              <w:rPr>
                <w:color w:val="000000" w:themeColor="text1"/>
                <w14:textFill>
                  <w14:solidFill>
                    <w14:schemeClr w14:val="tx1"/>
                  </w14:solidFill>
                </w14:textFill>
              </w:rPr>
            </w:pPr>
          </w:p>
        </w:tc>
        <w:tc>
          <w:tcPr>
            <w:tcW w:w="604" w:type="pct"/>
            <w:vAlign w:val="center"/>
          </w:tcPr>
          <w:p w14:paraId="6794E976">
            <w:pPr>
              <w:pStyle w:val="105"/>
              <w:spacing w:before="0" w:after="0"/>
              <w:jc w:val="center"/>
              <w:rPr>
                <w:color w:val="000000" w:themeColor="text1"/>
                <w14:textFill>
                  <w14:solidFill>
                    <w14:schemeClr w14:val="tx1"/>
                  </w14:solidFill>
                </w14:textFill>
              </w:rPr>
            </w:pPr>
          </w:p>
        </w:tc>
      </w:tr>
      <w:tr w14:paraId="7F0A35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2F0982A5">
            <w:pPr>
              <w:pStyle w:val="105"/>
              <w:spacing w:before="0" w:after="0"/>
              <w:jc w:val="center"/>
              <w:rPr>
                <w:color w:val="000000" w:themeColor="text1"/>
                <w14:textFill>
                  <w14:solidFill>
                    <w14:schemeClr w14:val="tx1"/>
                  </w14:solidFill>
                </w14:textFill>
              </w:rPr>
            </w:pPr>
          </w:p>
        </w:tc>
        <w:tc>
          <w:tcPr>
            <w:tcW w:w="1196" w:type="pct"/>
            <w:vAlign w:val="center"/>
          </w:tcPr>
          <w:p w14:paraId="7654BAA6">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五日生化需氧量</w:t>
            </w:r>
          </w:p>
        </w:tc>
        <w:tc>
          <w:tcPr>
            <w:tcW w:w="902" w:type="pct"/>
            <w:vAlign w:val="center"/>
          </w:tcPr>
          <w:p w14:paraId="67A98EE3">
            <w:pPr>
              <w:pStyle w:val="105"/>
              <w:spacing w:before="0" w:after="0"/>
              <w:jc w:val="center"/>
              <w:rPr>
                <w:color w:val="000000" w:themeColor="text1"/>
                <w14:textFill>
                  <w14:solidFill>
                    <w14:schemeClr w14:val="tx1"/>
                  </w14:solidFill>
                </w14:textFill>
              </w:rPr>
            </w:pPr>
          </w:p>
        </w:tc>
        <w:tc>
          <w:tcPr>
            <w:tcW w:w="1016" w:type="pct"/>
            <w:vAlign w:val="center"/>
          </w:tcPr>
          <w:p w14:paraId="279D4D40">
            <w:pPr>
              <w:pStyle w:val="105"/>
              <w:spacing w:before="0" w:after="0"/>
              <w:jc w:val="center"/>
              <w:rPr>
                <w:color w:val="000000" w:themeColor="text1"/>
                <w14:textFill>
                  <w14:solidFill>
                    <w14:schemeClr w14:val="tx1"/>
                  </w14:solidFill>
                </w14:textFill>
              </w:rPr>
            </w:pPr>
          </w:p>
        </w:tc>
        <w:tc>
          <w:tcPr>
            <w:tcW w:w="801" w:type="pct"/>
            <w:vAlign w:val="center"/>
          </w:tcPr>
          <w:p w14:paraId="01E1BD64">
            <w:pPr>
              <w:pStyle w:val="105"/>
              <w:spacing w:before="0" w:after="0"/>
              <w:jc w:val="center"/>
              <w:rPr>
                <w:color w:val="000000" w:themeColor="text1"/>
                <w14:textFill>
                  <w14:solidFill>
                    <w14:schemeClr w14:val="tx1"/>
                  </w14:solidFill>
                </w14:textFill>
              </w:rPr>
            </w:pPr>
          </w:p>
        </w:tc>
        <w:tc>
          <w:tcPr>
            <w:tcW w:w="604" w:type="pct"/>
            <w:vAlign w:val="center"/>
          </w:tcPr>
          <w:p w14:paraId="75EC8A2D">
            <w:pPr>
              <w:pStyle w:val="105"/>
              <w:spacing w:before="0" w:after="0"/>
              <w:jc w:val="center"/>
              <w:rPr>
                <w:color w:val="000000" w:themeColor="text1"/>
                <w14:textFill>
                  <w14:solidFill>
                    <w14:schemeClr w14:val="tx1"/>
                  </w14:solidFill>
                </w14:textFill>
              </w:rPr>
            </w:pPr>
          </w:p>
        </w:tc>
      </w:tr>
      <w:tr w14:paraId="2534F65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75D781F1">
            <w:pPr>
              <w:pStyle w:val="105"/>
              <w:spacing w:before="0" w:after="0"/>
              <w:jc w:val="center"/>
              <w:rPr>
                <w:color w:val="000000" w:themeColor="text1"/>
                <w14:textFill>
                  <w14:solidFill>
                    <w14:schemeClr w14:val="tx1"/>
                  </w14:solidFill>
                </w14:textFill>
              </w:rPr>
            </w:pPr>
          </w:p>
        </w:tc>
        <w:tc>
          <w:tcPr>
            <w:tcW w:w="1196" w:type="pct"/>
            <w:vAlign w:val="center"/>
          </w:tcPr>
          <w:p w14:paraId="709D6397">
            <w:pPr>
              <w:pStyle w:val="105"/>
              <w:spacing w:before="0" w:after="0"/>
              <w:jc w:val="center"/>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902" w:type="pct"/>
            <w:vAlign w:val="center"/>
          </w:tcPr>
          <w:p w14:paraId="056B76D6">
            <w:pPr>
              <w:pStyle w:val="105"/>
              <w:spacing w:before="0" w:after="0"/>
              <w:jc w:val="center"/>
              <w:rPr>
                <w:color w:val="000000" w:themeColor="text1"/>
                <w14:textFill>
                  <w14:solidFill>
                    <w14:schemeClr w14:val="tx1"/>
                  </w14:solidFill>
                </w14:textFill>
              </w:rPr>
            </w:pPr>
          </w:p>
        </w:tc>
        <w:tc>
          <w:tcPr>
            <w:tcW w:w="1016" w:type="pct"/>
            <w:vAlign w:val="center"/>
          </w:tcPr>
          <w:p w14:paraId="537E28F9">
            <w:pPr>
              <w:pStyle w:val="105"/>
              <w:spacing w:before="0" w:after="0"/>
              <w:jc w:val="center"/>
              <w:rPr>
                <w:color w:val="000000" w:themeColor="text1"/>
                <w14:textFill>
                  <w14:solidFill>
                    <w14:schemeClr w14:val="tx1"/>
                  </w14:solidFill>
                </w14:textFill>
              </w:rPr>
            </w:pPr>
          </w:p>
        </w:tc>
        <w:tc>
          <w:tcPr>
            <w:tcW w:w="801" w:type="pct"/>
            <w:vAlign w:val="center"/>
          </w:tcPr>
          <w:p w14:paraId="7FDEAC89">
            <w:pPr>
              <w:pStyle w:val="105"/>
              <w:spacing w:before="0" w:after="0"/>
              <w:jc w:val="center"/>
              <w:rPr>
                <w:color w:val="000000" w:themeColor="text1"/>
                <w14:textFill>
                  <w14:solidFill>
                    <w14:schemeClr w14:val="tx1"/>
                  </w14:solidFill>
                </w14:textFill>
              </w:rPr>
            </w:pPr>
          </w:p>
        </w:tc>
        <w:tc>
          <w:tcPr>
            <w:tcW w:w="604" w:type="pct"/>
            <w:vAlign w:val="center"/>
          </w:tcPr>
          <w:p w14:paraId="7F24DF5D">
            <w:pPr>
              <w:pStyle w:val="105"/>
              <w:spacing w:before="0" w:after="0"/>
              <w:jc w:val="center"/>
              <w:rPr>
                <w:color w:val="000000" w:themeColor="text1"/>
                <w14:textFill>
                  <w14:solidFill>
                    <w14:schemeClr w14:val="tx1"/>
                  </w14:solidFill>
                </w14:textFill>
              </w:rPr>
            </w:pPr>
          </w:p>
        </w:tc>
      </w:tr>
      <w:tr w14:paraId="0445E7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4" w:hRule="atLeast"/>
          <w:jc w:val="center"/>
        </w:trPr>
        <w:tc>
          <w:tcPr>
            <w:tcW w:w="481" w:type="pct"/>
            <w:vMerge w:val="continue"/>
            <w:vAlign w:val="center"/>
          </w:tcPr>
          <w:p w14:paraId="64060A0E">
            <w:pPr>
              <w:pStyle w:val="105"/>
              <w:spacing w:before="0" w:after="0"/>
              <w:jc w:val="center"/>
              <w:rPr>
                <w:color w:val="000000" w:themeColor="text1"/>
                <w14:textFill>
                  <w14:solidFill>
                    <w14:schemeClr w14:val="tx1"/>
                  </w14:solidFill>
                </w14:textFill>
              </w:rPr>
            </w:pPr>
          </w:p>
        </w:tc>
        <w:tc>
          <w:tcPr>
            <w:tcW w:w="1196" w:type="pct"/>
            <w:vAlign w:val="center"/>
          </w:tcPr>
          <w:p w14:paraId="62EB94C3">
            <w:pPr>
              <w:pStyle w:val="105"/>
              <w:spacing w:before="0"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总磷</w:t>
            </w:r>
          </w:p>
        </w:tc>
        <w:tc>
          <w:tcPr>
            <w:tcW w:w="902" w:type="pct"/>
            <w:vAlign w:val="center"/>
          </w:tcPr>
          <w:p w14:paraId="2ED68F07">
            <w:pPr>
              <w:pStyle w:val="105"/>
              <w:spacing w:before="0" w:after="0"/>
              <w:jc w:val="center"/>
              <w:rPr>
                <w:color w:val="000000" w:themeColor="text1"/>
                <w14:textFill>
                  <w14:solidFill>
                    <w14:schemeClr w14:val="tx1"/>
                  </w14:solidFill>
                </w14:textFill>
              </w:rPr>
            </w:pPr>
          </w:p>
        </w:tc>
        <w:tc>
          <w:tcPr>
            <w:tcW w:w="1016" w:type="pct"/>
            <w:vAlign w:val="center"/>
          </w:tcPr>
          <w:p w14:paraId="44E9A13A">
            <w:pPr>
              <w:pStyle w:val="105"/>
              <w:spacing w:before="0" w:after="0"/>
              <w:jc w:val="center"/>
              <w:rPr>
                <w:color w:val="000000" w:themeColor="text1"/>
                <w14:textFill>
                  <w14:solidFill>
                    <w14:schemeClr w14:val="tx1"/>
                  </w14:solidFill>
                </w14:textFill>
              </w:rPr>
            </w:pPr>
          </w:p>
        </w:tc>
        <w:tc>
          <w:tcPr>
            <w:tcW w:w="801" w:type="pct"/>
            <w:vAlign w:val="center"/>
          </w:tcPr>
          <w:p w14:paraId="67B4DC02">
            <w:pPr>
              <w:pStyle w:val="105"/>
              <w:spacing w:before="0" w:after="0"/>
              <w:jc w:val="center"/>
              <w:rPr>
                <w:color w:val="000000" w:themeColor="text1"/>
                <w14:textFill>
                  <w14:solidFill>
                    <w14:schemeClr w14:val="tx1"/>
                  </w14:solidFill>
                </w14:textFill>
              </w:rPr>
            </w:pPr>
          </w:p>
        </w:tc>
        <w:tc>
          <w:tcPr>
            <w:tcW w:w="604" w:type="pct"/>
            <w:vAlign w:val="center"/>
          </w:tcPr>
          <w:p w14:paraId="6859B8C9">
            <w:pPr>
              <w:pStyle w:val="105"/>
              <w:spacing w:before="0" w:after="0"/>
              <w:jc w:val="center"/>
              <w:rPr>
                <w:color w:val="000000" w:themeColor="text1"/>
                <w14:textFill>
                  <w14:solidFill>
                    <w14:schemeClr w14:val="tx1"/>
                  </w14:solidFill>
                </w14:textFill>
              </w:rPr>
            </w:pPr>
          </w:p>
        </w:tc>
      </w:tr>
    </w:tbl>
    <w:p w14:paraId="76D02228">
      <w:pPr>
        <w:pStyle w:val="124"/>
        <w:spacing w:before="163"/>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监测结果表明：迳江水质符合《地表水环境质量标准》（GB3838-2002）中Ⅲ类水质标准限值要求，</w:t>
      </w:r>
      <w:r>
        <w:rPr>
          <w:color w:val="000000" w:themeColor="text1"/>
          <w14:textFill>
            <w14:solidFill>
              <w14:schemeClr w14:val="tx1"/>
            </w14:solidFill>
          </w14:textFill>
        </w:rPr>
        <w:t>表明项目周边水体水质现状良好。</w:t>
      </w:r>
    </w:p>
    <w:p w14:paraId="48E857B4">
      <w:pPr>
        <w:pStyle w:val="120"/>
        <w:rPr>
          <w:color w:val="000000" w:themeColor="text1"/>
          <w14:textFill>
            <w14:solidFill>
              <w14:schemeClr w14:val="tx1"/>
            </w14:solidFill>
          </w14:textFill>
        </w:rPr>
      </w:pPr>
      <w:bookmarkStart w:id="532" w:name="3.2声环境现状调查与评价"/>
      <w:bookmarkEnd w:id="532"/>
      <w:r>
        <w:rPr>
          <w:rFonts w:hint="eastAsia"/>
          <w:color w:val="000000" w:themeColor="text1"/>
          <w14:textFill>
            <w14:solidFill>
              <w14:schemeClr w14:val="tx1"/>
            </w14:solidFill>
          </w14:textFill>
        </w:rPr>
        <w:t>声环境质量现状调查与评价</w:t>
      </w:r>
    </w:p>
    <w:p w14:paraId="5183A3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本次评价委托福建九五检测技术服务有限公司（C</w:t>
      </w:r>
      <w:r>
        <w:rPr>
          <w:color w:val="000000" w:themeColor="text1"/>
          <w14:textFill>
            <w14:solidFill>
              <w14:schemeClr w14:val="tx1"/>
            </w14:solidFill>
          </w14:textFill>
        </w:rPr>
        <w:t>MA23131205A003</w:t>
      </w:r>
      <w:r>
        <w:rPr>
          <w:rFonts w:hint="eastAsia"/>
          <w:color w:val="000000" w:themeColor="text1"/>
          <w14:textFill>
            <w14:solidFill>
              <w14:schemeClr w14:val="tx1"/>
            </w14:solidFill>
          </w14:textFill>
        </w:rPr>
        <w:t>）于</w:t>
      </w:r>
      <w:r>
        <w:rPr>
          <w:color w:val="000000" w:themeColor="text1"/>
          <w14:textFill>
            <w14:solidFill>
              <w14:schemeClr w14:val="tx1"/>
            </w14:solidFill>
          </w14:textFill>
        </w:rPr>
        <w:t>2025年2月26日</w:t>
      </w:r>
      <w:bookmarkStart w:id="533" w:name="hmcheck_2a7460ea5de24f0aa1c58f3dc14d6626"/>
      <w:r>
        <w:rPr>
          <w:rFonts w:hint="eastAsia"/>
          <w:color w:val="000000" w:themeColor="text1"/>
          <w:shd w:val="clear" w:fill="FFAFAA"/>
          <w14:textFill>
            <w14:solidFill>
              <w14:schemeClr w14:val="tx1"/>
            </w14:solidFill>
          </w14:textFill>
        </w:rPr>
        <w:t>~</w:t>
      </w:r>
      <w:bookmarkEnd w:id="533"/>
      <w:r>
        <w:rPr>
          <w:color w:val="000000" w:themeColor="text1"/>
          <w14:textFill>
            <w14:solidFill>
              <w14:schemeClr w14:val="tx1"/>
            </w14:solidFill>
          </w14:textFill>
        </w:rPr>
        <w:t>2月28日</w:t>
      </w:r>
      <w:r>
        <w:rPr>
          <w:rFonts w:hint="eastAsia"/>
          <w:color w:val="000000" w:themeColor="text1"/>
          <w14:textFill>
            <w14:solidFill>
              <w14:schemeClr w14:val="tx1"/>
            </w14:solidFill>
          </w14:textFill>
        </w:rPr>
        <w:t>对项目沿线声环境质量现状进行监测。</w:t>
      </w:r>
    </w:p>
    <w:p w14:paraId="79F78C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（1）监测点位及频次：</w:t>
      </w:r>
      <w:r>
        <w:rPr>
          <w:color w:val="000000" w:themeColor="text1"/>
          <w14:textFill>
            <w14:solidFill>
              <w14:schemeClr w14:val="tx1"/>
            </w14:solidFill>
          </w14:textFill>
        </w:rPr>
        <w:t>2025年2月26日</w:t>
      </w:r>
      <w:bookmarkStart w:id="534" w:name="hmcheck_fc96f2700ac54a1b9b126fbfc35bbb81"/>
      <w:r>
        <w:rPr>
          <w:rFonts w:hint="eastAsia"/>
          <w:color w:val="000000" w:themeColor="text1"/>
          <w:shd w:val="clear" w:fill="FFAFAA"/>
          <w14:textFill>
            <w14:solidFill>
              <w14:schemeClr w14:val="tx1"/>
            </w14:solidFill>
          </w14:textFill>
        </w:rPr>
        <w:t>~</w:t>
      </w:r>
      <w:bookmarkEnd w:id="534"/>
      <w:r>
        <w:rPr>
          <w:color w:val="000000" w:themeColor="text1"/>
          <w14:textFill>
            <w14:solidFill>
              <w14:schemeClr w14:val="tx1"/>
            </w14:solidFill>
          </w14:textFill>
        </w:rPr>
        <w:t>2月27日</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2025年2月27日</w:t>
      </w:r>
      <w:bookmarkStart w:id="535" w:name="hmcheck_c5249c54d1a14a73914becc0e887f3b6"/>
      <w:r>
        <w:rPr>
          <w:rFonts w:hint="eastAsia"/>
          <w:color w:val="000000" w:themeColor="text1"/>
          <w:shd w:val="clear" w:fill="FFAFAA"/>
          <w14:textFill>
            <w14:solidFill>
              <w14:schemeClr w14:val="tx1"/>
            </w14:solidFill>
          </w14:textFill>
        </w:rPr>
        <w:t>~</w:t>
      </w:r>
      <w:bookmarkEnd w:id="535"/>
      <w:r>
        <w:rPr>
          <w:color w:val="000000" w:themeColor="text1"/>
          <w14:textFill>
            <w14:solidFill>
              <w14:schemeClr w14:val="tx1"/>
            </w14:solidFill>
          </w14:textFill>
        </w:rPr>
        <w:t>2月28日</w:t>
      </w:r>
      <w:r>
        <w:rPr>
          <w:rFonts w:hint="eastAsia"/>
          <w:color w:val="000000" w:themeColor="text1"/>
          <w14:textFill>
            <w14:solidFill>
              <w14:schemeClr w14:val="tx1"/>
            </w14:solidFill>
          </w14:textFill>
        </w:rPr>
        <w:t>（昼、夜各2次）</w:t>
      </w:r>
      <w:r>
        <w:rPr>
          <w:color w:val="000000" w:themeColor="text1"/>
          <w14:textFill>
            <w14:solidFill>
              <w14:schemeClr w14:val="tx1"/>
            </w14:solidFill>
          </w14:textFill>
        </w:rPr>
        <w:t>在</w:t>
      </w:r>
      <w:r>
        <w:rPr>
          <w:rFonts w:hint="eastAsia"/>
          <w:color w:val="000000" w:themeColor="text1"/>
          <w14:textFill>
            <w14:solidFill>
              <w14:schemeClr w14:val="tx1"/>
            </w14:solidFill>
          </w14:textFill>
        </w:rPr>
        <w:t>项目沿线</w:t>
      </w:r>
      <w:r>
        <w:rPr>
          <w:color w:val="000000" w:themeColor="text1"/>
          <w14:textFill>
            <w14:solidFill>
              <w14:schemeClr w14:val="tx1"/>
            </w14:solidFill>
          </w14:textFill>
        </w:rPr>
        <w:t>共布置8个监测点位</w:t>
      </w:r>
      <w:r>
        <w:rPr>
          <w:rFonts w:hint="eastAsia"/>
          <w:color w:val="000000" w:themeColor="text1"/>
          <w14:textFill>
            <w14:solidFill>
              <w14:schemeClr w14:val="tx1"/>
            </w14:solidFill>
          </w14:textFill>
        </w:rPr>
        <w:t>（主要为敏感点及背景噪声监测）。详见</w:t>
      </w:r>
      <w:r>
        <w:rPr>
          <w:color w:val="000000" w:themeColor="text1"/>
          <w:kern w:val="0"/>
          <w:szCs w:val="24"/>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_Ref193786627 \r \h</w:instrText>
      </w:r>
      <w:r>
        <w:rPr>
          <w:color w:val="000000" w:themeColor="text1"/>
          <w14:textFill>
            <w14:solidFill>
              <w14:schemeClr w14:val="tx1"/>
            </w14:solidFill>
          </w14:textFill>
        </w:rPr>
        <w:instrText xml:space="preserve"> </w:instrText>
      </w:r>
      <w:r>
        <w:rPr>
          <w:color w:val="000000" w:themeColor="text1"/>
          <w:kern w:val="0"/>
          <w:szCs w:val="24"/>
          <w14:textFill>
            <w14:solidFill>
              <w14:schemeClr w14:val="tx1"/>
            </w14:solidFill>
          </w14:textFill>
        </w:rPr>
        <w:fldChar w:fldCharType="separate"/>
      </w:r>
      <w:r>
        <w:rPr>
          <w:rFonts w:hint="eastAsia"/>
          <w:color w:val="000000" w:themeColor="text1"/>
          <w14:textFill>
            <w14:solidFill>
              <w14:schemeClr w14:val="tx1"/>
            </w14:solidFill>
          </w14:textFill>
        </w:rPr>
        <w:t>图4.2-2</w:t>
      </w:r>
      <w:r>
        <w:rPr>
          <w:color w:val="000000" w:themeColor="text1"/>
          <w:kern w:val="0"/>
          <w:szCs w:val="24"/>
          <w14:textFill>
            <w14:solidFill>
              <w14:schemeClr w14:val="tx1"/>
            </w14:solidFill>
          </w14:textFill>
        </w:rPr>
        <w:fldChar w:fldCharType="end"/>
      </w:r>
      <w:r>
        <w:rPr>
          <w:color w:val="000000" w:themeColor="text1"/>
          <w14:textFill>
            <w14:solidFill>
              <w14:schemeClr w14:val="tx1"/>
            </w14:solidFill>
          </w14:textFill>
        </w:rPr>
        <w:t>。</w:t>
      </w:r>
    </w:p>
    <w:p w14:paraId="79625F65">
      <w:pPr>
        <w:ind w:firstLine="480"/>
        <w:rPr>
          <w:color w:val="000000" w:themeColor="text1"/>
          <w14:textFill>
            <w14:solidFill>
              <w14:schemeClr w14:val="tx1"/>
            </w14:solidFill>
          </w14:textFill>
        </w:rPr>
      </w:pPr>
    </w:p>
    <w:p w14:paraId="65A3D9B2">
      <w:pPr>
        <w:ind w:firstLine="480"/>
        <w:rPr>
          <w:color w:val="000000" w:themeColor="text1"/>
          <w14:textFill>
            <w14:solidFill>
              <w14:schemeClr w14:val="tx1"/>
            </w14:solidFill>
          </w14:textFill>
        </w:rPr>
        <w:sectPr>
          <w:pgSz w:w="11906" w:h="16838"/>
          <w:pgMar w:top="1418" w:right="1418" w:bottom="1418" w:left="1418" w:header="851" w:footer="851" w:gutter="0"/>
          <w:cols w:space="425" w:num="1"/>
          <w:docGrid w:type="lines" w:linePitch="326" w:charSpace="0"/>
        </w:sectPr>
      </w:pPr>
    </w:p>
    <w:p w14:paraId="2BC006B2">
      <w:pPr>
        <w:ind w:firstLine="480"/>
        <w:rPr>
          <w:color w:val="000000" w:themeColor="text1"/>
          <w14:textFill>
            <w14:solidFill>
              <w14:schemeClr w14:val="tx1"/>
            </w14:solidFill>
          </w14:textFill>
        </w:rPr>
      </w:pPr>
    </w:p>
    <w:p w14:paraId="11D58EF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7746365" cy="5476240"/>
            <wp:effectExtent l="0" t="0" r="6985" b="0"/>
            <wp:docPr id="899" name="图片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图片 899"/>
                    <pic:cNvPicPr>
                      <a:picLocks noChangeAspect="1" noChangeArrowheads="1"/>
                    </pic:cNvPicPr>
                  </pic:nvPicPr>
                  <pic:blipFill>
                    <a:blip r:embed="rId122" cstate="email"/>
                    <a:srcRect/>
                    <a:stretch>
                      <a:fillRect/>
                    </a:stretch>
                  </pic:blipFill>
                  <pic:spPr>
                    <a:xfrm>
                      <a:off x="0" y="0"/>
                      <a:ext cx="7747993" cy="5477342"/>
                    </a:xfrm>
                    <a:prstGeom prst="rect">
                      <a:avLst/>
                    </a:prstGeom>
                    <a:noFill/>
                    <a:ln>
                      <a:noFill/>
                    </a:ln>
                  </pic:spPr>
                </pic:pic>
              </a:graphicData>
            </a:graphic>
          </wp:inline>
        </w:drawing>
      </w:r>
    </w:p>
    <w:p w14:paraId="2D56E281">
      <w:pPr>
        <w:pStyle w:val="122"/>
        <w:rPr>
          <w:color w:val="000000" w:themeColor="text1"/>
          <w14:textFill>
            <w14:solidFill>
              <w14:schemeClr w14:val="tx1"/>
            </w14:solidFill>
          </w14:textFill>
        </w:rPr>
      </w:pPr>
      <w:bookmarkStart w:id="536" w:name="_Ref193786627"/>
      <w:r>
        <w:rPr>
          <w:rFonts w:hint="eastAsia"/>
          <w:color w:val="000000" w:themeColor="text1"/>
          <w14:textFill>
            <w14:solidFill>
              <w14:schemeClr w14:val="tx1"/>
            </w14:solidFill>
          </w14:textFill>
        </w:rPr>
        <w:t>噪声监测点位图</w:t>
      </w:r>
      <w:bookmarkEnd w:id="536"/>
    </w:p>
    <w:p w14:paraId="629A2DC7">
      <w:pPr>
        <w:pStyle w:val="105"/>
        <w:rPr>
          <w:color w:val="000000" w:themeColor="text1"/>
          <w14:textFill>
            <w14:solidFill>
              <w14:schemeClr w14:val="tx1"/>
            </w14:solidFill>
          </w14:textFill>
        </w:rPr>
        <w:sectPr>
          <w:pgSz w:w="16838" w:h="11906" w:orient="landscape"/>
          <w:pgMar w:top="1134" w:right="1418" w:bottom="1134" w:left="1418" w:header="851" w:footer="851" w:gutter="0"/>
          <w:cols w:space="425" w:num="1"/>
          <w:docGrid w:type="lines" w:linePitch="326" w:charSpace="0"/>
        </w:sectPr>
      </w:pPr>
    </w:p>
    <w:p w14:paraId="315E0D06">
      <w:pPr>
        <w:pStyle w:val="87"/>
        <w:spacing w:before="0" w:beforeLines="0"/>
        <w:ind w:firstLine="35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 xml:space="preserve">敏感点及背景噪声现状调查结果 </w:t>
      </w:r>
      <w:r>
        <w:rPr>
          <w:color w:val="000000" w:themeColor="text1"/>
          <w:lang w:val="zh-CN"/>
          <w14:textFill>
            <w14:solidFill>
              <w14:schemeClr w14:val="tx1"/>
            </w14:solidFill>
          </w14:textFill>
        </w:rPr>
        <w:t xml:space="preserve">   </w:t>
      </w:r>
      <w:r>
        <w:rPr>
          <w:rFonts w:hint="eastAsia"/>
          <w:color w:val="000000" w:themeColor="text1"/>
          <w:lang w:val="zh-CN"/>
          <w14:textFill>
            <w14:solidFill>
              <w14:schemeClr w14:val="tx1"/>
            </w14:solidFill>
          </w14:textFill>
        </w:rPr>
        <w:t>单位：dB（A）</w:t>
      </w:r>
    </w:p>
    <w:tbl>
      <w:tblPr>
        <w:tblStyle w:val="84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701"/>
        <w:gridCol w:w="706"/>
        <w:gridCol w:w="992"/>
        <w:gridCol w:w="713"/>
        <w:gridCol w:w="566"/>
        <w:gridCol w:w="976"/>
        <w:gridCol w:w="724"/>
        <w:gridCol w:w="724"/>
        <w:gridCol w:w="978"/>
        <w:gridCol w:w="990"/>
      </w:tblGrid>
      <w:tr w14:paraId="40DAA8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2542439A">
            <w:pPr>
              <w:pStyle w:val="105"/>
              <w:spacing w:before="0" w:after="0"/>
              <w:jc w:val="center"/>
              <w:rPr>
                <w:rFonts w:cs="Times New Roman"/>
                <w:color w:val="000000" w:themeColor="text1"/>
                <w:sz w:val="20"/>
                <w:szCs w:val="20"/>
                <w14:textFill>
                  <w14:solidFill>
                    <w14:schemeClr w14:val="tx1"/>
                  </w14:solidFill>
                </w14:textFill>
              </w:rPr>
            </w:pPr>
            <w:bookmarkStart w:id="537" w:name="_Ref491184473"/>
            <w:bookmarkStart w:id="538" w:name="_Hlk144826118"/>
            <w:r>
              <w:rPr>
                <w:rFonts w:cs="Times New Roman"/>
                <w:color w:val="000000" w:themeColor="text1"/>
                <w:sz w:val="20"/>
                <w:szCs w:val="20"/>
                <w14:textFill>
                  <w14:solidFill>
                    <w14:schemeClr w14:val="tx1"/>
                  </w14:solidFill>
                </w14:textFill>
              </w:rPr>
              <w:t>监测点位</w:t>
            </w:r>
          </w:p>
        </w:tc>
        <w:tc>
          <w:tcPr>
            <w:tcW w:w="389" w:type="pct"/>
            <w:vMerge w:val="restart"/>
            <w:vAlign w:val="center"/>
          </w:tcPr>
          <w:p w14:paraId="015D9DC6">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测量时段</w:t>
            </w:r>
          </w:p>
        </w:tc>
        <w:tc>
          <w:tcPr>
            <w:tcW w:w="1252" w:type="pct"/>
            <w:gridSpan w:val="3"/>
            <w:noWrap/>
            <w:vAlign w:val="center"/>
          </w:tcPr>
          <w:p w14:paraId="7F69C127">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2月26日</w:t>
            </w:r>
            <w:bookmarkStart w:id="539" w:name="hmcheck_022da98a0f654d5db82b176ffc645b2d"/>
            <w:r>
              <w:rPr>
                <w:rFonts w:cs="Times New Roman"/>
                <w:color w:val="000000" w:themeColor="text1"/>
                <w:sz w:val="20"/>
                <w:szCs w:val="20"/>
                <w:shd w:val="clear" w:fill="FFAFAA"/>
                <w14:textFill>
                  <w14:solidFill>
                    <w14:schemeClr w14:val="tx1"/>
                  </w14:solidFill>
                </w14:textFill>
              </w:rPr>
              <w:t>~</w:t>
            </w:r>
            <w:bookmarkEnd w:id="539"/>
            <w:r>
              <w:rPr>
                <w:rFonts w:cs="Times New Roman"/>
                <w:color w:val="000000" w:themeColor="text1"/>
                <w:sz w:val="20"/>
                <w:szCs w:val="20"/>
                <w14:textFill>
                  <w14:solidFill>
                    <w14:schemeClr w14:val="tx1"/>
                  </w14:solidFill>
                </w14:textFill>
              </w:rPr>
              <w:t>2月27日</w:t>
            </w:r>
          </w:p>
        </w:tc>
        <w:tc>
          <w:tcPr>
            <w:tcW w:w="1336" w:type="pct"/>
            <w:gridSpan w:val="3"/>
            <w:noWrap/>
            <w:vAlign w:val="center"/>
          </w:tcPr>
          <w:p w14:paraId="3A2FB6BE">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2月27日</w:t>
            </w:r>
            <w:bookmarkStart w:id="540" w:name="hmcheck_4373f544ffd7457b871e695aaa88af60"/>
            <w:r>
              <w:rPr>
                <w:rFonts w:cs="Times New Roman"/>
                <w:color w:val="000000" w:themeColor="text1"/>
                <w:sz w:val="20"/>
                <w:szCs w:val="20"/>
                <w:shd w:val="clear" w:fill="FFAFAA"/>
                <w14:textFill>
                  <w14:solidFill>
                    <w14:schemeClr w14:val="tx1"/>
                  </w14:solidFill>
                </w14:textFill>
              </w:rPr>
              <w:t>~</w:t>
            </w:r>
            <w:bookmarkEnd w:id="540"/>
            <w:r>
              <w:rPr>
                <w:rFonts w:cs="Times New Roman"/>
                <w:color w:val="000000" w:themeColor="text1"/>
                <w:sz w:val="20"/>
                <w:szCs w:val="20"/>
                <w14:textFill>
                  <w14:solidFill>
                    <w14:schemeClr w14:val="tx1"/>
                  </w14:solidFill>
                </w14:textFill>
              </w:rPr>
              <w:t>2月28日</w:t>
            </w:r>
          </w:p>
        </w:tc>
        <w:tc>
          <w:tcPr>
            <w:tcW w:w="539" w:type="pct"/>
            <w:vMerge w:val="restart"/>
            <w:vAlign w:val="center"/>
          </w:tcPr>
          <w:p w14:paraId="5C748F88">
            <w:pPr>
              <w:pStyle w:val="105"/>
              <w:spacing w:before="0" w:after="0"/>
              <w:jc w:val="center"/>
              <w:rPr>
                <w:rFonts w:cs="Times New Roman"/>
                <w:color w:val="000000" w:themeColor="text1"/>
                <w:sz w:val="20"/>
                <w:szCs w:val="20"/>
                <w14:textFill>
                  <w14:solidFill>
                    <w14:schemeClr w14:val="tx1"/>
                  </w14:solidFill>
                </w14:textFill>
              </w:rPr>
            </w:pPr>
            <w:bookmarkStart w:id="541" w:name="hmcheck_245bcf8f6d5f40e7a8409647cc19ce13"/>
            <w:r>
              <w:rPr>
                <w:rFonts w:cs="Times New Roman"/>
                <w:color w:val="000000" w:themeColor="text1"/>
                <w:sz w:val="20"/>
                <w:szCs w:val="20"/>
                <w:shd w:val="clear" w:fill="FFAFAA"/>
                <w14:textFill>
                  <w14:solidFill>
                    <w14:schemeClr w14:val="tx1"/>
                  </w14:solidFill>
                </w14:textFill>
              </w:rPr>
              <w:t>Leq</w:t>
            </w:r>
            <w:bookmarkEnd w:id="541"/>
            <w:r>
              <w:rPr>
                <w:rFonts w:cs="Times New Roman"/>
                <w:color w:val="000000" w:themeColor="text1"/>
                <w:sz w:val="20"/>
                <w:szCs w:val="20"/>
                <w14:textFill>
                  <w14:solidFill>
                    <w14:schemeClr w14:val="tx1"/>
                  </w14:solidFill>
                </w14:textFill>
              </w:rPr>
              <w:t>标准限值dB（A）</w:t>
            </w:r>
          </w:p>
        </w:tc>
        <w:tc>
          <w:tcPr>
            <w:tcW w:w="546" w:type="pct"/>
            <w:vMerge w:val="restart"/>
            <w:noWrap/>
            <w:vAlign w:val="center"/>
          </w:tcPr>
          <w:p w14:paraId="3FFB34F6">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达标情况</w:t>
            </w:r>
          </w:p>
        </w:tc>
      </w:tr>
      <w:tr w14:paraId="5F940C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331151F8">
            <w:pPr>
              <w:pStyle w:val="105"/>
              <w:spacing w:before="0" w:after="0"/>
              <w:jc w:val="center"/>
              <w:rPr>
                <w:rFonts w:cs="Times New Roman"/>
                <w:color w:val="000000" w:themeColor="text1"/>
                <w:sz w:val="20"/>
                <w:szCs w:val="20"/>
                <w14:textFill>
                  <w14:solidFill>
                    <w14:schemeClr w14:val="tx1"/>
                  </w14:solidFill>
                </w14:textFill>
              </w:rPr>
            </w:pPr>
          </w:p>
        </w:tc>
        <w:tc>
          <w:tcPr>
            <w:tcW w:w="389" w:type="pct"/>
            <w:vMerge w:val="continue"/>
            <w:vAlign w:val="center"/>
          </w:tcPr>
          <w:p w14:paraId="06FCCF8C">
            <w:pPr>
              <w:pStyle w:val="105"/>
              <w:spacing w:before="0" w:after="0"/>
              <w:jc w:val="center"/>
              <w:rPr>
                <w:rFonts w:cs="Times New Roman"/>
                <w:color w:val="000000" w:themeColor="text1"/>
                <w:sz w:val="20"/>
                <w:szCs w:val="20"/>
                <w14:textFill>
                  <w14:solidFill>
                    <w14:schemeClr w14:val="tx1"/>
                  </w14:solidFill>
                </w14:textFill>
              </w:rPr>
            </w:pPr>
          </w:p>
        </w:tc>
        <w:tc>
          <w:tcPr>
            <w:tcW w:w="547" w:type="pct"/>
            <w:vAlign w:val="center"/>
          </w:tcPr>
          <w:p w14:paraId="25E87CB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监测结果</w:t>
            </w:r>
          </w:p>
          <w:p w14:paraId="6670C128">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dB</w:t>
            </w:r>
            <w:r>
              <w:rPr>
                <w:rFonts w:hint="eastAsia" w:cs="Times New Roman"/>
                <w:color w:val="000000" w:themeColor="text1"/>
                <w:sz w:val="20"/>
                <w:szCs w:val="20"/>
                <w14:textFill>
                  <w14:solidFill>
                    <w14:schemeClr w14:val="tx1"/>
                  </w14:solidFill>
                </w14:textFill>
              </w:rPr>
              <w:t>(</w:t>
            </w:r>
            <w:r>
              <w:rPr>
                <w:rFonts w:cs="Times New Roman"/>
                <w:color w:val="000000" w:themeColor="text1"/>
                <w:sz w:val="20"/>
                <w:szCs w:val="20"/>
                <w14:textFill>
                  <w14:solidFill>
                    <w14:schemeClr w14:val="tx1"/>
                  </w14:solidFill>
                </w14:textFill>
              </w:rPr>
              <w:t>A</w:t>
            </w:r>
            <w:r>
              <w:rPr>
                <w:rFonts w:hint="eastAsia" w:cs="Times New Roman"/>
                <w:color w:val="000000" w:themeColor="text1"/>
                <w:sz w:val="20"/>
                <w:szCs w:val="20"/>
                <w14:textFill>
                  <w14:solidFill>
                    <w14:schemeClr w14:val="tx1"/>
                  </w14:solidFill>
                </w14:textFill>
              </w:rPr>
              <w:t>)</w:t>
            </w:r>
          </w:p>
        </w:tc>
        <w:tc>
          <w:tcPr>
            <w:tcW w:w="705" w:type="pct"/>
            <w:gridSpan w:val="2"/>
            <w:vAlign w:val="center"/>
          </w:tcPr>
          <w:p w14:paraId="0424801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车流量（辆/20min）</w:t>
            </w:r>
          </w:p>
        </w:tc>
        <w:tc>
          <w:tcPr>
            <w:tcW w:w="538" w:type="pct"/>
            <w:vAlign w:val="center"/>
          </w:tcPr>
          <w:p w14:paraId="5A41FAA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监测结果dB（A）</w:t>
            </w:r>
          </w:p>
        </w:tc>
        <w:tc>
          <w:tcPr>
            <w:tcW w:w="798" w:type="pct"/>
            <w:gridSpan w:val="2"/>
            <w:vAlign w:val="center"/>
          </w:tcPr>
          <w:p w14:paraId="0FEC1AB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车流量</w:t>
            </w:r>
          </w:p>
          <w:p w14:paraId="541F198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（辆/20min）</w:t>
            </w:r>
          </w:p>
        </w:tc>
        <w:tc>
          <w:tcPr>
            <w:tcW w:w="539" w:type="pct"/>
            <w:vMerge w:val="continue"/>
            <w:vAlign w:val="center"/>
          </w:tcPr>
          <w:p w14:paraId="20FB4F75">
            <w:pPr>
              <w:pStyle w:val="105"/>
              <w:spacing w:before="0" w:after="0"/>
              <w:jc w:val="center"/>
              <w:rPr>
                <w:rFonts w:cs="Times New Roman"/>
                <w:color w:val="000000" w:themeColor="text1"/>
                <w:sz w:val="20"/>
                <w:szCs w:val="20"/>
                <w14:textFill>
                  <w14:solidFill>
                    <w14:schemeClr w14:val="tx1"/>
                  </w14:solidFill>
                </w14:textFill>
              </w:rPr>
            </w:pPr>
          </w:p>
        </w:tc>
        <w:tc>
          <w:tcPr>
            <w:tcW w:w="546" w:type="pct"/>
            <w:vMerge w:val="continue"/>
            <w:vAlign w:val="center"/>
          </w:tcPr>
          <w:p w14:paraId="02F95A81">
            <w:pPr>
              <w:pStyle w:val="105"/>
              <w:spacing w:before="0" w:after="0"/>
              <w:jc w:val="center"/>
              <w:rPr>
                <w:rFonts w:cs="Times New Roman"/>
                <w:color w:val="000000" w:themeColor="text1"/>
                <w:sz w:val="20"/>
                <w:szCs w:val="20"/>
                <w14:textFill>
                  <w14:solidFill>
                    <w14:schemeClr w14:val="tx1"/>
                  </w14:solidFill>
                </w14:textFill>
              </w:rPr>
            </w:pPr>
          </w:p>
        </w:tc>
      </w:tr>
      <w:tr w14:paraId="5E201C1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24CC4972">
            <w:pPr>
              <w:pStyle w:val="105"/>
              <w:spacing w:before="0" w:after="0"/>
              <w:jc w:val="center"/>
              <w:rPr>
                <w:rFonts w:cs="Times New Roman"/>
                <w:color w:val="000000" w:themeColor="text1"/>
                <w:sz w:val="20"/>
                <w:szCs w:val="20"/>
                <w14:textFill>
                  <w14:solidFill>
                    <w14:schemeClr w14:val="tx1"/>
                  </w14:solidFill>
                </w14:textFill>
              </w:rPr>
            </w:pPr>
          </w:p>
        </w:tc>
        <w:tc>
          <w:tcPr>
            <w:tcW w:w="389" w:type="pct"/>
            <w:vMerge w:val="continue"/>
            <w:vAlign w:val="center"/>
          </w:tcPr>
          <w:p w14:paraId="6E0C2A94">
            <w:pPr>
              <w:pStyle w:val="105"/>
              <w:spacing w:before="0" w:after="0"/>
              <w:jc w:val="center"/>
              <w:rPr>
                <w:rFonts w:cs="Times New Roman"/>
                <w:color w:val="000000" w:themeColor="text1"/>
                <w:sz w:val="20"/>
                <w:szCs w:val="20"/>
                <w14:textFill>
                  <w14:solidFill>
                    <w14:schemeClr w14:val="tx1"/>
                  </w14:solidFill>
                </w14:textFill>
              </w:rPr>
            </w:pPr>
          </w:p>
        </w:tc>
        <w:tc>
          <w:tcPr>
            <w:tcW w:w="547" w:type="pct"/>
            <w:vAlign w:val="center"/>
          </w:tcPr>
          <w:p w14:paraId="45C3E8A0">
            <w:pPr>
              <w:pStyle w:val="105"/>
              <w:spacing w:before="0" w:after="0"/>
              <w:jc w:val="center"/>
              <w:rPr>
                <w:rFonts w:cs="Times New Roman"/>
                <w:color w:val="000000" w:themeColor="text1"/>
                <w:sz w:val="20"/>
                <w:szCs w:val="20"/>
                <w14:textFill>
                  <w14:solidFill>
                    <w14:schemeClr w14:val="tx1"/>
                  </w14:solidFill>
                </w14:textFill>
              </w:rPr>
            </w:pPr>
            <w:bookmarkStart w:id="542" w:name="hmcheck_eb29749fb6144278a5a734aa6010ef5d"/>
            <w:r>
              <w:rPr>
                <w:rFonts w:cs="Times New Roman"/>
                <w:color w:val="000000" w:themeColor="text1"/>
                <w:sz w:val="20"/>
                <w:szCs w:val="20"/>
                <w:shd w:val="clear" w:fill="FFAFAA"/>
                <w14:textFill>
                  <w14:solidFill>
                    <w14:schemeClr w14:val="tx1"/>
                  </w14:solidFill>
                </w14:textFill>
              </w:rPr>
              <w:t>Leq</w:t>
            </w:r>
            <w:bookmarkEnd w:id="542"/>
          </w:p>
        </w:tc>
        <w:tc>
          <w:tcPr>
            <w:tcW w:w="393" w:type="pct"/>
            <w:vAlign w:val="center"/>
          </w:tcPr>
          <w:p w14:paraId="7797A2E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大型</w:t>
            </w:r>
          </w:p>
        </w:tc>
        <w:tc>
          <w:tcPr>
            <w:tcW w:w="312" w:type="pct"/>
            <w:vAlign w:val="center"/>
          </w:tcPr>
          <w:p w14:paraId="37B2F78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中小型</w:t>
            </w:r>
          </w:p>
        </w:tc>
        <w:tc>
          <w:tcPr>
            <w:tcW w:w="538" w:type="pct"/>
            <w:vAlign w:val="center"/>
          </w:tcPr>
          <w:p w14:paraId="381C1C42">
            <w:pPr>
              <w:pStyle w:val="105"/>
              <w:spacing w:before="0" w:after="0"/>
              <w:jc w:val="center"/>
              <w:rPr>
                <w:rFonts w:cs="Times New Roman"/>
                <w:color w:val="000000" w:themeColor="text1"/>
                <w:sz w:val="20"/>
                <w:szCs w:val="20"/>
                <w14:textFill>
                  <w14:solidFill>
                    <w14:schemeClr w14:val="tx1"/>
                  </w14:solidFill>
                </w14:textFill>
              </w:rPr>
            </w:pPr>
            <w:bookmarkStart w:id="543" w:name="hmcheck_719fa6e1ac584449a2f597ca0c075cb6"/>
            <w:r>
              <w:rPr>
                <w:rFonts w:cs="Times New Roman"/>
                <w:color w:val="000000" w:themeColor="text1"/>
                <w:sz w:val="20"/>
                <w:szCs w:val="20"/>
                <w:shd w:val="clear" w:fill="FFAFAA"/>
                <w14:textFill>
                  <w14:solidFill>
                    <w14:schemeClr w14:val="tx1"/>
                  </w14:solidFill>
                </w14:textFill>
              </w:rPr>
              <w:t>Leq</w:t>
            </w:r>
            <w:bookmarkEnd w:id="543"/>
          </w:p>
        </w:tc>
        <w:tc>
          <w:tcPr>
            <w:tcW w:w="399" w:type="pct"/>
            <w:vAlign w:val="center"/>
          </w:tcPr>
          <w:p w14:paraId="7DC8CBE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大型</w:t>
            </w:r>
          </w:p>
        </w:tc>
        <w:tc>
          <w:tcPr>
            <w:tcW w:w="399" w:type="pct"/>
            <w:vAlign w:val="center"/>
          </w:tcPr>
          <w:p w14:paraId="205087E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中小型</w:t>
            </w:r>
          </w:p>
        </w:tc>
        <w:tc>
          <w:tcPr>
            <w:tcW w:w="539" w:type="pct"/>
            <w:vMerge w:val="continue"/>
            <w:vAlign w:val="center"/>
          </w:tcPr>
          <w:p w14:paraId="300C4F02">
            <w:pPr>
              <w:pStyle w:val="105"/>
              <w:spacing w:before="0" w:after="0"/>
              <w:jc w:val="center"/>
              <w:rPr>
                <w:rFonts w:cs="Times New Roman"/>
                <w:color w:val="000000" w:themeColor="text1"/>
                <w:sz w:val="20"/>
                <w:szCs w:val="20"/>
                <w14:textFill>
                  <w14:solidFill>
                    <w14:schemeClr w14:val="tx1"/>
                  </w14:solidFill>
                </w14:textFill>
              </w:rPr>
            </w:pPr>
          </w:p>
        </w:tc>
        <w:tc>
          <w:tcPr>
            <w:tcW w:w="546" w:type="pct"/>
            <w:vMerge w:val="continue"/>
            <w:vAlign w:val="center"/>
          </w:tcPr>
          <w:p w14:paraId="6BAEBDF0">
            <w:pPr>
              <w:pStyle w:val="105"/>
              <w:spacing w:before="0" w:after="0"/>
              <w:jc w:val="center"/>
              <w:rPr>
                <w:rFonts w:cs="Times New Roman"/>
                <w:color w:val="000000" w:themeColor="text1"/>
                <w:sz w:val="20"/>
                <w:szCs w:val="20"/>
                <w14:textFill>
                  <w14:solidFill>
                    <w14:schemeClr w14:val="tx1"/>
                  </w14:solidFill>
                </w14:textFill>
              </w:rPr>
            </w:pPr>
          </w:p>
        </w:tc>
      </w:tr>
      <w:tr w14:paraId="35B482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16C074E8">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N4牌边村新桥（临G324第一排）1F</w:t>
            </w:r>
          </w:p>
        </w:tc>
        <w:tc>
          <w:tcPr>
            <w:tcW w:w="389" w:type="pct"/>
            <w:vAlign w:val="center"/>
          </w:tcPr>
          <w:p w14:paraId="4216A65E">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5D8679AB">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EDB9032">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55F8A943">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46016180">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95E9048">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35F4EE2">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restart"/>
            <w:vAlign w:val="center"/>
          </w:tcPr>
          <w:p w14:paraId="5AEC634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昼间≤70</w:t>
            </w:r>
          </w:p>
          <w:p w14:paraId="3C22503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夜间≤55</w:t>
            </w:r>
          </w:p>
        </w:tc>
        <w:tc>
          <w:tcPr>
            <w:tcW w:w="546" w:type="pct"/>
            <w:noWrap/>
            <w:vAlign w:val="center"/>
          </w:tcPr>
          <w:p w14:paraId="679E5D2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D4CD0B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646A6A87">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2A63C0A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79A71415">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D98376B">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DBC3310">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176DCFB8">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DE069D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DD7D323">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18666E20">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56C2C3D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shd w:val="pct10" w:color="auto" w:fill="FFFFFF"/>
                <w14:textFill>
                  <w14:solidFill>
                    <w14:schemeClr w14:val="tx1"/>
                  </w14:solidFill>
                </w14:textFill>
              </w:rPr>
              <w:t>超标</w:t>
            </w:r>
          </w:p>
        </w:tc>
      </w:tr>
      <w:tr w14:paraId="3A41F8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6FD99AB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N6牌边村新桥后排1F</w:t>
            </w:r>
          </w:p>
        </w:tc>
        <w:tc>
          <w:tcPr>
            <w:tcW w:w="389" w:type="pct"/>
            <w:vAlign w:val="center"/>
          </w:tcPr>
          <w:p w14:paraId="09FC6C1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4234E992">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50F4684D">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2456E319">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610EC7F8">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73C473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4FE4D0E">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restart"/>
            <w:vAlign w:val="center"/>
          </w:tcPr>
          <w:p w14:paraId="49ED746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昼间≤60</w:t>
            </w:r>
          </w:p>
          <w:p w14:paraId="0337BBC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夜间≤50</w:t>
            </w:r>
          </w:p>
          <w:p w14:paraId="219D3170">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16997C8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66A0FD9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300036F5">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46748A5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4876233B">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E5E346F">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732AFA7C">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345E472A">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53A6DE5">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C1B5380">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488C7F7C">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721E8D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95E7A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50630E8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N7牌边村新桥后排3 F</w:t>
            </w:r>
          </w:p>
        </w:tc>
        <w:tc>
          <w:tcPr>
            <w:tcW w:w="389" w:type="pct"/>
            <w:vAlign w:val="center"/>
          </w:tcPr>
          <w:p w14:paraId="64A4C02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69731C75">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0B5C0E53">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5FE1C9BE">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6FFB428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2992C1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00C93B2">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22452C63">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3D8E1A00">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136FE3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5E4C5B32">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5539BC50">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434F6323">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54EDAE67">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819F67C">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3AD11FA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4F25DF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DB2D992">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0364CBCC">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425DB4F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65A5B8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1E1505D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N8上张村林泉1F</w:t>
            </w:r>
          </w:p>
        </w:tc>
        <w:tc>
          <w:tcPr>
            <w:tcW w:w="389" w:type="pct"/>
            <w:vAlign w:val="center"/>
          </w:tcPr>
          <w:p w14:paraId="63BBB617">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0B1E2CEC">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266B373A">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14EEC902">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6449F86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A2E4F5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32B1BC8">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2F9629AA">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72AEB6E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CA3D6C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6E1428B3">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4A6F397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2A5A89E5">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36310C79">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417252C">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040001BB">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2EF018E">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147FF62">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A0C99C3">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7943F93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29DD95A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676131A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N9上张村王房1（距高铁10m）1F</w:t>
            </w:r>
          </w:p>
        </w:tc>
        <w:tc>
          <w:tcPr>
            <w:tcW w:w="389" w:type="pct"/>
            <w:vAlign w:val="center"/>
          </w:tcPr>
          <w:p w14:paraId="0BD376A7">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01F03892">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2E6DDCDB">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1650EDE0">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20662CFC">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80AA088">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A090E3C">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restart"/>
            <w:vAlign w:val="center"/>
          </w:tcPr>
          <w:p w14:paraId="7356F25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昼间≤70</w:t>
            </w:r>
          </w:p>
          <w:p w14:paraId="18F0DAF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夜间≤60</w:t>
            </w:r>
          </w:p>
          <w:p w14:paraId="0B90D6A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　</w:t>
            </w:r>
          </w:p>
          <w:p w14:paraId="149CD2B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　</w:t>
            </w:r>
          </w:p>
        </w:tc>
        <w:tc>
          <w:tcPr>
            <w:tcW w:w="546" w:type="pct"/>
            <w:noWrap/>
            <w:vAlign w:val="center"/>
          </w:tcPr>
          <w:p w14:paraId="1B45FAE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609349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0E411AD9">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38E1A1B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58458C49">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462840D0">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3ECE4924">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DBE7FC1">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33F9BC1">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0E89E8B">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02551A3">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31FDC604">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00F1C8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14DF42A5">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N10上张村王房1（距高铁10m）3F</w:t>
            </w:r>
          </w:p>
        </w:tc>
        <w:tc>
          <w:tcPr>
            <w:tcW w:w="389" w:type="pct"/>
            <w:vAlign w:val="center"/>
          </w:tcPr>
          <w:p w14:paraId="3655DC06">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7BF0125C">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49B7B5C9">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2F91A8E5">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1F795872">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18C46C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C5ED126">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7F4DF5DE">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25E90A7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5A786A8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18CF5C52">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65A8898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79DECCD3">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59FB6052">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4EF9FE8">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3E9AE4DC">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B05ECF5">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431FD32">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5273F9A8">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56BA7888">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8BD44A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70EB48F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N11上张村王房2（距高铁100m）1F</w:t>
            </w:r>
          </w:p>
        </w:tc>
        <w:tc>
          <w:tcPr>
            <w:tcW w:w="389" w:type="pct"/>
            <w:vAlign w:val="center"/>
          </w:tcPr>
          <w:p w14:paraId="11A4419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43DFD0D1">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6E727F96">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EF947E4">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3B4EB8D7">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3A9AC88">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DB450D2">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restart"/>
            <w:vAlign w:val="center"/>
          </w:tcPr>
          <w:p w14:paraId="082E139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昼间≤60</w:t>
            </w:r>
          </w:p>
          <w:p w14:paraId="2D38CDA0">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夜间≤50</w:t>
            </w:r>
          </w:p>
          <w:p w14:paraId="11BDBD2D">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0509E7B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C2407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520CAD19">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3C6956A7">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60495F41">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7AE7CD3A">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6EEEF816">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21AFE45">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BD2F98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83BF7D3">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62DFC7A6">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252D6D2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1CA973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0E25F14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N12上张村王房2（距高铁100m）3F</w:t>
            </w:r>
          </w:p>
        </w:tc>
        <w:tc>
          <w:tcPr>
            <w:tcW w:w="389" w:type="pct"/>
            <w:vAlign w:val="center"/>
          </w:tcPr>
          <w:p w14:paraId="0622503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6011A5E2">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4C2C0DD1">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6DEC0483">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2F6E9ED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F611E8E">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7B7F8A6">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1598CFC5">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BFBEE1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237184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22CD21C8">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0D955EF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29A85434">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4255C4A4">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3EDF8AD2">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47A25BD6">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FA7E16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5AB8BC3">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29E263A4">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454C5CB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5486A77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4815B34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N13上张村王房3（距高铁200m）1F</w:t>
            </w:r>
          </w:p>
        </w:tc>
        <w:tc>
          <w:tcPr>
            <w:tcW w:w="389" w:type="pct"/>
            <w:vAlign w:val="center"/>
          </w:tcPr>
          <w:p w14:paraId="1F161AC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56FAC939">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25BF471">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3A7687A5">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732D7A70">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567107E">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248C8CA">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59044710">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522EB900">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204B05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32548570">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0D7BFD05">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585C68E4">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25AF4A46">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277A6F90">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0C07E82">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3F9A5B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988F088">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1EAEFC2">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A26121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3C3DC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2634E61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N14上张村王房3（距高铁200m）3F</w:t>
            </w:r>
          </w:p>
        </w:tc>
        <w:tc>
          <w:tcPr>
            <w:tcW w:w="389" w:type="pct"/>
            <w:vAlign w:val="center"/>
          </w:tcPr>
          <w:p w14:paraId="05C13EA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14C11317">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041650D0">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75505D58">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0A822A10">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AC37622">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54B65A1">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199D1F91">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0D1B1AD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5197E1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14115B54">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69B8363E">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3EEE61B4">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3F5A26F6">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AF1348A">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2A0DA09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930B27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8D7EB09">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1EC5731F">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3CEB6DE8">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C4B13F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5E1BBE35">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N19联华村后郑临路第一排1F</w:t>
            </w:r>
          </w:p>
        </w:tc>
        <w:tc>
          <w:tcPr>
            <w:tcW w:w="389" w:type="pct"/>
            <w:vAlign w:val="center"/>
          </w:tcPr>
          <w:p w14:paraId="2E524997">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172FD827">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5FC68B52">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A5CC0EA">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6ED26E56">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667DEA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8540250">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5FD233D4">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405D692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0AF7DC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42C02405">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3155432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36928813">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3E1E821F">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8A6B44A">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BE73A82">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A79941C">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2D9DCBE">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14291D61">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4ACAD0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0F7E45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138D6F2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N20联华村后郑临路第一排3F</w:t>
            </w:r>
          </w:p>
        </w:tc>
        <w:tc>
          <w:tcPr>
            <w:tcW w:w="389" w:type="pct"/>
            <w:vAlign w:val="center"/>
          </w:tcPr>
          <w:p w14:paraId="6C991AB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08977326">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6CBDB4DF">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13C81DE2">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22E0D400">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C147365">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FE7A114">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090F019F">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75CAC09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139E8EC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434E25EF">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73EA1EF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2B178AD5">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2F320AEF">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F0AC390">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58D935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B99BAA3">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DC243AD">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7B1A5B2E">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45130134">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2B9EC7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cantSplit/>
          <w:trHeight w:val="284" w:hRule="atLeast"/>
          <w:tblHeader/>
          <w:jc w:val="center"/>
        </w:trPr>
        <w:tc>
          <w:tcPr>
            <w:tcW w:w="938" w:type="pct"/>
            <w:vMerge w:val="restart"/>
            <w:vAlign w:val="center"/>
          </w:tcPr>
          <w:p w14:paraId="52E7F9B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N21联华村后郑后排1F</w:t>
            </w:r>
          </w:p>
        </w:tc>
        <w:tc>
          <w:tcPr>
            <w:tcW w:w="389" w:type="pct"/>
            <w:vAlign w:val="center"/>
          </w:tcPr>
          <w:p w14:paraId="40648B7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5216DF56">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59833573">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29AE188">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77793E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65CD89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BD20B11">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2472CE2A">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514DD23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F120B0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5057A040">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49C4F76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5544A827">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4190DCC6">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E9DA289">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4764973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3D4630B">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2119E80">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46CFD613">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17D5374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0D2CA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503AC52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N22侨丰村1F</w:t>
            </w:r>
          </w:p>
        </w:tc>
        <w:tc>
          <w:tcPr>
            <w:tcW w:w="389" w:type="pct"/>
            <w:vAlign w:val="center"/>
          </w:tcPr>
          <w:p w14:paraId="0AB0568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1F153ED4">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728B312">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2A68C2EF">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7A29918B">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2B655F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0636A6C">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74870F13">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9EF281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17F9C5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432E6213">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7A40391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6E9D03B1">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7D27FBC5">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6D243F4D">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F1F4C4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2C07645">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6CB0452">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0983CD38">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06A564A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55D9F9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5E5D411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N23联华村火烧埔（临高速第一排）1F</w:t>
            </w:r>
          </w:p>
        </w:tc>
        <w:tc>
          <w:tcPr>
            <w:tcW w:w="389" w:type="pct"/>
            <w:vAlign w:val="center"/>
          </w:tcPr>
          <w:p w14:paraId="3D4DAA84">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4D210076">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0A65B704">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3CB9DE2">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0144462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A72B5A3">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D904CBD">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restart"/>
            <w:vAlign w:val="center"/>
          </w:tcPr>
          <w:p w14:paraId="6401D9E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昼间≤70</w:t>
            </w:r>
          </w:p>
          <w:p w14:paraId="7DBF641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夜间≤55</w:t>
            </w:r>
          </w:p>
        </w:tc>
        <w:tc>
          <w:tcPr>
            <w:tcW w:w="546" w:type="pct"/>
            <w:noWrap/>
            <w:vAlign w:val="center"/>
          </w:tcPr>
          <w:p w14:paraId="07C13E4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97029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6A6D9B18">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0CF7CF3E">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186A8372">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34A0D205">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563B8885">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0FB66092">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7EE85CE">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DD80364">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5C2CF8A7">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403AE46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06BAB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17B05D6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N25联华村火烧埔（临枝钟路第一排）1F</w:t>
            </w:r>
          </w:p>
        </w:tc>
        <w:tc>
          <w:tcPr>
            <w:tcW w:w="389" w:type="pct"/>
            <w:vAlign w:val="center"/>
          </w:tcPr>
          <w:p w14:paraId="006BBF60">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126A6ACA">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55625D7F">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3A3C4B4C">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40FBE8CC">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DB668C2">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F4032CE">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restart"/>
            <w:vAlign w:val="center"/>
          </w:tcPr>
          <w:p w14:paraId="33E50575">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昼间≤60</w:t>
            </w:r>
          </w:p>
          <w:p w14:paraId="42C7CB0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夜间≤50</w:t>
            </w:r>
          </w:p>
          <w:p w14:paraId="465C956A">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5072584">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DA840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2C662854">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261298A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59B7CF0D">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4F8AA46B">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164201A5">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7F3F7910">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D543EB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02F020C">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D7D161A">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202824A6">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534BEA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6C8863D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N26联华村火烧埔（临枝钟路第一排）3F</w:t>
            </w:r>
          </w:p>
        </w:tc>
        <w:tc>
          <w:tcPr>
            <w:tcW w:w="389" w:type="pct"/>
            <w:vAlign w:val="center"/>
          </w:tcPr>
          <w:p w14:paraId="4C22E6E5">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05BE3C6A">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3AE79B10">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7592A5F8">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C1466A6">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D42FE7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75FFAFF">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7BDDA4D5">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16D20FE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7CD3305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4D52C042">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7A170714">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56C52C5A">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24AF9449">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526FFA6C">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0D9760E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2C8618C">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FAD7135">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21843CEE">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98EDF1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619799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4485940E">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N27联华村火烧埔后排1F</w:t>
            </w:r>
          </w:p>
        </w:tc>
        <w:tc>
          <w:tcPr>
            <w:tcW w:w="389" w:type="pct"/>
            <w:vAlign w:val="center"/>
          </w:tcPr>
          <w:p w14:paraId="3AD9D4F8">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3247DE0D">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64A003CA">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5FFA7C68">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49775F1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FF5055E">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F534685">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78224CDF">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01DE8D6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9D868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6F5735D6">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39C7E41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55399F4A">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5B2904FF">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171B897">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26DD838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3B456D8">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881D345">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6883AE6">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35D524E7">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6BD3A7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4C0C7EB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N32联华村西山（临枝钟路第一排）1F</w:t>
            </w:r>
          </w:p>
        </w:tc>
        <w:tc>
          <w:tcPr>
            <w:tcW w:w="389" w:type="pct"/>
            <w:vAlign w:val="center"/>
          </w:tcPr>
          <w:p w14:paraId="691EA64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306AB2A6">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4A1EED4D">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66CB4B23">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FE2945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A002009">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178BD1A">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116CCA21">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50B7AE0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7974F2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739F0550">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7C1F893A">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03CEB9E0">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6E877228">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3124A61F">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0109E17">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FEAF08A">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EDCCEBC">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6164DC87">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128C564F">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0D392E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0C1D4CA4">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N33联华村西山（临枝钟路第一排）3F</w:t>
            </w:r>
          </w:p>
        </w:tc>
        <w:tc>
          <w:tcPr>
            <w:tcW w:w="389" w:type="pct"/>
            <w:vAlign w:val="center"/>
          </w:tcPr>
          <w:p w14:paraId="614D5AB6">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2CF98F38">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CF3B656">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9314D2B">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2422898A">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AEFAD4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B13F825">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07F49AC">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2FD8CC1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79DFC5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153BAE40">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2506696D">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20C73229">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6C7C265D">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70005AD4">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68ABFEA7">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C9150B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2B8DDBD">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D01135A">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67C120E0">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5E45A1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2AB8D7F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N34联华村西山后排1F</w:t>
            </w:r>
          </w:p>
        </w:tc>
        <w:tc>
          <w:tcPr>
            <w:tcW w:w="389" w:type="pct"/>
            <w:vAlign w:val="center"/>
          </w:tcPr>
          <w:p w14:paraId="007D690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2F33B05E">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6C660AD">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384E9B2F">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10A9B206">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3369C14">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9DAE164">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28844C14">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0153857E">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55FE232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4095F000">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355C1D27">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1BE6E0B8">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2D111257">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593210C6">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58C60275">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46F419A">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6970D9BE">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4018400">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37BE2FC2">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194DB3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36C7AE1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N35联华村木厝洋1F</w:t>
            </w:r>
          </w:p>
        </w:tc>
        <w:tc>
          <w:tcPr>
            <w:tcW w:w="389" w:type="pct"/>
            <w:vAlign w:val="center"/>
          </w:tcPr>
          <w:p w14:paraId="32E0CC7B">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5E609A7B">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7E53A80B">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12D13FC7">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172BC67E">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460E978">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3509989E">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4E03733D">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073D1608">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4C195C1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3D38A34E">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781B121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427202CA">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32154D00">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0C8F4BA1">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7B5CDF7D">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0E36630C">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7DE208D4">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7D181B64">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25D1976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615AF4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restart"/>
            <w:vAlign w:val="center"/>
          </w:tcPr>
          <w:p w14:paraId="06FB3F61">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N36三落厝1F</w:t>
            </w:r>
          </w:p>
        </w:tc>
        <w:tc>
          <w:tcPr>
            <w:tcW w:w="389" w:type="pct"/>
            <w:vAlign w:val="center"/>
          </w:tcPr>
          <w:p w14:paraId="65D128D8">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昼间</w:t>
            </w:r>
          </w:p>
        </w:tc>
        <w:tc>
          <w:tcPr>
            <w:tcW w:w="547" w:type="pct"/>
            <w:vAlign w:val="center"/>
          </w:tcPr>
          <w:p w14:paraId="3B74F184">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3607DBA5">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24656E7E">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3B0203EF">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20B82D91">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54F46BE6">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1DA6E93F">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41C34DAC">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3B06AE2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938" w:type="pct"/>
            <w:vMerge w:val="continue"/>
            <w:vAlign w:val="center"/>
          </w:tcPr>
          <w:p w14:paraId="6243E4F1">
            <w:pPr>
              <w:pStyle w:val="105"/>
              <w:spacing w:before="0" w:after="0"/>
              <w:jc w:val="center"/>
              <w:rPr>
                <w:rFonts w:cs="Times New Roman"/>
                <w:color w:val="000000" w:themeColor="text1"/>
                <w:sz w:val="20"/>
                <w:szCs w:val="20"/>
                <w14:textFill>
                  <w14:solidFill>
                    <w14:schemeClr w14:val="tx1"/>
                  </w14:solidFill>
                </w14:textFill>
              </w:rPr>
            </w:pPr>
          </w:p>
        </w:tc>
        <w:tc>
          <w:tcPr>
            <w:tcW w:w="389" w:type="pct"/>
            <w:vAlign w:val="center"/>
          </w:tcPr>
          <w:p w14:paraId="76C0D163">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夜间</w:t>
            </w:r>
          </w:p>
        </w:tc>
        <w:tc>
          <w:tcPr>
            <w:tcW w:w="547" w:type="pct"/>
            <w:vAlign w:val="center"/>
          </w:tcPr>
          <w:p w14:paraId="31981DE3">
            <w:pPr>
              <w:pStyle w:val="105"/>
              <w:spacing w:before="0" w:after="0"/>
              <w:jc w:val="center"/>
              <w:rPr>
                <w:rFonts w:cs="Times New Roman"/>
                <w:color w:val="000000" w:themeColor="text1"/>
                <w:sz w:val="20"/>
                <w:szCs w:val="20"/>
                <w14:textFill>
                  <w14:solidFill>
                    <w14:schemeClr w14:val="tx1"/>
                  </w14:solidFill>
                </w14:textFill>
              </w:rPr>
            </w:pPr>
          </w:p>
        </w:tc>
        <w:tc>
          <w:tcPr>
            <w:tcW w:w="393" w:type="pct"/>
            <w:vAlign w:val="center"/>
          </w:tcPr>
          <w:p w14:paraId="11B18BD9">
            <w:pPr>
              <w:pStyle w:val="105"/>
              <w:spacing w:before="0" w:after="0"/>
              <w:jc w:val="center"/>
              <w:rPr>
                <w:rFonts w:cs="Times New Roman"/>
                <w:color w:val="000000" w:themeColor="text1"/>
                <w:sz w:val="20"/>
                <w:szCs w:val="20"/>
                <w14:textFill>
                  <w14:solidFill>
                    <w14:schemeClr w14:val="tx1"/>
                  </w14:solidFill>
                </w14:textFill>
              </w:rPr>
            </w:pPr>
          </w:p>
        </w:tc>
        <w:tc>
          <w:tcPr>
            <w:tcW w:w="312" w:type="pct"/>
            <w:vAlign w:val="center"/>
          </w:tcPr>
          <w:p w14:paraId="4D5706C8">
            <w:pPr>
              <w:pStyle w:val="105"/>
              <w:spacing w:before="0" w:after="0"/>
              <w:jc w:val="center"/>
              <w:rPr>
                <w:rFonts w:cs="Times New Roman"/>
                <w:color w:val="000000" w:themeColor="text1"/>
                <w:sz w:val="20"/>
                <w:szCs w:val="20"/>
                <w14:textFill>
                  <w14:solidFill>
                    <w14:schemeClr w14:val="tx1"/>
                  </w14:solidFill>
                </w14:textFill>
              </w:rPr>
            </w:pPr>
          </w:p>
        </w:tc>
        <w:tc>
          <w:tcPr>
            <w:tcW w:w="538" w:type="pct"/>
            <w:vAlign w:val="center"/>
          </w:tcPr>
          <w:p w14:paraId="733A62EB">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46735B5C">
            <w:pPr>
              <w:pStyle w:val="105"/>
              <w:spacing w:before="0" w:after="0"/>
              <w:jc w:val="center"/>
              <w:rPr>
                <w:rFonts w:cs="Times New Roman"/>
                <w:color w:val="000000" w:themeColor="text1"/>
                <w:sz w:val="20"/>
                <w:szCs w:val="20"/>
                <w14:textFill>
                  <w14:solidFill>
                    <w14:schemeClr w14:val="tx1"/>
                  </w14:solidFill>
                </w14:textFill>
              </w:rPr>
            </w:pPr>
          </w:p>
        </w:tc>
        <w:tc>
          <w:tcPr>
            <w:tcW w:w="399" w:type="pct"/>
            <w:vAlign w:val="center"/>
          </w:tcPr>
          <w:p w14:paraId="10041DF8">
            <w:pPr>
              <w:pStyle w:val="105"/>
              <w:spacing w:before="0" w:after="0"/>
              <w:jc w:val="center"/>
              <w:rPr>
                <w:rFonts w:cs="Times New Roman"/>
                <w:color w:val="000000" w:themeColor="text1"/>
                <w:sz w:val="20"/>
                <w:szCs w:val="20"/>
                <w14:textFill>
                  <w14:solidFill>
                    <w14:schemeClr w14:val="tx1"/>
                  </w14:solidFill>
                </w14:textFill>
              </w:rPr>
            </w:pPr>
          </w:p>
        </w:tc>
        <w:tc>
          <w:tcPr>
            <w:tcW w:w="539" w:type="pct"/>
            <w:vMerge w:val="continue"/>
            <w:vAlign w:val="center"/>
          </w:tcPr>
          <w:p w14:paraId="37AA9D55">
            <w:pPr>
              <w:pStyle w:val="105"/>
              <w:spacing w:before="0" w:after="0"/>
              <w:jc w:val="center"/>
              <w:rPr>
                <w:rFonts w:cs="Times New Roman"/>
                <w:color w:val="000000" w:themeColor="text1"/>
                <w:sz w:val="20"/>
                <w:szCs w:val="20"/>
                <w14:textFill>
                  <w14:solidFill>
                    <w14:schemeClr w14:val="tx1"/>
                  </w14:solidFill>
                </w14:textFill>
              </w:rPr>
            </w:pPr>
          </w:p>
        </w:tc>
        <w:tc>
          <w:tcPr>
            <w:tcW w:w="546" w:type="pct"/>
            <w:noWrap/>
            <w:vAlign w:val="center"/>
          </w:tcPr>
          <w:p w14:paraId="1ED02FF9">
            <w:pPr>
              <w:pStyle w:val="105"/>
              <w:spacing w:before="0" w:after="0"/>
              <w:jc w:val="center"/>
              <w:rPr>
                <w:rFonts w:cs="Times New Roman"/>
                <w:color w:val="000000" w:themeColor="text1"/>
                <w:sz w:val="20"/>
                <w:szCs w:val="20"/>
                <w14:textFill>
                  <w14:solidFill>
                    <w14:schemeClr w14:val="tx1"/>
                  </w14:solidFill>
                </w14:textFill>
              </w:rPr>
            </w:pPr>
            <w:r>
              <w:rPr>
                <w:rFonts w:cs="Times New Roman"/>
                <w:color w:val="000000" w:themeColor="text1"/>
                <w:sz w:val="20"/>
                <w:szCs w:val="20"/>
                <w14:textFill>
                  <w14:solidFill>
                    <w14:schemeClr w14:val="tx1"/>
                  </w14:solidFill>
                </w14:textFill>
              </w:rPr>
              <w:t>达标</w:t>
            </w:r>
          </w:p>
        </w:tc>
      </w:tr>
      <w:tr w14:paraId="20B1DA9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5000" w:type="pct"/>
            <w:gridSpan w:val="10"/>
            <w:vAlign w:val="center"/>
          </w:tcPr>
          <w:p w14:paraId="29E90D8F">
            <w:pPr>
              <w:pStyle w:val="105"/>
              <w:spacing w:before="0" w:after="0"/>
              <w:jc w:val="left"/>
              <w:rPr>
                <w:rFonts w:cs="Times New Roman"/>
                <w:color w:val="000000" w:themeColor="text1"/>
                <w:sz w:val="20"/>
                <w:szCs w:val="20"/>
                <w14:textFill>
                  <w14:solidFill>
                    <w14:schemeClr w14:val="tx1"/>
                  </w14:solidFill>
                </w14:textFill>
              </w:rPr>
            </w:pPr>
            <w:r>
              <w:rPr>
                <w:rFonts w:hint="eastAsia" w:cs="Times New Roman"/>
                <w:color w:val="000000" w:themeColor="text1"/>
                <w:sz w:val="20"/>
                <w:szCs w:val="20"/>
                <w14:textFill>
                  <w14:solidFill>
                    <w14:schemeClr w14:val="tx1"/>
                  </w14:solidFill>
                </w14:textFill>
              </w:rPr>
              <w:t>注：①</w:t>
            </w:r>
            <w:r>
              <w:rPr>
                <w:rFonts w:cs="Times New Roman"/>
                <w:color w:val="000000" w:themeColor="text1"/>
                <w:sz w:val="20"/>
                <w:szCs w:val="20"/>
                <w14:textFill>
                  <w14:solidFill>
                    <w14:schemeClr w14:val="tx1"/>
                  </w14:solidFill>
                </w14:textFill>
              </w:rPr>
              <w:t>N4牌边村新桥（临G324第一排）3F</w:t>
            </w:r>
            <w:r>
              <w:rPr>
                <w:rFonts w:hint="eastAsia" w:cs="Times New Roman"/>
                <w:color w:val="000000" w:themeColor="text1"/>
                <w:sz w:val="20"/>
                <w:szCs w:val="20"/>
                <w14:textFill>
                  <w14:solidFill>
                    <w14:schemeClr w14:val="tx1"/>
                  </w14:solidFill>
                </w14:textFill>
              </w:rPr>
              <w:t>，不具备监测条件。②</w:t>
            </w:r>
            <w:bookmarkStart w:id="544" w:name="hmcheck_e0d6f8798325486e8ba3577598e57c2e"/>
            <w:r>
              <w:rPr>
                <w:rFonts w:hint="eastAsia" w:cs="Times New Roman"/>
                <w:color w:val="000000" w:themeColor="text1"/>
                <w:sz w:val="20"/>
                <w:szCs w:val="20"/>
                <w:shd w:val="clear" w:fill="FFAFAA"/>
                <w14:textFill>
                  <w14:solidFill>
                    <w14:schemeClr w14:val="tx1"/>
                  </w14:solidFill>
                </w14:textFill>
              </w:rPr>
              <w:t>2025年02月26日</w:t>
            </w:r>
            <w:bookmarkEnd w:id="544"/>
            <w:bookmarkStart w:id="545" w:name="hmcheck_a33c747607414189a282bbcb0b92e3a3"/>
            <w:r>
              <w:rPr>
                <w:rFonts w:hint="eastAsia" w:cs="Times New Roman"/>
                <w:color w:val="000000" w:themeColor="text1"/>
                <w:sz w:val="20"/>
                <w:szCs w:val="20"/>
                <w:shd w:val="clear" w:fill="FFAFAA"/>
                <w14:textFill>
                  <w14:solidFill>
                    <w14:schemeClr w14:val="tx1"/>
                  </w14:solidFill>
                </w14:textFill>
              </w:rPr>
              <w:t>~</w:t>
            </w:r>
            <w:bookmarkEnd w:id="545"/>
            <w:bookmarkStart w:id="546" w:name="hmcheck_82cb0d51297b4aa08eda265b34fe4ea9"/>
            <w:r>
              <w:rPr>
                <w:rFonts w:hint="eastAsia" w:cs="Times New Roman"/>
                <w:color w:val="000000" w:themeColor="text1"/>
                <w:sz w:val="20"/>
                <w:szCs w:val="20"/>
                <w:shd w:val="clear" w:fill="FFAFAA"/>
                <w14:textFill>
                  <w14:solidFill>
                    <w14:schemeClr w14:val="tx1"/>
                  </w14:solidFill>
                </w14:textFill>
              </w:rPr>
              <w:t>02月28日</w:t>
            </w:r>
            <w:bookmarkEnd w:id="546"/>
            <w:bookmarkStart w:id="547" w:name="hmcheck_8dd5a2be11ec4eacb9aca19a9b9b6a59"/>
            <w:r>
              <w:rPr>
                <w:rFonts w:hint="eastAsia" w:cs="Times New Roman"/>
                <w:color w:val="000000" w:themeColor="text1"/>
                <w:sz w:val="20"/>
                <w:szCs w:val="20"/>
                <w:shd w:val="clear" w:fill="FFAFAA"/>
                <w14:textFill>
                  <w14:solidFill>
                    <w14:schemeClr w14:val="tx1"/>
                  </w14:solidFill>
                </w14:textFill>
              </w:rPr>
              <w:t>检测</w:t>
            </w:r>
            <w:bookmarkEnd w:id="547"/>
            <w:r>
              <w:rPr>
                <w:rFonts w:hint="eastAsia" w:cs="Times New Roman"/>
                <w:color w:val="000000" w:themeColor="text1"/>
                <w:sz w:val="20"/>
                <w:szCs w:val="20"/>
                <w14:textFill>
                  <w14:solidFill>
                    <w14:schemeClr w14:val="tx1"/>
                  </w14:solidFill>
                </w14:textFill>
              </w:rPr>
              <w:t>气象条件均为：天气阴，风速&lt;5m/s。</w:t>
            </w:r>
          </w:p>
        </w:tc>
      </w:tr>
    </w:tbl>
    <w:p w14:paraId="06C2A531">
      <w:pPr>
        <w:pStyle w:val="87"/>
        <w:spacing w:before="0" w:beforeLines="0"/>
        <w:ind w:firstLine="357"/>
        <w:rPr>
          <w:color w:val="000000" w:themeColor="text1"/>
          <w:lang w:val="zh-CN"/>
          <w14:textFill>
            <w14:solidFill>
              <w14:schemeClr w14:val="tx1"/>
            </w14:solidFill>
          </w14:textFill>
        </w:rPr>
      </w:pPr>
      <w:r>
        <w:rPr>
          <w:rFonts w:hint="eastAsia"/>
          <w:color w:val="000000" w:themeColor="text1"/>
          <w:lang w:val="zh-CN"/>
          <w14:textFill>
            <w14:solidFill>
              <w14:schemeClr w14:val="tx1"/>
            </w14:solidFill>
          </w14:textFill>
        </w:rPr>
        <w:t xml:space="preserve">项目周边现状公路交通噪声水平/垂直断面现状调查结果 </w:t>
      </w:r>
      <w:r>
        <w:rPr>
          <w:color w:val="000000" w:themeColor="text1"/>
          <w:lang w:val="zh-CN"/>
          <w14:textFill>
            <w14:solidFill>
              <w14:schemeClr w14:val="tx1"/>
            </w14:solidFill>
          </w14:textFill>
        </w:rPr>
        <w:t xml:space="preserve"> </w:t>
      </w:r>
      <w:r>
        <w:rPr>
          <w:rFonts w:hint="eastAsia"/>
          <w:color w:val="000000" w:themeColor="text1"/>
          <w:lang w:val="zh-CN"/>
          <w14:textFill>
            <w14:solidFill>
              <w14:schemeClr w14:val="tx1"/>
            </w14:solidFill>
          </w14:textFill>
        </w:rPr>
        <w:t>单位：dB（A）</w:t>
      </w:r>
      <w:bookmarkEnd w:id="537"/>
    </w:p>
    <w:bookmarkEnd w:id="538"/>
    <w:tbl>
      <w:tblPr>
        <w:tblStyle w:val="84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992"/>
        <w:gridCol w:w="1586"/>
        <w:gridCol w:w="1221"/>
        <w:gridCol w:w="1671"/>
        <w:gridCol w:w="922"/>
        <w:gridCol w:w="974"/>
        <w:gridCol w:w="853"/>
        <w:gridCol w:w="851"/>
      </w:tblGrid>
      <w:tr w14:paraId="351FD1F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restart"/>
            <w:vAlign w:val="center"/>
          </w:tcPr>
          <w:p w14:paraId="2D06FF45">
            <w:pPr>
              <w:pStyle w:val="105"/>
              <w:jc w:val="center"/>
            </w:pPr>
            <w:bookmarkStart w:id="548" w:name="_Hlk144826515"/>
            <w:r>
              <w:rPr>
                <w:rFonts w:hint="eastAsia"/>
              </w:rPr>
              <w:t>点位编号</w:t>
            </w:r>
          </w:p>
        </w:tc>
        <w:tc>
          <w:tcPr>
            <w:tcW w:w="874" w:type="pct"/>
            <w:vMerge w:val="restart"/>
            <w:vAlign w:val="center"/>
          </w:tcPr>
          <w:p w14:paraId="52A0466D">
            <w:pPr>
              <w:pStyle w:val="105"/>
              <w:jc w:val="center"/>
            </w:pPr>
            <w:r>
              <w:rPr>
                <w:rFonts w:hint="eastAsia"/>
              </w:rPr>
              <w:t>检测时段</w:t>
            </w:r>
          </w:p>
        </w:tc>
        <w:tc>
          <w:tcPr>
            <w:tcW w:w="673" w:type="pct"/>
            <w:vMerge w:val="restart"/>
            <w:vAlign w:val="center"/>
          </w:tcPr>
          <w:p w14:paraId="24C54C1D">
            <w:pPr>
              <w:pStyle w:val="105"/>
              <w:jc w:val="center"/>
            </w:pPr>
            <w:r>
              <w:rPr>
                <w:rFonts w:hint="eastAsia"/>
              </w:rPr>
              <w:t>点位名称</w:t>
            </w:r>
          </w:p>
        </w:tc>
        <w:tc>
          <w:tcPr>
            <w:tcW w:w="921" w:type="pct"/>
            <w:vMerge w:val="restart"/>
            <w:vAlign w:val="center"/>
          </w:tcPr>
          <w:p w14:paraId="169AABC0">
            <w:pPr>
              <w:pStyle w:val="105"/>
              <w:jc w:val="center"/>
            </w:pPr>
            <w:r>
              <w:rPr>
                <w:rFonts w:hint="eastAsia"/>
              </w:rPr>
              <w:t>检测结果</w:t>
            </w:r>
            <w:bookmarkStart w:id="549" w:name="hmcheck_415f2a1f641e46b5967aa2495b81b449"/>
            <w:r>
              <w:rPr>
                <w:shd w:val="clear" w:fill="FFAFAA"/>
              </w:rPr>
              <w:t>Leq</w:t>
            </w:r>
            <w:bookmarkEnd w:id="549"/>
          </w:p>
          <w:p w14:paraId="460512C6">
            <w:pPr>
              <w:pStyle w:val="105"/>
              <w:jc w:val="center"/>
            </w:pPr>
            <w:r>
              <w:t>dB</w:t>
            </w:r>
            <w:r>
              <w:rPr>
                <w:rFonts w:hint="eastAsia"/>
              </w:rPr>
              <w:t>(</w:t>
            </w:r>
            <w:r>
              <w:t>A</w:t>
            </w:r>
            <w:r>
              <w:rPr>
                <w:rFonts w:hint="eastAsia"/>
              </w:rPr>
              <w:t>)</w:t>
            </w:r>
          </w:p>
        </w:tc>
        <w:tc>
          <w:tcPr>
            <w:tcW w:w="1045" w:type="pct"/>
            <w:gridSpan w:val="2"/>
            <w:vAlign w:val="center"/>
          </w:tcPr>
          <w:p w14:paraId="09546A38">
            <w:pPr>
              <w:pStyle w:val="105"/>
              <w:jc w:val="center"/>
            </w:pPr>
            <w:r>
              <w:rPr>
                <w:rFonts w:hint="eastAsia"/>
              </w:rPr>
              <w:t>车流量（辆</w:t>
            </w:r>
            <w:r>
              <w:t>/20min</w:t>
            </w:r>
            <w:r>
              <w:rPr>
                <w:rFonts w:hint="eastAsia"/>
              </w:rPr>
              <w:t>）</w:t>
            </w:r>
          </w:p>
        </w:tc>
        <w:tc>
          <w:tcPr>
            <w:tcW w:w="470" w:type="pct"/>
            <w:vMerge w:val="restart"/>
            <w:vAlign w:val="center"/>
          </w:tcPr>
          <w:p w14:paraId="047E1FF5">
            <w:pPr>
              <w:pStyle w:val="105"/>
              <w:jc w:val="center"/>
            </w:pPr>
            <w:r>
              <w:rPr>
                <w:rFonts w:hint="eastAsia"/>
              </w:rPr>
              <w:t>声环境</w:t>
            </w:r>
          </w:p>
          <w:p w14:paraId="3B33B2BD">
            <w:pPr>
              <w:pStyle w:val="105"/>
              <w:jc w:val="center"/>
            </w:pPr>
            <w:r>
              <w:rPr>
                <w:rFonts w:hint="eastAsia"/>
              </w:rPr>
              <w:t>功能区划</w:t>
            </w:r>
          </w:p>
        </w:tc>
        <w:tc>
          <w:tcPr>
            <w:tcW w:w="469" w:type="pct"/>
            <w:vMerge w:val="restart"/>
            <w:vAlign w:val="center"/>
          </w:tcPr>
          <w:p w14:paraId="058CF6EF">
            <w:pPr>
              <w:pStyle w:val="105"/>
              <w:jc w:val="center"/>
            </w:pPr>
            <w:r>
              <w:rPr>
                <w:rFonts w:hint="eastAsia"/>
              </w:rPr>
              <w:t>达标</w:t>
            </w:r>
          </w:p>
          <w:p w14:paraId="20C92467">
            <w:pPr>
              <w:pStyle w:val="105"/>
              <w:jc w:val="center"/>
            </w:pPr>
            <w:r>
              <w:rPr>
                <w:rFonts w:hint="eastAsia"/>
              </w:rPr>
              <w:t>情况</w:t>
            </w:r>
          </w:p>
        </w:tc>
      </w:tr>
      <w:tr w14:paraId="56EDE6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57D578E8">
            <w:pPr>
              <w:pStyle w:val="105"/>
              <w:jc w:val="center"/>
            </w:pPr>
          </w:p>
        </w:tc>
        <w:tc>
          <w:tcPr>
            <w:tcW w:w="874" w:type="pct"/>
            <w:vMerge w:val="continue"/>
            <w:vAlign w:val="center"/>
          </w:tcPr>
          <w:p w14:paraId="5674F892">
            <w:pPr>
              <w:pStyle w:val="105"/>
              <w:jc w:val="center"/>
            </w:pPr>
          </w:p>
        </w:tc>
        <w:tc>
          <w:tcPr>
            <w:tcW w:w="673" w:type="pct"/>
            <w:vMerge w:val="continue"/>
            <w:vAlign w:val="center"/>
          </w:tcPr>
          <w:p w14:paraId="4F5C384F">
            <w:pPr>
              <w:pStyle w:val="105"/>
              <w:jc w:val="center"/>
            </w:pPr>
          </w:p>
        </w:tc>
        <w:tc>
          <w:tcPr>
            <w:tcW w:w="921" w:type="pct"/>
            <w:vMerge w:val="continue"/>
            <w:vAlign w:val="center"/>
          </w:tcPr>
          <w:p w14:paraId="109A678D">
            <w:pPr>
              <w:pStyle w:val="105"/>
              <w:jc w:val="center"/>
            </w:pPr>
          </w:p>
        </w:tc>
        <w:tc>
          <w:tcPr>
            <w:tcW w:w="508" w:type="pct"/>
            <w:vAlign w:val="center"/>
          </w:tcPr>
          <w:p w14:paraId="606EB764">
            <w:pPr>
              <w:pStyle w:val="105"/>
              <w:jc w:val="center"/>
            </w:pPr>
            <w:r>
              <w:rPr>
                <w:rFonts w:hint="eastAsia"/>
              </w:rPr>
              <w:t>大型车</w:t>
            </w:r>
          </w:p>
        </w:tc>
        <w:tc>
          <w:tcPr>
            <w:tcW w:w="537" w:type="pct"/>
            <w:vAlign w:val="center"/>
          </w:tcPr>
          <w:p w14:paraId="534BA40C">
            <w:pPr>
              <w:pStyle w:val="105"/>
              <w:jc w:val="center"/>
            </w:pPr>
            <w:r>
              <w:rPr>
                <w:rFonts w:hint="eastAsia"/>
              </w:rPr>
              <w:t>中/小型车</w:t>
            </w:r>
          </w:p>
        </w:tc>
        <w:tc>
          <w:tcPr>
            <w:tcW w:w="470" w:type="pct"/>
            <w:vMerge w:val="continue"/>
            <w:vAlign w:val="center"/>
          </w:tcPr>
          <w:p w14:paraId="0E7C95DB">
            <w:pPr>
              <w:pStyle w:val="105"/>
              <w:jc w:val="center"/>
            </w:pPr>
          </w:p>
        </w:tc>
        <w:tc>
          <w:tcPr>
            <w:tcW w:w="469" w:type="pct"/>
            <w:vMerge w:val="continue"/>
            <w:vAlign w:val="center"/>
          </w:tcPr>
          <w:p w14:paraId="36F05D3C">
            <w:pPr>
              <w:pStyle w:val="105"/>
              <w:jc w:val="center"/>
            </w:pPr>
          </w:p>
        </w:tc>
      </w:tr>
      <w:tr w14:paraId="27B683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restart"/>
            <w:vAlign w:val="center"/>
          </w:tcPr>
          <w:p w14:paraId="5C569304">
            <w:pPr>
              <w:pStyle w:val="105"/>
              <w:jc w:val="center"/>
            </w:pPr>
            <w:r>
              <w:rPr>
                <w:rFonts w:hint="eastAsia"/>
              </w:rPr>
              <w:t>起点G</w:t>
            </w:r>
            <w:r>
              <w:t>324</w:t>
            </w:r>
            <w:r>
              <w:rPr>
                <w:rFonts w:hint="eastAsia"/>
              </w:rPr>
              <w:t>国道水平断面</w:t>
            </w:r>
          </w:p>
        </w:tc>
        <w:tc>
          <w:tcPr>
            <w:tcW w:w="874" w:type="pct"/>
            <w:vMerge w:val="restart"/>
            <w:vAlign w:val="center"/>
          </w:tcPr>
          <w:p w14:paraId="5FADCBED">
            <w:pPr>
              <w:pStyle w:val="105"/>
              <w:jc w:val="center"/>
            </w:pPr>
            <w:r>
              <w:t>2</w:t>
            </w:r>
            <w:r>
              <w:rPr>
                <w:rFonts w:hint="eastAsia"/>
              </w:rPr>
              <w:t>月</w:t>
            </w:r>
            <w:r>
              <w:t>26</w:t>
            </w:r>
            <w:r>
              <w:rPr>
                <w:rFonts w:hint="eastAsia"/>
              </w:rPr>
              <w:t>日</w:t>
            </w:r>
          </w:p>
          <w:p w14:paraId="31581CBE">
            <w:pPr>
              <w:pStyle w:val="105"/>
              <w:jc w:val="center"/>
            </w:pPr>
            <w:r>
              <w:rPr>
                <w:rFonts w:hint="eastAsia"/>
              </w:rPr>
              <w:t>昼间</w:t>
            </w:r>
          </w:p>
        </w:tc>
        <w:tc>
          <w:tcPr>
            <w:tcW w:w="673" w:type="pct"/>
            <w:vAlign w:val="center"/>
          </w:tcPr>
          <w:p w14:paraId="6DC30D85">
            <w:pPr>
              <w:pStyle w:val="105"/>
              <w:jc w:val="center"/>
            </w:pPr>
            <w:r>
              <w:t>0</w:t>
            </w:r>
            <w:r>
              <w:rPr>
                <w:rFonts w:hint="eastAsia"/>
              </w:rPr>
              <w:t xml:space="preserve"> m</w:t>
            </w:r>
          </w:p>
        </w:tc>
        <w:tc>
          <w:tcPr>
            <w:tcW w:w="921" w:type="pct"/>
            <w:vAlign w:val="center"/>
          </w:tcPr>
          <w:p w14:paraId="4BE813B2">
            <w:pPr>
              <w:pStyle w:val="105"/>
              <w:jc w:val="center"/>
            </w:pPr>
          </w:p>
        </w:tc>
        <w:tc>
          <w:tcPr>
            <w:tcW w:w="508" w:type="pct"/>
            <w:vMerge w:val="restart"/>
            <w:vAlign w:val="center"/>
          </w:tcPr>
          <w:p w14:paraId="784F61DA">
            <w:pPr>
              <w:pStyle w:val="105"/>
              <w:jc w:val="center"/>
            </w:pPr>
          </w:p>
        </w:tc>
        <w:tc>
          <w:tcPr>
            <w:tcW w:w="537" w:type="pct"/>
            <w:vMerge w:val="restart"/>
            <w:vAlign w:val="center"/>
          </w:tcPr>
          <w:p w14:paraId="69C42E26">
            <w:pPr>
              <w:pStyle w:val="105"/>
              <w:jc w:val="center"/>
            </w:pPr>
          </w:p>
        </w:tc>
        <w:tc>
          <w:tcPr>
            <w:tcW w:w="470" w:type="pct"/>
            <w:vMerge w:val="restart"/>
            <w:vAlign w:val="center"/>
          </w:tcPr>
          <w:p w14:paraId="22F5332F">
            <w:pPr>
              <w:pStyle w:val="105"/>
              <w:jc w:val="center"/>
            </w:pPr>
            <w:r>
              <w:t>4a</w:t>
            </w:r>
          </w:p>
        </w:tc>
        <w:tc>
          <w:tcPr>
            <w:tcW w:w="469" w:type="pct"/>
            <w:vAlign w:val="center"/>
          </w:tcPr>
          <w:p w14:paraId="59F71217">
            <w:pPr>
              <w:pStyle w:val="105"/>
              <w:jc w:val="center"/>
            </w:pPr>
            <w:r>
              <w:rPr>
                <w:rFonts w:hint="eastAsia"/>
              </w:rPr>
              <w:t>超标</w:t>
            </w:r>
          </w:p>
        </w:tc>
      </w:tr>
      <w:tr w14:paraId="192C8B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0E3CB494">
            <w:pPr>
              <w:pStyle w:val="105"/>
              <w:jc w:val="center"/>
            </w:pPr>
          </w:p>
        </w:tc>
        <w:tc>
          <w:tcPr>
            <w:tcW w:w="874" w:type="pct"/>
            <w:vMerge w:val="continue"/>
            <w:vAlign w:val="center"/>
          </w:tcPr>
          <w:p w14:paraId="15E7E01D">
            <w:pPr>
              <w:pStyle w:val="105"/>
              <w:jc w:val="center"/>
            </w:pPr>
          </w:p>
        </w:tc>
        <w:tc>
          <w:tcPr>
            <w:tcW w:w="673" w:type="pct"/>
            <w:vAlign w:val="center"/>
          </w:tcPr>
          <w:p w14:paraId="1A948186">
            <w:pPr>
              <w:pStyle w:val="105"/>
              <w:jc w:val="center"/>
            </w:pPr>
            <w:r>
              <w:t>20</w:t>
            </w:r>
            <w:r>
              <w:rPr>
                <w:rFonts w:hint="eastAsia"/>
              </w:rPr>
              <w:t xml:space="preserve"> m</w:t>
            </w:r>
          </w:p>
        </w:tc>
        <w:tc>
          <w:tcPr>
            <w:tcW w:w="921" w:type="pct"/>
            <w:vAlign w:val="center"/>
          </w:tcPr>
          <w:p w14:paraId="79F20A3D">
            <w:pPr>
              <w:pStyle w:val="105"/>
              <w:jc w:val="center"/>
            </w:pPr>
          </w:p>
        </w:tc>
        <w:tc>
          <w:tcPr>
            <w:tcW w:w="508" w:type="pct"/>
            <w:vMerge w:val="continue"/>
            <w:vAlign w:val="center"/>
          </w:tcPr>
          <w:p w14:paraId="7A88740B">
            <w:pPr>
              <w:pStyle w:val="105"/>
              <w:jc w:val="center"/>
            </w:pPr>
          </w:p>
        </w:tc>
        <w:tc>
          <w:tcPr>
            <w:tcW w:w="537" w:type="pct"/>
            <w:vMerge w:val="continue"/>
            <w:vAlign w:val="center"/>
          </w:tcPr>
          <w:p w14:paraId="4EEFA7A1">
            <w:pPr>
              <w:pStyle w:val="105"/>
              <w:jc w:val="center"/>
            </w:pPr>
          </w:p>
        </w:tc>
        <w:tc>
          <w:tcPr>
            <w:tcW w:w="470" w:type="pct"/>
            <w:vMerge w:val="continue"/>
            <w:vAlign w:val="center"/>
          </w:tcPr>
          <w:p w14:paraId="1672C238">
            <w:pPr>
              <w:pStyle w:val="105"/>
              <w:jc w:val="center"/>
            </w:pPr>
          </w:p>
        </w:tc>
        <w:tc>
          <w:tcPr>
            <w:tcW w:w="469" w:type="pct"/>
            <w:vAlign w:val="center"/>
          </w:tcPr>
          <w:p w14:paraId="77E6DF99">
            <w:pPr>
              <w:pStyle w:val="105"/>
              <w:jc w:val="center"/>
            </w:pPr>
            <w:r>
              <w:rPr>
                <w:rFonts w:hint="eastAsia"/>
              </w:rPr>
              <w:t>达标</w:t>
            </w:r>
          </w:p>
        </w:tc>
      </w:tr>
      <w:tr w14:paraId="1CAC46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3EE549F6">
            <w:pPr>
              <w:pStyle w:val="105"/>
              <w:jc w:val="center"/>
            </w:pPr>
          </w:p>
        </w:tc>
        <w:tc>
          <w:tcPr>
            <w:tcW w:w="874" w:type="pct"/>
            <w:vMerge w:val="continue"/>
            <w:vAlign w:val="center"/>
          </w:tcPr>
          <w:p w14:paraId="3DF0A843">
            <w:pPr>
              <w:pStyle w:val="105"/>
              <w:jc w:val="center"/>
            </w:pPr>
          </w:p>
        </w:tc>
        <w:tc>
          <w:tcPr>
            <w:tcW w:w="673" w:type="pct"/>
            <w:vAlign w:val="center"/>
          </w:tcPr>
          <w:p w14:paraId="2E5DD681">
            <w:pPr>
              <w:pStyle w:val="105"/>
              <w:jc w:val="center"/>
            </w:pPr>
            <w:r>
              <w:t>40</w:t>
            </w:r>
            <w:r>
              <w:rPr>
                <w:rFonts w:hint="eastAsia"/>
              </w:rPr>
              <w:t xml:space="preserve"> m</w:t>
            </w:r>
          </w:p>
        </w:tc>
        <w:tc>
          <w:tcPr>
            <w:tcW w:w="921" w:type="pct"/>
            <w:vAlign w:val="center"/>
          </w:tcPr>
          <w:p w14:paraId="026A8C78">
            <w:pPr>
              <w:pStyle w:val="105"/>
              <w:jc w:val="center"/>
            </w:pPr>
          </w:p>
        </w:tc>
        <w:tc>
          <w:tcPr>
            <w:tcW w:w="508" w:type="pct"/>
            <w:vMerge w:val="continue"/>
            <w:vAlign w:val="center"/>
          </w:tcPr>
          <w:p w14:paraId="13CDDB18">
            <w:pPr>
              <w:pStyle w:val="105"/>
              <w:jc w:val="center"/>
            </w:pPr>
          </w:p>
        </w:tc>
        <w:tc>
          <w:tcPr>
            <w:tcW w:w="537" w:type="pct"/>
            <w:vMerge w:val="continue"/>
            <w:vAlign w:val="center"/>
          </w:tcPr>
          <w:p w14:paraId="267F935A">
            <w:pPr>
              <w:pStyle w:val="105"/>
              <w:jc w:val="center"/>
            </w:pPr>
          </w:p>
        </w:tc>
        <w:tc>
          <w:tcPr>
            <w:tcW w:w="470" w:type="pct"/>
            <w:vMerge w:val="continue"/>
            <w:vAlign w:val="center"/>
          </w:tcPr>
          <w:p w14:paraId="6131E501">
            <w:pPr>
              <w:pStyle w:val="105"/>
              <w:jc w:val="center"/>
            </w:pPr>
          </w:p>
        </w:tc>
        <w:tc>
          <w:tcPr>
            <w:tcW w:w="469" w:type="pct"/>
            <w:vAlign w:val="center"/>
          </w:tcPr>
          <w:p w14:paraId="30C345B3">
            <w:pPr>
              <w:pStyle w:val="105"/>
              <w:jc w:val="center"/>
            </w:pPr>
            <w:r>
              <w:rPr>
                <w:rFonts w:hint="eastAsia"/>
              </w:rPr>
              <w:t>达标</w:t>
            </w:r>
          </w:p>
        </w:tc>
      </w:tr>
      <w:tr w14:paraId="77F4BA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7C8937DD">
            <w:pPr>
              <w:pStyle w:val="105"/>
              <w:jc w:val="center"/>
            </w:pPr>
          </w:p>
        </w:tc>
        <w:tc>
          <w:tcPr>
            <w:tcW w:w="874" w:type="pct"/>
            <w:vMerge w:val="restart"/>
            <w:vAlign w:val="center"/>
          </w:tcPr>
          <w:p w14:paraId="662FF043">
            <w:pPr>
              <w:pStyle w:val="105"/>
              <w:jc w:val="center"/>
            </w:pPr>
            <w:bookmarkStart w:id="550" w:name="hmcheck_0751e466a768466589f09b6737ba99eb"/>
            <w:r>
              <w:rPr>
                <w:shd w:val="clear" w:fill="FFAFAA"/>
              </w:rPr>
              <w:t>2</w:t>
            </w:r>
            <w:r>
              <w:rPr>
                <w:rFonts w:hint="eastAsia"/>
                <w:shd w:val="clear" w:fill="FFAFAA"/>
              </w:rPr>
              <w:t>月</w:t>
            </w:r>
            <w:r>
              <w:rPr>
                <w:shd w:val="clear" w:fill="FFAFAA"/>
              </w:rPr>
              <w:t>26</w:t>
            </w:r>
            <w:bookmarkEnd w:id="550"/>
            <w:bookmarkStart w:id="551" w:name="hmcheck_183647ba87164eb9bbd7f707b74e3025"/>
            <w:r>
              <w:rPr>
                <w:shd w:val="clear" w:fill="FFAFAA"/>
              </w:rPr>
              <w:t>~</w:t>
            </w:r>
            <w:bookmarkEnd w:id="551"/>
            <w:r>
              <w:t>27</w:t>
            </w:r>
            <w:r>
              <w:rPr>
                <w:rFonts w:hint="eastAsia"/>
              </w:rPr>
              <w:t>日</w:t>
            </w:r>
          </w:p>
          <w:p w14:paraId="5DA4126F">
            <w:pPr>
              <w:pStyle w:val="105"/>
              <w:jc w:val="center"/>
            </w:pPr>
            <w:r>
              <w:rPr>
                <w:rFonts w:hint="eastAsia"/>
              </w:rPr>
              <w:t>夜间</w:t>
            </w:r>
          </w:p>
        </w:tc>
        <w:tc>
          <w:tcPr>
            <w:tcW w:w="673" w:type="pct"/>
            <w:vAlign w:val="center"/>
          </w:tcPr>
          <w:p w14:paraId="3174D43B">
            <w:pPr>
              <w:pStyle w:val="105"/>
              <w:jc w:val="center"/>
            </w:pPr>
            <w:r>
              <w:t>0</w:t>
            </w:r>
            <w:r>
              <w:rPr>
                <w:rFonts w:hint="eastAsia"/>
              </w:rPr>
              <w:t xml:space="preserve"> m</w:t>
            </w:r>
          </w:p>
        </w:tc>
        <w:tc>
          <w:tcPr>
            <w:tcW w:w="921" w:type="pct"/>
            <w:vAlign w:val="center"/>
          </w:tcPr>
          <w:p w14:paraId="2C705F26">
            <w:pPr>
              <w:pStyle w:val="105"/>
              <w:jc w:val="center"/>
            </w:pPr>
          </w:p>
        </w:tc>
        <w:tc>
          <w:tcPr>
            <w:tcW w:w="508" w:type="pct"/>
            <w:vMerge w:val="restart"/>
            <w:vAlign w:val="center"/>
          </w:tcPr>
          <w:p w14:paraId="6AA1F7BB">
            <w:pPr>
              <w:pStyle w:val="105"/>
              <w:jc w:val="center"/>
            </w:pPr>
          </w:p>
        </w:tc>
        <w:tc>
          <w:tcPr>
            <w:tcW w:w="537" w:type="pct"/>
            <w:vMerge w:val="restart"/>
            <w:vAlign w:val="center"/>
          </w:tcPr>
          <w:p w14:paraId="6B1CA2D6">
            <w:pPr>
              <w:pStyle w:val="105"/>
              <w:jc w:val="center"/>
            </w:pPr>
          </w:p>
        </w:tc>
        <w:tc>
          <w:tcPr>
            <w:tcW w:w="470" w:type="pct"/>
            <w:vMerge w:val="restart"/>
            <w:vAlign w:val="center"/>
          </w:tcPr>
          <w:p w14:paraId="027B9286">
            <w:pPr>
              <w:pStyle w:val="105"/>
              <w:jc w:val="center"/>
            </w:pPr>
            <w:r>
              <w:t>4a</w:t>
            </w:r>
          </w:p>
        </w:tc>
        <w:tc>
          <w:tcPr>
            <w:tcW w:w="469" w:type="pct"/>
            <w:vAlign w:val="center"/>
          </w:tcPr>
          <w:p w14:paraId="07520653">
            <w:pPr>
              <w:pStyle w:val="105"/>
              <w:jc w:val="center"/>
            </w:pPr>
            <w:r>
              <w:rPr>
                <w:rFonts w:hint="eastAsia"/>
              </w:rPr>
              <w:t>超标</w:t>
            </w:r>
          </w:p>
        </w:tc>
      </w:tr>
      <w:tr w14:paraId="5D135A1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6CEC2D3D">
            <w:pPr>
              <w:pStyle w:val="105"/>
              <w:jc w:val="center"/>
            </w:pPr>
          </w:p>
        </w:tc>
        <w:tc>
          <w:tcPr>
            <w:tcW w:w="874" w:type="pct"/>
            <w:vMerge w:val="continue"/>
            <w:vAlign w:val="center"/>
          </w:tcPr>
          <w:p w14:paraId="4C505EDB">
            <w:pPr>
              <w:pStyle w:val="105"/>
              <w:jc w:val="center"/>
            </w:pPr>
          </w:p>
        </w:tc>
        <w:tc>
          <w:tcPr>
            <w:tcW w:w="673" w:type="pct"/>
            <w:vAlign w:val="center"/>
          </w:tcPr>
          <w:p w14:paraId="77EFF5A3">
            <w:pPr>
              <w:pStyle w:val="105"/>
              <w:jc w:val="center"/>
            </w:pPr>
            <w:r>
              <w:t>20</w:t>
            </w:r>
            <w:r>
              <w:rPr>
                <w:rFonts w:hint="eastAsia"/>
              </w:rPr>
              <w:t xml:space="preserve"> m</w:t>
            </w:r>
          </w:p>
        </w:tc>
        <w:tc>
          <w:tcPr>
            <w:tcW w:w="921" w:type="pct"/>
            <w:vAlign w:val="center"/>
          </w:tcPr>
          <w:p w14:paraId="4D39DA14">
            <w:pPr>
              <w:pStyle w:val="105"/>
              <w:jc w:val="center"/>
            </w:pPr>
          </w:p>
        </w:tc>
        <w:tc>
          <w:tcPr>
            <w:tcW w:w="508" w:type="pct"/>
            <w:vMerge w:val="continue"/>
            <w:vAlign w:val="center"/>
          </w:tcPr>
          <w:p w14:paraId="68D82A16">
            <w:pPr>
              <w:pStyle w:val="105"/>
              <w:jc w:val="center"/>
            </w:pPr>
          </w:p>
        </w:tc>
        <w:tc>
          <w:tcPr>
            <w:tcW w:w="537" w:type="pct"/>
            <w:vMerge w:val="continue"/>
            <w:vAlign w:val="center"/>
          </w:tcPr>
          <w:p w14:paraId="17E806C8">
            <w:pPr>
              <w:pStyle w:val="105"/>
              <w:jc w:val="center"/>
            </w:pPr>
          </w:p>
        </w:tc>
        <w:tc>
          <w:tcPr>
            <w:tcW w:w="470" w:type="pct"/>
            <w:vMerge w:val="continue"/>
            <w:vAlign w:val="center"/>
          </w:tcPr>
          <w:p w14:paraId="4C261375">
            <w:pPr>
              <w:pStyle w:val="105"/>
              <w:jc w:val="center"/>
            </w:pPr>
          </w:p>
        </w:tc>
        <w:tc>
          <w:tcPr>
            <w:tcW w:w="469" w:type="pct"/>
            <w:vAlign w:val="center"/>
          </w:tcPr>
          <w:p w14:paraId="7DA0D118">
            <w:pPr>
              <w:pStyle w:val="105"/>
              <w:jc w:val="center"/>
            </w:pPr>
            <w:r>
              <w:rPr>
                <w:rFonts w:hint="eastAsia"/>
              </w:rPr>
              <w:t>超标</w:t>
            </w:r>
          </w:p>
        </w:tc>
      </w:tr>
      <w:tr w14:paraId="545DFB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59696638">
            <w:pPr>
              <w:pStyle w:val="105"/>
              <w:jc w:val="center"/>
            </w:pPr>
          </w:p>
        </w:tc>
        <w:tc>
          <w:tcPr>
            <w:tcW w:w="874" w:type="pct"/>
            <w:vMerge w:val="continue"/>
            <w:vAlign w:val="center"/>
          </w:tcPr>
          <w:p w14:paraId="0DD333A1">
            <w:pPr>
              <w:pStyle w:val="105"/>
              <w:jc w:val="center"/>
            </w:pPr>
          </w:p>
        </w:tc>
        <w:tc>
          <w:tcPr>
            <w:tcW w:w="673" w:type="pct"/>
            <w:vAlign w:val="center"/>
          </w:tcPr>
          <w:p w14:paraId="22DA697B">
            <w:pPr>
              <w:pStyle w:val="105"/>
              <w:jc w:val="center"/>
            </w:pPr>
            <w:r>
              <w:t>40</w:t>
            </w:r>
            <w:r>
              <w:rPr>
                <w:rFonts w:hint="eastAsia"/>
              </w:rPr>
              <w:t xml:space="preserve"> m</w:t>
            </w:r>
          </w:p>
        </w:tc>
        <w:tc>
          <w:tcPr>
            <w:tcW w:w="921" w:type="pct"/>
            <w:vAlign w:val="center"/>
          </w:tcPr>
          <w:p w14:paraId="309A2EAD">
            <w:pPr>
              <w:pStyle w:val="105"/>
              <w:jc w:val="center"/>
            </w:pPr>
          </w:p>
        </w:tc>
        <w:tc>
          <w:tcPr>
            <w:tcW w:w="508" w:type="pct"/>
            <w:vMerge w:val="continue"/>
            <w:vAlign w:val="center"/>
          </w:tcPr>
          <w:p w14:paraId="16DBE30E">
            <w:pPr>
              <w:pStyle w:val="105"/>
              <w:jc w:val="center"/>
            </w:pPr>
          </w:p>
        </w:tc>
        <w:tc>
          <w:tcPr>
            <w:tcW w:w="537" w:type="pct"/>
            <w:vMerge w:val="continue"/>
            <w:vAlign w:val="center"/>
          </w:tcPr>
          <w:p w14:paraId="1CB23A2D">
            <w:pPr>
              <w:pStyle w:val="105"/>
              <w:jc w:val="center"/>
            </w:pPr>
          </w:p>
        </w:tc>
        <w:tc>
          <w:tcPr>
            <w:tcW w:w="470" w:type="pct"/>
            <w:vMerge w:val="continue"/>
            <w:vAlign w:val="center"/>
          </w:tcPr>
          <w:p w14:paraId="7EB7069D">
            <w:pPr>
              <w:pStyle w:val="105"/>
              <w:jc w:val="center"/>
            </w:pPr>
          </w:p>
        </w:tc>
        <w:tc>
          <w:tcPr>
            <w:tcW w:w="469" w:type="pct"/>
            <w:vAlign w:val="center"/>
          </w:tcPr>
          <w:p w14:paraId="502AFCB8">
            <w:pPr>
              <w:pStyle w:val="105"/>
              <w:jc w:val="center"/>
            </w:pPr>
            <w:r>
              <w:rPr>
                <w:rFonts w:hint="eastAsia"/>
              </w:rPr>
              <w:t>超标</w:t>
            </w:r>
          </w:p>
        </w:tc>
      </w:tr>
      <w:tr w14:paraId="679305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306A8490">
            <w:pPr>
              <w:pStyle w:val="105"/>
              <w:jc w:val="center"/>
            </w:pPr>
          </w:p>
        </w:tc>
        <w:tc>
          <w:tcPr>
            <w:tcW w:w="874" w:type="pct"/>
            <w:vMerge w:val="restart"/>
            <w:vAlign w:val="center"/>
          </w:tcPr>
          <w:p w14:paraId="21580B8C">
            <w:pPr>
              <w:pStyle w:val="105"/>
              <w:jc w:val="center"/>
            </w:pPr>
            <w:r>
              <w:t>2</w:t>
            </w:r>
            <w:r>
              <w:rPr>
                <w:rFonts w:hint="eastAsia"/>
              </w:rPr>
              <w:t>月</w:t>
            </w:r>
            <w:r>
              <w:t>27</w:t>
            </w:r>
            <w:r>
              <w:rPr>
                <w:rFonts w:hint="eastAsia"/>
              </w:rPr>
              <w:t>日</w:t>
            </w:r>
          </w:p>
          <w:p w14:paraId="206CF0AD">
            <w:pPr>
              <w:pStyle w:val="105"/>
              <w:jc w:val="center"/>
            </w:pPr>
            <w:r>
              <w:rPr>
                <w:rFonts w:hint="eastAsia"/>
              </w:rPr>
              <w:t>昼间</w:t>
            </w:r>
          </w:p>
        </w:tc>
        <w:tc>
          <w:tcPr>
            <w:tcW w:w="673" w:type="pct"/>
            <w:vAlign w:val="center"/>
          </w:tcPr>
          <w:p w14:paraId="633FE6FF">
            <w:pPr>
              <w:pStyle w:val="105"/>
              <w:jc w:val="center"/>
            </w:pPr>
            <w:r>
              <w:t>0</w:t>
            </w:r>
            <w:r>
              <w:rPr>
                <w:rFonts w:hint="eastAsia"/>
              </w:rPr>
              <w:t xml:space="preserve"> m</w:t>
            </w:r>
          </w:p>
        </w:tc>
        <w:tc>
          <w:tcPr>
            <w:tcW w:w="921" w:type="pct"/>
            <w:vAlign w:val="center"/>
          </w:tcPr>
          <w:p w14:paraId="0977F82C">
            <w:pPr>
              <w:pStyle w:val="105"/>
              <w:jc w:val="center"/>
            </w:pPr>
          </w:p>
        </w:tc>
        <w:tc>
          <w:tcPr>
            <w:tcW w:w="508" w:type="pct"/>
            <w:vMerge w:val="restart"/>
            <w:vAlign w:val="center"/>
          </w:tcPr>
          <w:p w14:paraId="693D934E">
            <w:pPr>
              <w:pStyle w:val="105"/>
              <w:jc w:val="center"/>
            </w:pPr>
          </w:p>
        </w:tc>
        <w:tc>
          <w:tcPr>
            <w:tcW w:w="537" w:type="pct"/>
            <w:vMerge w:val="restart"/>
            <w:vAlign w:val="center"/>
          </w:tcPr>
          <w:p w14:paraId="03E7538C">
            <w:pPr>
              <w:pStyle w:val="105"/>
              <w:jc w:val="center"/>
            </w:pPr>
          </w:p>
        </w:tc>
        <w:tc>
          <w:tcPr>
            <w:tcW w:w="470" w:type="pct"/>
            <w:vMerge w:val="restart"/>
            <w:vAlign w:val="center"/>
          </w:tcPr>
          <w:p w14:paraId="22E6C6DF">
            <w:pPr>
              <w:pStyle w:val="105"/>
              <w:jc w:val="center"/>
            </w:pPr>
            <w:r>
              <w:t>4a</w:t>
            </w:r>
          </w:p>
        </w:tc>
        <w:tc>
          <w:tcPr>
            <w:tcW w:w="469" w:type="pct"/>
            <w:vAlign w:val="center"/>
          </w:tcPr>
          <w:p w14:paraId="7052243D">
            <w:pPr>
              <w:pStyle w:val="105"/>
              <w:jc w:val="center"/>
            </w:pPr>
            <w:r>
              <w:rPr>
                <w:rFonts w:hint="eastAsia"/>
              </w:rPr>
              <w:t>超标　</w:t>
            </w:r>
          </w:p>
        </w:tc>
      </w:tr>
      <w:tr w14:paraId="769A7D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F37201D">
            <w:pPr>
              <w:pStyle w:val="105"/>
              <w:jc w:val="center"/>
            </w:pPr>
          </w:p>
        </w:tc>
        <w:tc>
          <w:tcPr>
            <w:tcW w:w="874" w:type="pct"/>
            <w:vMerge w:val="continue"/>
            <w:vAlign w:val="center"/>
          </w:tcPr>
          <w:p w14:paraId="5FE5CB88">
            <w:pPr>
              <w:pStyle w:val="105"/>
              <w:jc w:val="center"/>
            </w:pPr>
          </w:p>
        </w:tc>
        <w:tc>
          <w:tcPr>
            <w:tcW w:w="673" w:type="pct"/>
            <w:vAlign w:val="center"/>
          </w:tcPr>
          <w:p w14:paraId="302282D3">
            <w:pPr>
              <w:pStyle w:val="105"/>
              <w:jc w:val="center"/>
            </w:pPr>
            <w:r>
              <w:t>20</w:t>
            </w:r>
            <w:r>
              <w:rPr>
                <w:rFonts w:hint="eastAsia"/>
              </w:rPr>
              <w:t xml:space="preserve"> m</w:t>
            </w:r>
          </w:p>
        </w:tc>
        <w:tc>
          <w:tcPr>
            <w:tcW w:w="921" w:type="pct"/>
            <w:vAlign w:val="center"/>
          </w:tcPr>
          <w:p w14:paraId="3659CAEB">
            <w:pPr>
              <w:pStyle w:val="105"/>
              <w:jc w:val="center"/>
            </w:pPr>
          </w:p>
        </w:tc>
        <w:tc>
          <w:tcPr>
            <w:tcW w:w="508" w:type="pct"/>
            <w:vMerge w:val="continue"/>
            <w:vAlign w:val="center"/>
          </w:tcPr>
          <w:p w14:paraId="3847A213">
            <w:pPr>
              <w:pStyle w:val="105"/>
              <w:jc w:val="center"/>
            </w:pPr>
          </w:p>
        </w:tc>
        <w:tc>
          <w:tcPr>
            <w:tcW w:w="537" w:type="pct"/>
            <w:vMerge w:val="continue"/>
            <w:vAlign w:val="center"/>
          </w:tcPr>
          <w:p w14:paraId="3704F64D">
            <w:pPr>
              <w:pStyle w:val="105"/>
              <w:jc w:val="center"/>
            </w:pPr>
          </w:p>
        </w:tc>
        <w:tc>
          <w:tcPr>
            <w:tcW w:w="470" w:type="pct"/>
            <w:vMerge w:val="continue"/>
            <w:vAlign w:val="center"/>
          </w:tcPr>
          <w:p w14:paraId="0D529048">
            <w:pPr>
              <w:pStyle w:val="105"/>
              <w:jc w:val="center"/>
            </w:pPr>
          </w:p>
        </w:tc>
        <w:tc>
          <w:tcPr>
            <w:tcW w:w="469" w:type="pct"/>
            <w:vAlign w:val="center"/>
          </w:tcPr>
          <w:p w14:paraId="7F4733A8">
            <w:pPr>
              <w:pStyle w:val="105"/>
              <w:jc w:val="center"/>
            </w:pPr>
            <w:r>
              <w:rPr>
                <w:rFonts w:hint="eastAsia"/>
              </w:rPr>
              <w:t>达标</w:t>
            </w:r>
          </w:p>
        </w:tc>
      </w:tr>
      <w:tr w14:paraId="39A6F4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1D2B293B">
            <w:pPr>
              <w:pStyle w:val="105"/>
              <w:jc w:val="center"/>
            </w:pPr>
          </w:p>
        </w:tc>
        <w:tc>
          <w:tcPr>
            <w:tcW w:w="874" w:type="pct"/>
            <w:vMerge w:val="continue"/>
            <w:vAlign w:val="center"/>
          </w:tcPr>
          <w:p w14:paraId="742B0997">
            <w:pPr>
              <w:pStyle w:val="105"/>
              <w:jc w:val="center"/>
            </w:pPr>
          </w:p>
        </w:tc>
        <w:tc>
          <w:tcPr>
            <w:tcW w:w="673" w:type="pct"/>
            <w:vAlign w:val="center"/>
          </w:tcPr>
          <w:p w14:paraId="3A8E89F1">
            <w:pPr>
              <w:pStyle w:val="105"/>
              <w:jc w:val="center"/>
            </w:pPr>
            <w:r>
              <w:t>40</w:t>
            </w:r>
            <w:r>
              <w:rPr>
                <w:rFonts w:hint="eastAsia"/>
              </w:rPr>
              <w:t xml:space="preserve"> m</w:t>
            </w:r>
          </w:p>
        </w:tc>
        <w:tc>
          <w:tcPr>
            <w:tcW w:w="921" w:type="pct"/>
            <w:vAlign w:val="center"/>
          </w:tcPr>
          <w:p w14:paraId="04B98687">
            <w:pPr>
              <w:pStyle w:val="105"/>
              <w:jc w:val="center"/>
            </w:pPr>
          </w:p>
        </w:tc>
        <w:tc>
          <w:tcPr>
            <w:tcW w:w="508" w:type="pct"/>
            <w:vMerge w:val="continue"/>
            <w:vAlign w:val="center"/>
          </w:tcPr>
          <w:p w14:paraId="770401C2">
            <w:pPr>
              <w:pStyle w:val="105"/>
              <w:jc w:val="center"/>
            </w:pPr>
          </w:p>
        </w:tc>
        <w:tc>
          <w:tcPr>
            <w:tcW w:w="537" w:type="pct"/>
            <w:vMerge w:val="continue"/>
            <w:vAlign w:val="center"/>
          </w:tcPr>
          <w:p w14:paraId="039209FB">
            <w:pPr>
              <w:pStyle w:val="105"/>
              <w:jc w:val="center"/>
            </w:pPr>
          </w:p>
        </w:tc>
        <w:tc>
          <w:tcPr>
            <w:tcW w:w="470" w:type="pct"/>
            <w:vMerge w:val="continue"/>
            <w:vAlign w:val="center"/>
          </w:tcPr>
          <w:p w14:paraId="52657AF6">
            <w:pPr>
              <w:pStyle w:val="105"/>
              <w:jc w:val="center"/>
            </w:pPr>
          </w:p>
        </w:tc>
        <w:tc>
          <w:tcPr>
            <w:tcW w:w="469" w:type="pct"/>
            <w:vAlign w:val="center"/>
          </w:tcPr>
          <w:p w14:paraId="2FDD2E41">
            <w:pPr>
              <w:pStyle w:val="105"/>
              <w:jc w:val="center"/>
            </w:pPr>
            <w:r>
              <w:rPr>
                <w:rFonts w:hint="eastAsia"/>
              </w:rPr>
              <w:t>达标</w:t>
            </w:r>
          </w:p>
        </w:tc>
      </w:tr>
      <w:tr w14:paraId="2700E7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52C60021">
            <w:pPr>
              <w:pStyle w:val="105"/>
              <w:jc w:val="center"/>
            </w:pPr>
          </w:p>
        </w:tc>
        <w:tc>
          <w:tcPr>
            <w:tcW w:w="874" w:type="pct"/>
            <w:vMerge w:val="restart"/>
            <w:vAlign w:val="center"/>
          </w:tcPr>
          <w:p w14:paraId="7F7ECF93">
            <w:pPr>
              <w:pStyle w:val="105"/>
              <w:jc w:val="center"/>
            </w:pPr>
            <w:bookmarkStart w:id="552" w:name="hmcheck_91dc0b10ca734a518a474c44db985b3e"/>
            <w:r>
              <w:rPr>
                <w:shd w:val="clear" w:fill="FFAFAA"/>
              </w:rPr>
              <w:t>2</w:t>
            </w:r>
            <w:r>
              <w:rPr>
                <w:rFonts w:hint="eastAsia"/>
                <w:shd w:val="clear" w:fill="FFAFAA"/>
              </w:rPr>
              <w:t>月</w:t>
            </w:r>
            <w:r>
              <w:rPr>
                <w:shd w:val="clear" w:fill="FFAFAA"/>
              </w:rPr>
              <w:t>27</w:t>
            </w:r>
            <w:bookmarkEnd w:id="552"/>
            <w:bookmarkStart w:id="553" w:name="hmcheck_cc267b73976345b5b8d1f47359144de5"/>
            <w:r>
              <w:rPr>
                <w:shd w:val="clear" w:fill="FFAFAA"/>
              </w:rPr>
              <w:t>~</w:t>
            </w:r>
            <w:bookmarkEnd w:id="553"/>
            <w:r>
              <w:t>28</w:t>
            </w:r>
            <w:r>
              <w:rPr>
                <w:rFonts w:hint="eastAsia"/>
              </w:rPr>
              <w:t>日</w:t>
            </w:r>
          </w:p>
          <w:p w14:paraId="7086C845">
            <w:pPr>
              <w:pStyle w:val="105"/>
              <w:jc w:val="center"/>
            </w:pPr>
            <w:r>
              <w:rPr>
                <w:rFonts w:hint="eastAsia"/>
              </w:rPr>
              <w:t>夜间</w:t>
            </w:r>
          </w:p>
        </w:tc>
        <w:tc>
          <w:tcPr>
            <w:tcW w:w="673" w:type="pct"/>
            <w:vAlign w:val="center"/>
          </w:tcPr>
          <w:p w14:paraId="5817770D">
            <w:pPr>
              <w:pStyle w:val="105"/>
              <w:jc w:val="center"/>
            </w:pPr>
            <w:r>
              <w:t>0</w:t>
            </w:r>
            <w:r>
              <w:rPr>
                <w:rFonts w:hint="eastAsia"/>
              </w:rPr>
              <w:t xml:space="preserve"> m</w:t>
            </w:r>
          </w:p>
        </w:tc>
        <w:tc>
          <w:tcPr>
            <w:tcW w:w="921" w:type="pct"/>
            <w:vAlign w:val="center"/>
          </w:tcPr>
          <w:p w14:paraId="3D22FB77">
            <w:pPr>
              <w:pStyle w:val="105"/>
              <w:jc w:val="center"/>
            </w:pPr>
          </w:p>
        </w:tc>
        <w:tc>
          <w:tcPr>
            <w:tcW w:w="508" w:type="pct"/>
            <w:vMerge w:val="restart"/>
            <w:vAlign w:val="center"/>
          </w:tcPr>
          <w:p w14:paraId="6CF6ED13">
            <w:pPr>
              <w:pStyle w:val="105"/>
              <w:jc w:val="center"/>
            </w:pPr>
          </w:p>
        </w:tc>
        <w:tc>
          <w:tcPr>
            <w:tcW w:w="537" w:type="pct"/>
            <w:vMerge w:val="restart"/>
            <w:vAlign w:val="center"/>
          </w:tcPr>
          <w:p w14:paraId="6E1D943F">
            <w:pPr>
              <w:pStyle w:val="105"/>
              <w:jc w:val="center"/>
            </w:pPr>
          </w:p>
        </w:tc>
        <w:tc>
          <w:tcPr>
            <w:tcW w:w="470" w:type="pct"/>
            <w:vMerge w:val="restart"/>
            <w:vAlign w:val="center"/>
          </w:tcPr>
          <w:p w14:paraId="10BF6843">
            <w:pPr>
              <w:pStyle w:val="105"/>
              <w:jc w:val="center"/>
            </w:pPr>
            <w:r>
              <w:t>4a</w:t>
            </w:r>
          </w:p>
        </w:tc>
        <w:tc>
          <w:tcPr>
            <w:tcW w:w="469" w:type="pct"/>
            <w:vAlign w:val="center"/>
          </w:tcPr>
          <w:p w14:paraId="772E9470">
            <w:pPr>
              <w:pStyle w:val="105"/>
              <w:jc w:val="center"/>
            </w:pPr>
            <w:r>
              <w:rPr>
                <w:rFonts w:hint="eastAsia"/>
              </w:rPr>
              <w:t>超标</w:t>
            </w:r>
          </w:p>
        </w:tc>
      </w:tr>
      <w:tr w14:paraId="4D0FF4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3D2A128A">
            <w:pPr>
              <w:pStyle w:val="105"/>
              <w:jc w:val="center"/>
            </w:pPr>
          </w:p>
        </w:tc>
        <w:tc>
          <w:tcPr>
            <w:tcW w:w="874" w:type="pct"/>
            <w:vMerge w:val="continue"/>
            <w:vAlign w:val="center"/>
          </w:tcPr>
          <w:p w14:paraId="749ABFF8">
            <w:pPr>
              <w:pStyle w:val="105"/>
              <w:jc w:val="center"/>
            </w:pPr>
          </w:p>
        </w:tc>
        <w:tc>
          <w:tcPr>
            <w:tcW w:w="673" w:type="pct"/>
            <w:vAlign w:val="center"/>
          </w:tcPr>
          <w:p w14:paraId="036A301C">
            <w:pPr>
              <w:pStyle w:val="105"/>
              <w:jc w:val="center"/>
            </w:pPr>
            <w:r>
              <w:t>20</w:t>
            </w:r>
            <w:r>
              <w:rPr>
                <w:rFonts w:hint="eastAsia"/>
              </w:rPr>
              <w:t xml:space="preserve"> m</w:t>
            </w:r>
          </w:p>
        </w:tc>
        <w:tc>
          <w:tcPr>
            <w:tcW w:w="921" w:type="pct"/>
            <w:vAlign w:val="center"/>
          </w:tcPr>
          <w:p w14:paraId="10FD0612">
            <w:pPr>
              <w:pStyle w:val="105"/>
              <w:jc w:val="center"/>
            </w:pPr>
          </w:p>
        </w:tc>
        <w:tc>
          <w:tcPr>
            <w:tcW w:w="508" w:type="pct"/>
            <w:vMerge w:val="continue"/>
            <w:vAlign w:val="center"/>
          </w:tcPr>
          <w:p w14:paraId="2C6AFE94">
            <w:pPr>
              <w:pStyle w:val="105"/>
              <w:jc w:val="center"/>
            </w:pPr>
          </w:p>
        </w:tc>
        <w:tc>
          <w:tcPr>
            <w:tcW w:w="537" w:type="pct"/>
            <w:vMerge w:val="continue"/>
            <w:vAlign w:val="center"/>
          </w:tcPr>
          <w:p w14:paraId="1EDE5393">
            <w:pPr>
              <w:pStyle w:val="105"/>
              <w:jc w:val="center"/>
            </w:pPr>
          </w:p>
        </w:tc>
        <w:tc>
          <w:tcPr>
            <w:tcW w:w="470" w:type="pct"/>
            <w:vMerge w:val="continue"/>
            <w:vAlign w:val="center"/>
          </w:tcPr>
          <w:p w14:paraId="09DF8A39">
            <w:pPr>
              <w:pStyle w:val="105"/>
              <w:jc w:val="center"/>
            </w:pPr>
          </w:p>
        </w:tc>
        <w:tc>
          <w:tcPr>
            <w:tcW w:w="469" w:type="pct"/>
            <w:vAlign w:val="center"/>
          </w:tcPr>
          <w:p w14:paraId="74D5138F">
            <w:pPr>
              <w:pStyle w:val="105"/>
              <w:jc w:val="center"/>
            </w:pPr>
            <w:r>
              <w:rPr>
                <w:rFonts w:hint="eastAsia"/>
              </w:rPr>
              <w:t>超标</w:t>
            </w:r>
          </w:p>
        </w:tc>
      </w:tr>
      <w:tr w14:paraId="10EA0A8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3DE046E">
            <w:pPr>
              <w:pStyle w:val="105"/>
              <w:jc w:val="center"/>
            </w:pPr>
          </w:p>
        </w:tc>
        <w:tc>
          <w:tcPr>
            <w:tcW w:w="874" w:type="pct"/>
            <w:vMerge w:val="continue"/>
            <w:vAlign w:val="center"/>
          </w:tcPr>
          <w:p w14:paraId="3DE15C21">
            <w:pPr>
              <w:pStyle w:val="105"/>
              <w:jc w:val="center"/>
            </w:pPr>
          </w:p>
        </w:tc>
        <w:tc>
          <w:tcPr>
            <w:tcW w:w="673" w:type="pct"/>
            <w:vAlign w:val="center"/>
          </w:tcPr>
          <w:p w14:paraId="08460B49">
            <w:pPr>
              <w:pStyle w:val="105"/>
              <w:jc w:val="center"/>
            </w:pPr>
            <w:r>
              <w:t>40</w:t>
            </w:r>
            <w:r>
              <w:rPr>
                <w:rFonts w:hint="eastAsia"/>
              </w:rPr>
              <w:t xml:space="preserve"> m</w:t>
            </w:r>
          </w:p>
        </w:tc>
        <w:tc>
          <w:tcPr>
            <w:tcW w:w="921" w:type="pct"/>
            <w:vAlign w:val="center"/>
          </w:tcPr>
          <w:p w14:paraId="5DD59E01">
            <w:pPr>
              <w:pStyle w:val="105"/>
              <w:jc w:val="center"/>
            </w:pPr>
          </w:p>
        </w:tc>
        <w:tc>
          <w:tcPr>
            <w:tcW w:w="508" w:type="pct"/>
            <w:vMerge w:val="continue"/>
            <w:vAlign w:val="center"/>
          </w:tcPr>
          <w:p w14:paraId="2035B44A">
            <w:pPr>
              <w:pStyle w:val="105"/>
              <w:jc w:val="center"/>
            </w:pPr>
          </w:p>
        </w:tc>
        <w:tc>
          <w:tcPr>
            <w:tcW w:w="537" w:type="pct"/>
            <w:vMerge w:val="continue"/>
            <w:vAlign w:val="center"/>
          </w:tcPr>
          <w:p w14:paraId="0DABDD5C">
            <w:pPr>
              <w:pStyle w:val="105"/>
              <w:jc w:val="center"/>
            </w:pPr>
          </w:p>
        </w:tc>
        <w:tc>
          <w:tcPr>
            <w:tcW w:w="470" w:type="pct"/>
            <w:vMerge w:val="continue"/>
            <w:vAlign w:val="center"/>
          </w:tcPr>
          <w:p w14:paraId="13C51FE6">
            <w:pPr>
              <w:pStyle w:val="105"/>
              <w:jc w:val="center"/>
            </w:pPr>
          </w:p>
        </w:tc>
        <w:tc>
          <w:tcPr>
            <w:tcW w:w="469" w:type="pct"/>
            <w:vAlign w:val="center"/>
          </w:tcPr>
          <w:p w14:paraId="25420C76">
            <w:pPr>
              <w:pStyle w:val="105"/>
              <w:jc w:val="center"/>
            </w:pPr>
            <w:r>
              <w:rPr>
                <w:rFonts w:hint="eastAsia"/>
              </w:rPr>
              <w:t>超标</w:t>
            </w:r>
          </w:p>
        </w:tc>
      </w:tr>
      <w:tr w14:paraId="25FE16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restart"/>
            <w:vAlign w:val="center"/>
          </w:tcPr>
          <w:p w14:paraId="1921FB7D">
            <w:pPr>
              <w:pStyle w:val="105"/>
              <w:jc w:val="center"/>
            </w:pPr>
            <w:r>
              <w:rPr>
                <w:rFonts w:hint="eastAsia"/>
              </w:rPr>
              <w:t>侨丰路水平断面</w:t>
            </w:r>
          </w:p>
        </w:tc>
        <w:tc>
          <w:tcPr>
            <w:tcW w:w="874" w:type="pct"/>
            <w:vMerge w:val="restart"/>
            <w:vAlign w:val="center"/>
          </w:tcPr>
          <w:p w14:paraId="4AAE1505">
            <w:pPr>
              <w:pStyle w:val="105"/>
              <w:jc w:val="center"/>
            </w:pPr>
            <w:r>
              <w:t>2</w:t>
            </w:r>
            <w:r>
              <w:rPr>
                <w:rFonts w:hint="eastAsia"/>
              </w:rPr>
              <w:t>月</w:t>
            </w:r>
            <w:r>
              <w:t>26</w:t>
            </w:r>
            <w:r>
              <w:rPr>
                <w:rFonts w:hint="eastAsia"/>
              </w:rPr>
              <w:t>日</w:t>
            </w:r>
          </w:p>
          <w:p w14:paraId="4D0C70A6">
            <w:pPr>
              <w:pStyle w:val="105"/>
              <w:jc w:val="center"/>
            </w:pPr>
            <w:r>
              <w:rPr>
                <w:rFonts w:hint="eastAsia"/>
              </w:rPr>
              <w:t>昼间</w:t>
            </w:r>
          </w:p>
        </w:tc>
        <w:tc>
          <w:tcPr>
            <w:tcW w:w="673" w:type="pct"/>
            <w:vAlign w:val="center"/>
          </w:tcPr>
          <w:p w14:paraId="2F6646FE">
            <w:pPr>
              <w:pStyle w:val="105"/>
              <w:jc w:val="center"/>
            </w:pPr>
            <w:r>
              <w:t>0 m</w:t>
            </w:r>
          </w:p>
        </w:tc>
        <w:tc>
          <w:tcPr>
            <w:tcW w:w="921" w:type="pct"/>
            <w:vAlign w:val="center"/>
          </w:tcPr>
          <w:p w14:paraId="1FF0F24B">
            <w:pPr>
              <w:pStyle w:val="105"/>
              <w:jc w:val="center"/>
            </w:pPr>
          </w:p>
        </w:tc>
        <w:tc>
          <w:tcPr>
            <w:tcW w:w="508" w:type="pct"/>
            <w:vMerge w:val="restart"/>
            <w:vAlign w:val="center"/>
          </w:tcPr>
          <w:p w14:paraId="564A1A02">
            <w:pPr>
              <w:pStyle w:val="105"/>
              <w:jc w:val="center"/>
            </w:pPr>
          </w:p>
        </w:tc>
        <w:tc>
          <w:tcPr>
            <w:tcW w:w="537" w:type="pct"/>
            <w:vMerge w:val="restart"/>
            <w:vAlign w:val="center"/>
          </w:tcPr>
          <w:p w14:paraId="7C3DB2BF">
            <w:pPr>
              <w:pStyle w:val="105"/>
              <w:jc w:val="center"/>
            </w:pPr>
          </w:p>
        </w:tc>
        <w:tc>
          <w:tcPr>
            <w:tcW w:w="470" w:type="pct"/>
            <w:vMerge w:val="restart"/>
            <w:vAlign w:val="center"/>
          </w:tcPr>
          <w:p w14:paraId="7C39E6AC">
            <w:pPr>
              <w:pStyle w:val="105"/>
              <w:jc w:val="center"/>
            </w:pPr>
            <w:r>
              <w:t>2</w:t>
            </w:r>
            <w:r>
              <w:rPr>
                <w:rFonts w:hint="eastAsia"/>
              </w:rPr>
              <w:t>类</w:t>
            </w:r>
          </w:p>
        </w:tc>
        <w:tc>
          <w:tcPr>
            <w:tcW w:w="469" w:type="pct"/>
            <w:vMerge w:val="restart"/>
            <w:vAlign w:val="center"/>
          </w:tcPr>
          <w:p w14:paraId="043AA75C">
            <w:pPr>
              <w:pStyle w:val="105"/>
              <w:jc w:val="center"/>
            </w:pPr>
            <w:r>
              <w:rPr>
                <w:rFonts w:hint="eastAsia"/>
              </w:rPr>
              <w:t>达标</w:t>
            </w:r>
          </w:p>
        </w:tc>
      </w:tr>
      <w:tr w14:paraId="63FD4C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1DB14C5">
            <w:pPr>
              <w:pStyle w:val="105"/>
              <w:jc w:val="center"/>
            </w:pPr>
          </w:p>
        </w:tc>
        <w:tc>
          <w:tcPr>
            <w:tcW w:w="874" w:type="pct"/>
            <w:vMerge w:val="continue"/>
            <w:vAlign w:val="center"/>
          </w:tcPr>
          <w:p w14:paraId="786240FA">
            <w:pPr>
              <w:pStyle w:val="105"/>
              <w:jc w:val="center"/>
            </w:pPr>
          </w:p>
        </w:tc>
        <w:tc>
          <w:tcPr>
            <w:tcW w:w="673" w:type="pct"/>
            <w:vAlign w:val="center"/>
          </w:tcPr>
          <w:p w14:paraId="302BA2CD">
            <w:pPr>
              <w:pStyle w:val="105"/>
              <w:jc w:val="center"/>
            </w:pPr>
            <w:r>
              <w:t>20 m</w:t>
            </w:r>
          </w:p>
        </w:tc>
        <w:tc>
          <w:tcPr>
            <w:tcW w:w="921" w:type="pct"/>
            <w:vAlign w:val="center"/>
          </w:tcPr>
          <w:p w14:paraId="064E5F44">
            <w:pPr>
              <w:pStyle w:val="105"/>
              <w:jc w:val="center"/>
            </w:pPr>
          </w:p>
        </w:tc>
        <w:tc>
          <w:tcPr>
            <w:tcW w:w="508" w:type="pct"/>
            <w:vMerge w:val="continue"/>
            <w:vAlign w:val="center"/>
          </w:tcPr>
          <w:p w14:paraId="7F978526">
            <w:pPr>
              <w:pStyle w:val="105"/>
              <w:jc w:val="center"/>
            </w:pPr>
          </w:p>
        </w:tc>
        <w:tc>
          <w:tcPr>
            <w:tcW w:w="537" w:type="pct"/>
            <w:vMerge w:val="continue"/>
            <w:vAlign w:val="center"/>
          </w:tcPr>
          <w:p w14:paraId="38F4C2CB">
            <w:pPr>
              <w:pStyle w:val="105"/>
              <w:jc w:val="center"/>
            </w:pPr>
          </w:p>
        </w:tc>
        <w:tc>
          <w:tcPr>
            <w:tcW w:w="470" w:type="pct"/>
            <w:vMerge w:val="continue"/>
            <w:vAlign w:val="center"/>
          </w:tcPr>
          <w:p w14:paraId="5AECCF15">
            <w:pPr>
              <w:pStyle w:val="105"/>
              <w:jc w:val="center"/>
            </w:pPr>
          </w:p>
        </w:tc>
        <w:tc>
          <w:tcPr>
            <w:tcW w:w="469" w:type="pct"/>
            <w:vMerge w:val="continue"/>
            <w:vAlign w:val="center"/>
          </w:tcPr>
          <w:p w14:paraId="21BEEE75">
            <w:pPr>
              <w:pStyle w:val="105"/>
              <w:jc w:val="center"/>
            </w:pPr>
          </w:p>
        </w:tc>
      </w:tr>
      <w:tr w14:paraId="30F19C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7EFF58A6">
            <w:pPr>
              <w:pStyle w:val="105"/>
              <w:jc w:val="center"/>
            </w:pPr>
          </w:p>
        </w:tc>
        <w:tc>
          <w:tcPr>
            <w:tcW w:w="874" w:type="pct"/>
            <w:vMerge w:val="continue"/>
            <w:vAlign w:val="center"/>
          </w:tcPr>
          <w:p w14:paraId="01761FBB">
            <w:pPr>
              <w:pStyle w:val="105"/>
              <w:jc w:val="center"/>
            </w:pPr>
          </w:p>
        </w:tc>
        <w:tc>
          <w:tcPr>
            <w:tcW w:w="673" w:type="pct"/>
            <w:vAlign w:val="center"/>
          </w:tcPr>
          <w:p w14:paraId="0431D80A">
            <w:pPr>
              <w:pStyle w:val="105"/>
              <w:jc w:val="center"/>
            </w:pPr>
            <w:r>
              <w:t>40 m</w:t>
            </w:r>
          </w:p>
        </w:tc>
        <w:tc>
          <w:tcPr>
            <w:tcW w:w="921" w:type="pct"/>
            <w:vAlign w:val="center"/>
          </w:tcPr>
          <w:p w14:paraId="7C5933F3">
            <w:pPr>
              <w:pStyle w:val="105"/>
              <w:jc w:val="center"/>
            </w:pPr>
          </w:p>
        </w:tc>
        <w:tc>
          <w:tcPr>
            <w:tcW w:w="508" w:type="pct"/>
            <w:vMerge w:val="continue"/>
            <w:vAlign w:val="center"/>
          </w:tcPr>
          <w:p w14:paraId="6E1674A5">
            <w:pPr>
              <w:pStyle w:val="105"/>
              <w:jc w:val="center"/>
            </w:pPr>
          </w:p>
        </w:tc>
        <w:tc>
          <w:tcPr>
            <w:tcW w:w="537" w:type="pct"/>
            <w:vMerge w:val="continue"/>
            <w:vAlign w:val="center"/>
          </w:tcPr>
          <w:p w14:paraId="3F7DFB43">
            <w:pPr>
              <w:pStyle w:val="105"/>
              <w:jc w:val="center"/>
            </w:pPr>
          </w:p>
        </w:tc>
        <w:tc>
          <w:tcPr>
            <w:tcW w:w="470" w:type="pct"/>
            <w:vMerge w:val="continue"/>
            <w:vAlign w:val="center"/>
          </w:tcPr>
          <w:p w14:paraId="2C70DC34">
            <w:pPr>
              <w:pStyle w:val="105"/>
              <w:jc w:val="center"/>
            </w:pPr>
          </w:p>
        </w:tc>
        <w:tc>
          <w:tcPr>
            <w:tcW w:w="469" w:type="pct"/>
            <w:vMerge w:val="continue"/>
            <w:vAlign w:val="center"/>
          </w:tcPr>
          <w:p w14:paraId="3EE7B605">
            <w:pPr>
              <w:pStyle w:val="105"/>
              <w:jc w:val="center"/>
            </w:pPr>
          </w:p>
        </w:tc>
      </w:tr>
      <w:tr w14:paraId="646F48E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140C6746">
            <w:pPr>
              <w:pStyle w:val="105"/>
              <w:jc w:val="center"/>
            </w:pPr>
          </w:p>
        </w:tc>
        <w:tc>
          <w:tcPr>
            <w:tcW w:w="874" w:type="pct"/>
            <w:vMerge w:val="continue"/>
            <w:vAlign w:val="center"/>
          </w:tcPr>
          <w:p w14:paraId="0416F399">
            <w:pPr>
              <w:pStyle w:val="105"/>
              <w:jc w:val="center"/>
            </w:pPr>
          </w:p>
        </w:tc>
        <w:tc>
          <w:tcPr>
            <w:tcW w:w="673" w:type="pct"/>
            <w:vAlign w:val="center"/>
          </w:tcPr>
          <w:p w14:paraId="3B4AAAB5">
            <w:pPr>
              <w:pStyle w:val="105"/>
              <w:jc w:val="center"/>
            </w:pPr>
            <w:r>
              <w:t>60 m</w:t>
            </w:r>
          </w:p>
        </w:tc>
        <w:tc>
          <w:tcPr>
            <w:tcW w:w="921" w:type="pct"/>
            <w:vAlign w:val="center"/>
          </w:tcPr>
          <w:p w14:paraId="00D4B1D8">
            <w:pPr>
              <w:pStyle w:val="105"/>
              <w:jc w:val="center"/>
            </w:pPr>
          </w:p>
        </w:tc>
        <w:tc>
          <w:tcPr>
            <w:tcW w:w="508" w:type="pct"/>
            <w:vMerge w:val="continue"/>
            <w:vAlign w:val="center"/>
          </w:tcPr>
          <w:p w14:paraId="738A8D62">
            <w:pPr>
              <w:pStyle w:val="105"/>
              <w:jc w:val="center"/>
            </w:pPr>
          </w:p>
        </w:tc>
        <w:tc>
          <w:tcPr>
            <w:tcW w:w="537" w:type="pct"/>
            <w:vMerge w:val="continue"/>
            <w:vAlign w:val="center"/>
          </w:tcPr>
          <w:p w14:paraId="030DCE4C">
            <w:pPr>
              <w:pStyle w:val="105"/>
              <w:jc w:val="center"/>
            </w:pPr>
          </w:p>
        </w:tc>
        <w:tc>
          <w:tcPr>
            <w:tcW w:w="470" w:type="pct"/>
            <w:vMerge w:val="continue"/>
            <w:vAlign w:val="center"/>
          </w:tcPr>
          <w:p w14:paraId="7922AD7F">
            <w:pPr>
              <w:pStyle w:val="105"/>
              <w:jc w:val="center"/>
            </w:pPr>
          </w:p>
        </w:tc>
        <w:tc>
          <w:tcPr>
            <w:tcW w:w="469" w:type="pct"/>
            <w:vMerge w:val="continue"/>
            <w:vAlign w:val="center"/>
          </w:tcPr>
          <w:p w14:paraId="1004A835">
            <w:pPr>
              <w:pStyle w:val="105"/>
              <w:jc w:val="center"/>
            </w:pPr>
          </w:p>
        </w:tc>
      </w:tr>
      <w:tr w14:paraId="2F018E3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776C5150">
            <w:pPr>
              <w:pStyle w:val="105"/>
              <w:jc w:val="center"/>
            </w:pPr>
          </w:p>
        </w:tc>
        <w:tc>
          <w:tcPr>
            <w:tcW w:w="874" w:type="pct"/>
            <w:vMerge w:val="restart"/>
            <w:vAlign w:val="center"/>
          </w:tcPr>
          <w:p w14:paraId="53425697">
            <w:pPr>
              <w:pStyle w:val="105"/>
              <w:jc w:val="center"/>
            </w:pPr>
            <w:bookmarkStart w:id="554" w:name="hmcheck_f0a9afb60bdd4fc587801a199ee456e9"/>
            <w:r>
              <w:rPr>
                <w:shd w:val="clear" w:fill="FFAFAA"/>
              </w:rPr>
              <w:t>2</w:t>
            </w:r>
            <w:r>
              <w:rPr>
                <w:rFonts w:hint="eastAsia"/>
                <w:shd w:val="clear" w:fill="FFAFAA"/>
              </w:rPr>
              <w:t>月</w:t>
            </w:r>
            <w:r>
              <w:rPr>
                <w:shd w:val="clear" w:fill="FFAFAA"/>
              </w:rPr>
              <w:t>26</w:t>
            </w:r>
            <w:bookmarkEnd w:id="554"/>
            <w:bookmarkStart w:id="555" w:name="hmcheck_1acd471f583a48c59ea32c2c7104492e"/>
            <w:r>
              <w:rPr>
                <w:shd w:val="clear" w:fill="FFAFAA"/>
              </w:rPr>
              <w:t>~</w:t>
            </w:r>
            <w:bookmarkEnd w:id="555"/>
            <w:r>
              <w:t>27</w:t>
            </w:r>
            <w:r>
              <w:rPr>
                <w:rFonts w:hint="eastAsia"/>
              </w:rPr>
              <w:t>日</w:t>
            </w:r>
          </w:p>
          <w:p w14:paraId="0FED62BD">
            <w:pPr>
              <w:pStyle w:val="105"/>
              <w:jc w:val="center"/>
            </w:pPr>
            <w:r>
              <w:rPr>
                <w:rFonts w:hint="eastAsia"/>
              </w:rPr>
              <w:t>夜间</w:t>
            </w:r>
          </w:p>
        </w:tc>
        <w:tc>
          <w:tcPr>
            <w:tcW w:w="673" w:type="pct"/>
            <w:vAlign w:val="center"/>
          </w:tcPr>
          <w:p w14:paraId="77B277C3">
            <w:pPr>
              <w:pStyle w:val="105"/>
              <w:jc w:val="center"/>
            </w:pPr>
            <w:r>
              <w:t>0 m</w:t>
            </w:r>
          </w:p>
        </w:tc>
        <w:tc>
          <w:tcPr>
            <w:tcW w:w="921" w:type="pct"/>
            <w:vAlign w:val="center"/>
          </w:tcPr>
          <w:p w14:paraId="73561227">
            <w:pPr>
              <w:pStyle w:val="105"/>
              <w:jc w:val="center"/>
            </w:pPr>
          </w:p>
        </w:tc>
        <w:tc>
          <w:tcPr>
            <w:tcW w:w="508" w:type="pct"/>
            <w:vMerge w:val="restart"/>
            <w:vAlign w:val="center"/>
          </w:tcPr>
          <w:p w14:paraId="0ABA0BCE">
            <w:pPr>
              <w:pStyle w:val="105"/>
              <w:jc w:val="center"/>
            </w:pPr>
          </w:p>
        </w:tc>
        <w:tc>
          <w:tcPr>
            <w:tcW w:w="537" w:type="pct"/>
            <w:vMerge w:val="restart"/>
            <w:vAlign w:val="center"/>
          </w:tcPr>
          <w:p w14:paraId="2D702D05">
            <w:pPr>
              <w:pStyle w:val="105"/>
              <w:jc w:val="center"/>
            </w:pPr>
          </w:p>
        </w:tc>
        <w:tc>
          <w:tcPr>
            <w:tcW w:w="470" w:type="pct"/>
            <w:vMerge w:val="restart"/>
            <w:vAlign w:val="center"/>
          </w:tcPr>
          <w:p w14:paraId="6D00ACC6">
            <w:pPr>
              <w:pStyle w:val="105"/>
              <w:jc w:val="center"/>
            </w:pPr>
            <w:r>
              <w:t>2</w:t>
            </w:r>
            <w:r>
              <w:rPr>
                <w:rFonts w:hint="eastAsia"/>
              </w:rPr>
              <w:t>类</w:t>
            </w:r>
          </w:p>
        </w:tc>
        <w:tc>
          <w:tcPr>
            <w:tcW w:w="469" w:type="pct"/>
            <w:vMerge w:val="restart"/>
            <w:vAlign w:val="center"/>
          </w:tcPr>
          <w:p w14:paraId="6ABEA7E2">
            <w:pPr>
              <w:pStyle w:val="105"/>
              <w:jc w:val="center"/>
            </w:pPr>
            <w:r>
              <w:rPr>
                <w:rFonts w:hint="eastAsia"/>
              </w:rPr>
              <w:t>达标</w:t>
            </w:r>
          </w:p>
        </w:tc>
      </w:tr>
      <w:tr w14:paraId="59A6D07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0A0C41F">
            <w:pPr>
              <w:pStyle w:val="105"/>
              <w:jc w:val="center"/>
            </w:pPr>
          </w:p>
        </w:tc>
        <w:tc>
          <w:tcPr>
            <w:tcW w:w="874" w:type="pct"/>
            <w:vMerge w:val="continue"/>
            <w:vAlign w:val="center"/>
          </w:tcPr>
          <w:p w14:paraId="568DAE23">
            <w:pPr>
              <w:pStyle w:val="105"/>
              <w:jc w:val="center"/>
            </w:pPr>
          </w:p>
        </w:tc>
        <w:tc>
          <w:tcPr>
            <w:tcW w:w="673" w:type="pct"/>
            <w:vAlign w:val="center"/>
          </w:tcPr>
          <w:p w14:paraId="3609700A">
            <w:pPr>
              <w:pStyle w:val="105"/>
              <w:jc w:val="center"/>
            </w:pPr>
            <w:r>
              <w:t>20 m</w:t>
            </w:r>
          </w:p>
        </w:tc>
        <w:tc>
          <w:tcPr>
            <w:tcW w:w="921" w:type="pct"/>
            <w:vAlign w:val="center"/>
          </w:tcPr>
          <w:p w14:paraId="7EAC510E">
            <w:pPr>
              <w:pStyle w:val="105"/>
              <w:jc w:val="center"/>
            </w:pPr>
          </w:p>
        </w:tc>
        <w:tc>
          <w:tcPr>
            <w:tcW w:w="508" w:type="pct"/>
            <w:vMerge w:val="continue"/>
            <w:vAlign w:val="center"/>
          </w:tcPr>
          <w:p w14:paraId="756A4D01">
            <w:pPr>
              <w:pStyle w:val="105"/>
              <w:jc w:val="center"/>
            </w:pPr>
          </w:p>
        </w:tc>
        <w:tc>
          <w:tcPr>
            <w:tcW w:w="537" w:type="pct"/>
            <w:vMerge w:val="continue"/>
            <w:vAlign w:val="center"/>
          </w:tcPr>
          <w:p w14:paraId="59FEEADA">
            <w:pPr>
              <w:pStyle w:val="105"/>
              <w:jc w:val="center"/>
            </w:pPr>
          </w:p>
        </w:tc>
        <w:tc>
          <w:tcPr>
            <w:tcW w:w="470" w:type="pct"/>
            <w:vMerge w:val="continue"/>
            <w:vAlign w:val="center"/>
          </w:tcPr>
          <w:p w14:paraId="5A8D29B6">
            <w:pPr>
              <w:pStyle w:val="105"/>
              <w:jc w:val="center"/>
            </w:pPr>
          </w:p>
        </w:tc>
        <w:tc>
          <w:tcPr>
            <w:tcW w:w="469" w:type="pct"/>
            <w:vMerge w:val="continue"/>
            <w:vAlign w:val="center"/>
          </w:tcPr>
          <w:p w14:paraId="1BFA82EE">
            <w:pPr>
              <w:pStyle w:val="105"/>
              <w:jc w:val="center"/>
            </w:pPr>
          </w:p>
        </w:tc>
      </w:tr>
      <w:tr w14:paraId="776EAD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0C223324">
            <w:pPr>
              <w:pStyle w:val="105"/>
              <w:jc w:val="center"/>
            </w:pPr>
          </w:p>
        </w:tc>
        <w:tc>
          <w:tcPr>
            <w:tcW w:w="874" w:type="pct"/>
            <w:vMerge w:val="continue"/>
            <w:vAlign w:val="center"/>
          </w:tcPr>
          <w:p w14:paraId="1DCC2DF1">
            <w:pPr>
              <w:pStyle w:val="105"/>
              <w:jc w:val="center"/>
            </w:pPr>
          </w:p>
        </w:tc>
        <w:tc>
          <w:tcPr>
            <w:tcW w:w="673" w:type="pct"/>
            <w:vAlign w:val="center"/>
          </w:tcPr>
          <w:p w14:paraId="459DF739">
            <w:pPr>
              <w:pStyle w:val="105"/>
              <w:jc w:val="center"/>
            </w:pPr>
            <w:r>
              <w:t>40 m</w:t>
            </w:r>
          </w:p>
        </w:tc>
        <w:tc>
          <w:tcPr>
            <w:tcW w:w="921" w:type="pct"/>
            <w:vAlign w:val="center"/>
          </w:tcPr>
          <w:p w14:paraId="477CDB15">
            <w:pPr>
              <w:pStyle w:val="105"/>
              <w:jc w:val="center"/>
            </w:pPr>
          </w:p>
        </w:tc>
        <w:tc>
          <w:tcPr>
            <w:tcW w:w="508" w:type="pct"/>
            <w:vMerge w:val="continue"/>
            <w:vAlign w:val="center"/>
          </w:tcPr>
          <w:p w14:paraId="438BC706">
            <w:pPr>
              <w:pStyle w:val="105"/>
              <w:jc w:val="center"/>
            </w:pPr>
          </w:p>
        </w:tc>
        <w:tc>
          <w:tcPr>
            <w:tcW w:w="537" w:type="pct"/>
            <w:vMerge w:val="continue"/>
            <w:vAlign w:val="center"/>
          </w:tcPr>
          <w:p w14:paraId="314AE3EB">
            <w:pPr>
              <w:pStyle w:val="105"/>
              <w:jc w:val="center"/>
            </w:pPr>
          </w:p>
        </w:tc>
        <w:tc>
          <w:tcPr>
            <w:tcW w:w="470" w:type="pct"/>
            <w:vMerge w:val="continue"/>
            <w:vAlign w:val="center"/>
          </w:tcPr>
          <w:p w14:paraId="1B7B47C2">
            <w:pPr>
              <w:pStyle w:val="105"/>
              <w:jc w:val="center"/>
            </w:pPr>
          </w:p>
        </w:tc>
        <w:tc>
          <w:tcPr>
            <w:tcW w:w="469" w:type="pct"/>
            <w:vMerge w:val="continue"/>
            <w:vAlign w:val="center"/>
          </w:tcPr>
          <w:p w14:paraId="574E2E5E">
            <w:pPr>
              <w:pStyle w:val="105"/>
              <w:jc w:val="center"/>
            </w:pPr>
          </w:p>
        </w:tc>
      </w:tr>
      <w:tr w14:paraId="3DB2B9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04310C9A">
            <w:pPr>
              <w:pStyle w:val="105"/>
              <w:jc w:val="center"/>
            </w:pPr>
          </w:p>
        </w:tc>
        <w:tc>
          <w:tcPr>
            <w:tcW w:w="874" w:type="pct"/>
            <w:vMerge w:val="continue"/>
            <w:vAlign w:val="center"/>
          </w:tcPr>
          <w:p w14:paraId="3E32B6FD">
            <w:pPr>
              <w:pStyle w:val="105"/>
              <w:jc w:val="center"/>
            </w:pPr>
          </w:p>
        </w:tc>
        <w:tc>
          <w:tcPr>
            <w:tcW w:w="673" w:type="pct"/>
            <w:vAlign w:val="center"/>
          </w:tcPr>
          <w:p w14:paraId="2749883A">
            <w:pPr>
              <w:pStyle w:val="105"/>
              <w:jc w:val="center"/>
            </w:pPr>
            <w:r>
              <w:t>60 m</w:t>
            </w:r>
          </w:p>
        </w:tc>
        <w:tc>
          <w:tcPr>
            <w:tcW w:w="921" w:type="pct"/>
            <w:vAlign w:val="center"/>
          </w:tcPr>
          <w:p w14:paraId="4791C73F">
            <w:pPr>
              <w:pStyle w:val="105"/>
              <w:jc w:val="center"/>
            </w:pPr>
          </w:p>
        </w:tc>
        <w:tc>
          <w:tcPr>
            <w:tcW w:w="508" w:type="pct"/>
            <w:vMerge w:val="continue"/>
            <w:vAlign w:val="center"/>
          </w:tcPr>
          <w:p w14:paraId="2FCB956B">
            <w:pPr>
              <w:pStyle w:val="105"/>
              <w:jc w:val="center"/>
            </w:pPr>
          </w:p>
        </w:tc>
        <w:tc>
          <w:tcPr>
            <w:tcW w:w="537" w:type="pct"/>
            <w:vMerge w:val="continue"/>
            <w:vAlign w:val="center"/>
          </w:tcPr>
          <w:p w14:paraId="5C9C1FA0">
            <w:pPr>
              <w:pStyle w:val="105"/>
              <w:jc w:val="center"/>
            </w:pPr>
          </w:p>
        </w:tc>
        <w:tc>
          <w:tcPr>
            <w:tcW w:w="470" w:type="pct"/>
            <w:vMerge w:val="continue"/>
            <w:vAlign w:val="center"/>
          </w:tcPr>
          <w:p w14:paraId="3C861999">
            <w:pPr>
              <w:pStyle w:val="105"/>
              <w:jc w:val="center"/>
            </w:pPr>
          </w:p>
        </w:tc>
        <w:tc>
          <w:tcPr>
            <w:tcW w:w="469" w:type="pct"/>
            <w:vMerge w:val="continue"/>
            <w:vAlign w:val="center"/>
          </w:tcPr>
          <w:p w14:paraId="467CEB43">
            <w:pPr>
              <w:pStyle w:val="105"/>
              <w:jc w:val="center"/>
            </w:pPr>
          </w:p>
        </w:tc>
      </w:tr>
      <w:tr w14:paraId="5B3781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59FF4387">
            <w:pPr>
              <w:pStyle w:val="105"/>
              <w:jc w:val="center"/>
            </w:pPr>
          </w:p>
        </w:tc>
        <w:tc>
          <w:tcPr>
            <w:tcW w:w="874" w:type="pct"/>
            <w:vMerge w:val="restart"/>
            <w:vAlign w:val="center"/>
          </w:tcPr>
          <w:p w14:paraId="24C06148">
            <w:pPr>
              <w:pStyle w:val="105"/>
              <w:jc w:val="center"/>
            </w:pPr>
            <w:r>
              <w:t>2</w:t>
            </w:r>
            <w:r>
              <w:rPr>
                <w:rFonts w:hint="eastAsia"/>
              </w:rPr>
              <w:t>月</w:t>
            </w:r>
            <w:r>
              <w:t>27</w:t>
            </w:r>
            <w:r>
              <w:rPr>
                <w:rFonts w:hint="eastAsia"/>
              </w:rPr>
              <w:t>日</w:t>
            </w:r>
          </w:p>
          <w:p w14:paraId="394D801C">
            <w:pPr>
              <w:pStyle w:val="105"/>
              <w:jc w:val="center"/>
            </w:pPr>
            <w:r>
              <w:rPr>
                <w:rFonts w:hint="eastAsia"/>
              </w:rPr>
              <w:t>昼间</w:t>
            </w:r>
          </w:p>
        </w:tc>
        <w:tc>
          <w:tcPr>
            <w:tcW w:w="673" w:type="pct"/>
            <w:vAlign w:val="center"/>
          </w:tcPr>
          <w:p w14:paraId="7D365F4C">
            <w:pPr>
              <w:pStyle w:val="105"/>
              <w:jc w:val="center"/>
            </w:pPr>
            <w:r>
              <w:t>0 m</w:t>
            </w:r>
          </w:p>
        </w:tc>
        <w:tc>
          <w:tcPr>
            <w:tcW w:w="921" w:type="pct"/>
            <w:vAlign w:val="center"/>
          </w:tcPr>
          <w:p w14:paraId="6484819F">
            <w:pPr>
              <w:pStyle w:val="105"/>
              <w:jc w:val="center"/>
            </w:pPr>
          </w:p>
        </w:tc>
        <w:tc>
          <w:tcPr>
            <w:tcW w:w="508" w:type="pct"/>
            <w:vMerge w:val="restart"/>
            <w:vAlign w:val="center"/>
          </w:tcPr>
          <w:p w14:paraId="0B5407FF">
            <w:pPr>
              <w:pStyle w:val="105"/>
              <w:jc w:val="center"/>
            </w:pPr>
          </w:p>
        </w:tc>
        <w:tc>
          <w:tcPr>
            <w:tcW w:w="537" w:type="pct"/>
            <w:vMerge w:val="restart"/>
            <w:vAlign w:val="center"/>
          </w:tcPr>
          <w:p w14:paraId="0C155898">
            <w:pPr>
              <w:pStyle w:val="105"/>
              <w:jc w:val="center"/>
            </w:pPr>
          </w:p>
        </w:tc>
        <w:tc>
          <w:tcPr>
            <w:tcW w:w="470" w:type="pct"/>
            <w:vMerge w:val="restart"/>
            <w:vAlign w:val="center"/>
          </w:tcPr>
          <w:p w14:paraId="1A497E48">
            <w:pPr>
              <w:pStyle w:val="105"/>
              <w:jc w:val="center"/>
            </w:pPr>
            <w:r>
              <w:t>2</w:t>
            </w:r>
            <w:r>
              <w:rPr>
                <w:rFonts w:hint="eastAsia"/>
              </w:rPr>
              <w:t>类</w:t>
            </w:r>
          </w:p>
        </w:tc>
        <w:tc>
          <w:tcPr>
            <w:tcW w:w="469" w:type="pct"/>
            <w:vMerge w:val="restart"/>
            <w:vAlign w:val="center"/>
          </w:tcPr>
          <w:p w14:paraId="5D7982CB">
            <w:pPr>
              <w:pStyle w:val="105"/>
              <w:jc w:val="center"/>
            </w:pPr>
            <w:r>
              <w:rPr>
                <w:rFonts w:hint="eastAsia"/>
              </w:rPr>
              <w:t>达标</w:t>
            </w:r>
          </w:p>
        </w:tc>
      </w:tr>
      <w:tr w14:paraId="26B2F0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26FB160D">
            <w:pPr>
              <w:pStyle w:val="105"/>
              <w:jc w:val="center"/>
            </w:pPr>
          </w:p>
        </w:tc>
        <w:tc>
          <w:tcPr>
            <w:tcW w:w="874" w:type="pct"/>
            <w:vMerge w:val="continue"/>
            <w:vAlign w:val="center"/>
          </w:tcPr>
          <w:p w14:paraId="76D50715">
            <w:pPr>
              <w:pStyle w:val="105"/>
              <w:jc w:val="center"/>
            </w:pPr>
          </w:p>
        </w:tc>
        <w:tc>
          <w:tcPr>
            <w:tcW w:w="673" w:type="pct"/>
            <w:vAlign w:val="center"/>
          </w:tcPr>
          <w:p w14:paraId="5F443B56">
            <w:pPr>
              <w:pStyle w:val="105"/>
              <w:jc w:val="center"/>
            </w:pPr>
            <w:r>
              <w:t>20 m</w:t>
            </w:r>
          </w:p>
        </w:tc>
        <w:tc>
          <w:tcPr>
            <w:tcW w:w="921" w:type="pct"/>
            <w:vAlign w:val="center"/>
          </w:tcPr>
          <w:p w14:paraId="6DB7D8CD">
            <w:pPr>
              <w:pStyle w:val="105"/>
              <w:jc w:val="center"/>
            </w:pPr>
            <w:r>
              <w:t>54</w:t>
            </w:r>
          </w:p>
        </w:tc>
        <w:tc>
          <w:tcPr>
            <w:tcW w:w="508" w:type="pct"/>
            <w:vMerge w:val="continue"/>
            <w:vAlign w:val="center"/>
          </w:tcPr>
          <w:p w14:paraId="3EBB7F26">
            <w:pPr>
              <w:pStyle w:val="105"/>
              <w:jc w:val="center"/>
            </w:pPr>
          </w:p>
        </w:tc>
        <w:tc>
          <w:tcPr>
            <w:tcW w:w="537" w:type="pct"/>
            <w:vMerge w:val="continue"/>
            <w:vAlign w:val="center"/>
          </w:tcPr>
          <w:p w14:paraId="7C02E7C6">
            <w:pPr>
              <w:pStyle w:val="105"/>
              <w:jc w:val="center"/>
            </w:pPr>
          </w:p>
        </w:tc>
        <w:tc>
          <w:tcPr>
            <w:tcW w:w="470" w:type="pct"/>
            <w:vMerge w:val="continue"/>
            <w:vAlign w:val="center"/>
          </w:tcPr>
          <w:p w14:paraId="0B94C487">
            <w:pPr>
              <w:pStyle w:val="105"/>
              <w:jc w:val="center"/>
            </w:pPr>
          </w:p>
        </w:tc>
        <w:tc>
          <w:tcPr>
            <w:tcW w:w="469" w:type="pct"/>
            <w:vMerge w:val="continue"/>
            <w:vAlign w:val="center"/>
          </w:tcPr>
          <w:p w14:paraId="71390D56">
            <w:pPr>
              <w:pStyle w:val="105"/>
              <w:jc w:val="center"/>
            </w:pPr>
          </w:p>
        </w:tc>
      </w:tr>
      <w:tr w14:paraId="38CB4A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1725CDD8">
            <w:pPr>
              <w:pStyle w:val="105"/>
              <w:jc w:val="center"/>
            </w:pPr>
          </w:p>
        </w:tc>
        <w:tc>
          <w:tcPr>
            <w:tcW w:w="874" w:type="pct"/>
            <w:vMerge w:val="continue"/>
            <w:vAlign w:val="center"/>
          </w:tcPr>
          <w:p w14:paraId="5AD690F6">
            <w:pPr>
              <w:pStyle w:val="105"/>
              <w:jc w:val="center"/>
            </w:pPr>
          </w:p>
        </w:tc>
        <w:tc>
          <w:tcPr>
            <w:tcW w:w="673" w:type="pct"/>
            <w:vAlign w:val="center"/>
          </w:tcPr>
          <w:p w14:paraId="5C8F3603">
            <w:pPr>
              <w:pStyle w:val="105"/>
              <w:jc w:val="center"/>
            </w:pPr>
            <w:r>
              <w:t>40 m</w:t>
            </w:r>
          </w:p>
        </w:tc>
        <w:tc>
          <w:tcPr>
            <w:tcW w:w="921" w:type="pct"/>
            <w:vAlign w:val="center"/>
          </w:tcPr>
          <w:p w14:paraId="4F44C0EE">
            <w:pPr>
              <w:pStyle w:val="105"/>
              <w:jc w:val="center"/>
            </w:pPr>
            <w:r>
              <w:t>53</w:t>
            </w:r>
          </w:p>
        </w:tc>
        <w:tc>
          <w:tcPr>
            <w:tcW w:w="508" w:type="pct"/>
            <w:vMerge w:val="continue"/>
            <w:vAlign w:val="center"/>
          </w:tcPr>
          <w:p w14:paraId="2755AE4B">
            <w:pPr>
              <w:pStyle w:val="105"/>
              <w:jc w:val="center"/>
            </w:pPr>
          </w:p>
        </w:tc>
        <w:tc>
          <w:tcPr>
            <w:tcW w:w="537" w:type="pct"/>
            <w:vMerge w:val="continue"/>
            <w:vAlign w:val="center"/>
          </w:tcPr>
          <w:p w14:paraId="60ABBDE2">
            <w:pPr>
              <w:pStyle w:val="105"/>
              <w:jc w:val="center"/>
            </w:pPr>
          </w:p>
        </w:tc>
        <w:tc>
          <w:tcPr>
            <w:tcW w:w="470" w:type="pct"/>
            <w:vMerge w:val="continue"/>
            <w:vAlign w:val="center"/>
          </w:tcPr>
          <w:p w14:paraId="5D89CA1A">
            <w:pPr>
              <w:pStyle w:val="105"/>
              <w:jc w:val="center"/>
            </w:pPr>
          </w:p>
        </w:tc>
        <w:tc>
          <w:tcPr>
            <w:tcW w:w="469" w:type="pct"/>
            <w:vMerge w:val="continue"/>
            <w:vAlign w:val="center"/>
          </w:tcPr>
          <w:p w14:paraId="187F3F6F">
            <w:pPr>
              <w:pStyle w:val="105"/>
              <w:jc w:val="center"/>
            </w:pPr>
          </w:p>
        </w:tc>
      </w:tr>
      <w:tr w14:paraId="201196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C022F9B">
            <w:pPr>
              <w:pStyle w:val="105"/>
              <w:jc w:val="center"/>
            </w:pPr>
          </w:p>
        </w:tc>
        <w:tc>
          <w:tcPr>
            <w:tcW w:w="874" w:type="pct"/>
            <w:vMerge w:val="continue"/>
            <w:vAlign w:val="center"/>
          </w:tcPr>
          <w:p w14:paraId="463A1561">
            <w:pPr>
              <w:pStyle w:val="105"/>
              <w:jc w:val="center"/>
            </w:pPr>
          </w:p>
        </w:tc>
        <w:tc>
          <w:tcPr>
            <w:tcW w:w="673" w:type="pct"/>
            <w:vAlign w:val="center"/>
          </w:tcPr>
          <w:p w14:paraId="18DD6D7B">
            <w:pPr>
              <w:pStyle w:val="105"/>
              <w:jc w:val="center"/>
            </w:pPr>
            <w:r>
              <w:t>60 m</w:t>
            </w:r>
          </w:p>
        </w:tc>
        <w:tc>
          <w:tcPr>
            <w:tcW w:w="921" w:type="pct"/>
            <w:vAlign w:val="center"/>
          </w:tcPr>
          <w:p w14:paraId="275C668D">
            <w:pPr>
              <w:pStyle w:val="105"/>
              <w:jc w:val="center"/>
            </w:pPr>
          </w:p>
        </w:tc>
        <w:tc>
          <w:tcPr>
            <w:tcW w:w="508" w:type="pct"/>
            <w:vMerge w:val="continue"/>
            <w:vAlign w:val="center"/>
          </w:tcPr>
          <w:p w14:paraId="1414C55B">
            <w:pPr>
              <w:pStyle w:val="105"/>
              <w:jc w:val="center"/>
            </w:pPr>
          </w:p>
        </w:tc>
        <w:tc>
          <w:tcPr>
            <w:tcW w:w="537" w:type="pct"/>
            <w:vMerge w:val="continue"/>
            <w:vAlign w:val="center"/>
          </w:tcPr>
          <w:p w14:paraId="5764FC22">
            <w:pPr>
              <w:pStyle w:val="105"/>
              <w:jc w:val="center"/>
            </w:pPr>
          </w:p>
        </w:tc>
        <w:tc>
          <w:tcPr>
            <w:tcW w:w="470" w:type="pct"/>
            <w:vMerge w:val="continue"/>
            <w:vAlign w:val="center"/>
          </w:tcPr>
          <w:p w14:paraId="6959EF24">
            <w:pPr>
              <w:pStyle w:val="105"/>
              <w:jc w:val="center"/>
            </w:pPr>
          </w:p>
        </w:tc>
        <w:tc>
          <w:tcPr>
            <w:tcW w:w="469" w:type="pct"/>
            <w:vMerge w:val="continue"/>
            <w:vAlign w:val="center"/>
          </w:tcPr>
          <w:p w14:paraId="36F2B260">
            <w:pPr>
              <w:pStyle w:val="105"/>
              <w:jc w:val="center"/>
            </w:pPr>
          </w:p>
        </w:tc>
      </w:tr>
      <w:tr w14:paraId="2A223E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33CAB604">
            <w:pPr>
              <w:pStyle w:val="105"/>
              <w:jc w:val="center"/>
            </w:pPr>
          </w:p>
        </w:tc>
        <w:tc>
          <w:tcPr>
            <w:tcW w:w="874" w:type="pct"/>
            <w:vMerge w:val="restart"/>
            <w:vAlign w:val="center"/>
          </w:tcPr>
          <w:p w14:paraId="69B669AB">
            <w:pPr>
              <w:pStyle w:val="105"/>
              <w:jc w:val="center"/>
            </w:pPr>
            <w:bookmarkStart w:id="556" w:name="hmcheck_8d32e0bc532d4ab89a1b78999daa60df"/>
            <w:r>
              <w:rPr>
                <w:shd w:val="clear" w:fill="FFAFAA"/>
              </w:rPr>
              <w:t>2</w:t>
            </w:r>
            <w:r>
              <w:rPr>
                <w:rFonts w:hint="eastAsia"/>
                <w:shd w:val="clear" w:fill="FFAFAA"/>
              </w:rPr>
              <w:t>月</w:t>
            </w:r>
            <w:r>
              <w:rPr>
                <w:shd w:val="clear" w:fill="FFAFAA"/>
              </w:rPr>
              <w:t>27</w:t>
            </w:r>
            <w:bookmarkEnd w:id="556"/>
            <w:bookmarkStart w:id="557" w:name="hmcheck_9348cf31f38d42cdaad1ff1482123594"/>
            <w:r>
              <w:rPr>
                <w:shd w:val="clear" w:fill="FFAFAA"/>
              </w:rPr>
              <w:t>~</w:t>
            </w:r>
            <w:bookmarkEnd w:id="557"/>
            <w:r>
              <w:t>28</w:t>
            </w:r>
            <w:r>
              <w:rPr>
                <w:rFonts w:hint="eastAsia"/>
              </w:rPr>
              <w:t>日</w:t>
            </w:r>
          </w:p>
          <w:p w14:paraId="2DD057BF">
            <w:pPr>
              <w:pStyle w:val="105"/>
              <w:jc w:val="center"/>
            </w:pPr>
            <w:r>
              <w:rPr>
                <w:rFonts w:hint="eastAsia"/>
              </w:rPr>
              <w:t>夜间</w:t>
            </w:r>
          </w:p>
        </w:tc>
        <w:tc>
          <w:tcPr>
            <w:tcW w:w="673" w:type="pct"/>
            <w:vAlign w:val="center"/>
          </w:tcPr>
          <w:p w14:paraId="0717152C">
            <w:pPr>
              <w:pStyle w:val="105"/>
              <w:jc w:val="center"/>
            </w:pPr>
            <w:r>
              <w:t>0 m</w:t>
            </w:r>
          </w:p>
        </w:tc>
        <w:tc>
          <w:tcPr>
            <w:tcW w:w="921" w:type="pct"/>
            <w:vAlign w:val="center"/>
          </w:tcPr>
          <w:p w14:paraId="4D8E6431">
            <w:pPr>
              <w:pStyle w:val="105"/>
              <w:jc w:val="center"/>
            </w:pPr>
          </w:p>
        </w:tc>
        <w:tc>
          <w:tcPr>
            <w:tcW w:w="508" w:type="pct"/>
            <w:vMerge w:val="restart"/>
            <w:vAlign w:val="center"/>
          </w:tcPr>
          <w:p w14:paraId="1829EFED">
            <w:pPr>
              <w:pStyle w:val="105"/>
              <w:jc w:val="center"/>
            </w:pPr>
          </w:p>
        </w:tc>
        <w:tc>
          <w:tcPr>
            <w:tcW w:w="537" w:type="pct"/>
            <w:vMerge w:val="restart"/>
            <w:vAlign w:val="center"/>
          </w:tcPr>
          <w:p w14:paraId="5AA621FA">
            <w:pPr>
              <w:pStyle w:val="105"/>
              <w:jc w:val="center"/>
            </w:pPr>
          </w:p>
        </w:tc>
        <w:tc>
          <w:tcPr>
            <w:tcW w:w="470" w:type="pct"/>
            <w:vMerge w:val="restart"/>
            <w:vAlign w:val="center"/>
          </w:tcPr>
          <w:p w14:paraId="6B9F83AC">
            <w:pPr>
              <w:pStyle w:val="105"/>
              <w:jc w:val="center"/>
            </w:pPr>
            <w:r>
              <w:t>2</w:t>
            </w:r>
            <w:r>
              <w:rPr>
                <w:rFonts w:hint="eastAsia"/>
              </w:rPr>
              <w:t>类</w:t>
            </w:r>
          </w:p>
        </w:tc>
        <w:tc>
          <w:tcPr>
            <w:tcW w:w="469" w:type="pct"/>
            <w:vMerge w:val="restart"/>
            <w:vAlign w:val="center"/>
          </w:tcPr>
          <w:p w14:paraId="4A99C32D">
            <w:pPr>
              <w:pStyle w:val="105"/>
              <w:jc w:val="center"/>
            </w:pPr>
            <w:r>
              <w:rPr>
                <w:rFonts w:hint="eastAsia"/>
              </w:rPr>
              <w:t>达标</w:t>
            </w:r>
          </w:p>
        </w:tc>
      </w:tr>
      <w:tr w14:paraId="0F782C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DF4EDEE">
            <w:pPr>
              <w:pStyle w:val="105"/>
              <w:jc w:val="center"/>
            </w:pPr>
          </w:p>
        </w:tc>
        <w:tc>
          <w:tcPr>
            <w:tcW w:w="874" w:type="pct"/>
            <w:vMerge w:val="continue"/>
            <w:vAlign w:val="center"/>
          </w:tcPr>
          <w:p w14:paraId="0E2F72E3">
            <w:pPr>
              <w:pStyle w:val="105"/>
              <w:jc w:val="center"/>
            </w:pPr>
          </w:p>
        </w:tc>
        <w:tc>
          <w:tcPr>
            <w:tcW w:w="673" w:type="pct"/>
            <w:vAlign w:val="center"/>
          </w:tcPr>
          <w:p w14:paraId="73BC086C">
            <w:pPr>
              <w:pStyle w:val="105"/>
              <w:jc w:val="center"/>
            </w:pPr>
            <w:r>
              <w:t>20 m</w:t>
            </w:r>
          </w:p>
        </w:tc>
        <w:tc>
          <w:tcPr>
            <w:tcW w:w="921" w:type="pct"/>
            <w:vAlign w:val="center"/>
          </w:tcPr>
          <w:p w14:paraId="2B9579A9">
            <w:pPr>
              <w:pStyle w:val="105"/>
              <w:jc w:val="center"/>
            </w:pPr>
          </w:p>
        </w:tc>
        <w:tc>
          <w:tcPr>
            <w:tcW w:w="508" w:type="pct"/>
            <w:vMerge w:val="continue"/>
            <w:vAlign w:val="center"/>
          </w:tcPr>
          <w:p w14:paraId="06F03131">
            <w:pPr>
              <w:pStyle w:val="105"/>
              <w:jc w:val="center"/>
            </w:pPr>
          </w:p>
        </w:tc>
        <w:tc>
          <w:tcPr>
            <w:tcW w:w="537" w:type="pct"/>
            <w:vMerge w:val="continue"/>
            <w:vAlign w:val="center"/>
          </w:tcPr>
          <w:p w14:paraId="28B98299">
            <w:pPr>
              <w:pStyle w:val="105"/>
              <w:jc w:val="center"/>
            </w:pPr>
          </w:p>
        </w:tc>
        <w:tc>
          <w:tcPr>
            <w:tcW w:w="470" w:type="pct"/>
            <w:vMerge w:val="continue"/>
            <w:vAlign w:val="center"/>
          </w:tcPr>
          <w:p w14:paraId="777DA4D3">
            <w:pPr>
              <w:pStyle w:val="105"/>
              <w:jc w:val="center"/>
            </w:pPr>
          </w:p>
        </w:tc>
        <w:tc>
          <w:tcPr>
            <w:tcW w:w="469" w:type="pct"/>
            <w:vMerge w:val="continue"/>
            <w:vAlign w:val="center"/>
          </w:tcPr>
          <w:p w14:paraId="73473563">
            <w:pPr>
              <w:pStyle w:val="105"/>
              <w:jc w:val="center"/>
            </w:pPr>
          </w:p>
        </w:tc>
      </w:tr>
      <w:tr w14:paraId="74377F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228C37D3">
            <w:pPr>
              <w:pStyle w:val="105"/>
              <w:jc w:val="center"/>
            </w:pPr>
          </w:p>
        </w:tc>
        <w:tc>
          <w:tcPr>
            <w:tcW w:w="874" w:type="pct"/>
            <w:vMerge w:val="continue"/>
            <w:vAlign w:val="center"/>
          </w:tcPr>
          <w:p w14:paraId="5637EB6F">
            <w:pPr>
              <w:pStyle w:val="105"/>
              <w:jc w:val="center"/>
            </w:pPr>
          </w:p>
        </w:tc>
        <w:tc>
          <w:tcPr>
            <w:tcW w:w="673" w:type="pct"/>
            <w:vAlign w:val="center"/>
          </w:tcPr>
          <w:p w14:paraId="58C6512D">
            <w:pPr>
              <w:pStyle w:val="105"/>
              <w:jc w:val="center"/>
            </w:pPr>
            <w:r>
              <w:t>40 m</w:t>
            </w:r>
          </w:p>
        </w:tc>
        <w:tc>
          <w:tcPr>
            <w:tcW w:w="921" w:type="pct"/>
            <w:vAlign w:val="center"/>
          </w:tcPr>
          <w:p w14:paraId="1553C3EC">
            <w:pPr>
              <w:pStyle w:val="105"/>
              <w:jc w:val="center"/>
            </w:pPr>
          </w:p>
        </w:tc>
        <w:tc>
          <w:tcPr>
            <w:tcW w:w="508" w:type="pct"/>
            <w:vMerge w:val="continue"/>
            <w:vAlign w:val="center"/>
          </w:tcPr>
          <w:p w14:paraId="6856345E">
            <w:pPr>
              <w:pStyle w:val="105"/>
              <w:jc w:val="center"/>
            </w:pPr>
          </w:p>
        </w:tc>
        <w:tc>
          <w:tcPr>
            <w:tcW w:w="537" w:type="pct"/>
            <w:vMerge w:val="continue"/>
            <w:vAlign w:val="center"/>
          </w:tcPr>
          <w:p w14:paraId="4F9C3F30">
            <w:pPr>
              <w:pStyle w:val="105"/>
              <w:jc w:val="center"/>
            </w:pPr>
          </w:p>
        </w:tc>
        <w:tc>
          <w:tcPr>
            <w:tcW w:w="470" w:type="pct"/>
            <w:vMerge w:val="continue"/>
            <w:vAlign w:val="center"/>
          </w:tcPr>
          <w:p w14:paraId="2E581C52">
            <w:pPr>
              <w:pStyle w:val="105"/>
              <w:jc w:val="center"/>
            </w:pPr>
          </w:p>
        </w:tc>
        <w:tc>
          <w:tcPr>
            <w:tcW w:w="469" w:type="pct"/>
            <w:vMerge w:val="continue"/>
            <w:vAlign w:val="center"/>
          </w:tcPr>
          <w:p w14:paraId="7EA67030">
            <w:pPr>
              <w:pStyle w:val="105"/>
              <w:jc w:val="center"/>
            </w:pPr>
          </w:p>
        </w:tc>
      </w:tr>
      <w:tr w14:paraId="1AC39D5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3967354E">
            <w:pPr>
              <w:pStyle w:val="105"/>
              <w:jc w:val="center"/>
            </w:pPr>
          </w:p>
        </w:tc>
        <w:tc>
          <w:tcPr>
            <w:tcW w:w="874" w:type="pct"/>
            <w:vMerge w:val="continue"/>
            <w:vAlign w:val="center"/>
          </w:tcPr>
          <w:p w14:paraId="452F88B3">
            <w:pPr>
              <w:pStyle w:val="105"/>
              <w:jc w:val="center"/>
            </w:pPr>
          </w:p>
        </w:tc>
        <w:tc>
          <w:tcPr>
            <w:tcW w:w="673" w:type="pct"/>
            <w:vAlign w:val="center"/>
          </w:tcPr>
          <w:p w14:paraId="4641B4DE">
            <w:pPr>
              <w:pStyle w:val="105"/>
              <w:jc w:val="center"/>
            </w:pPr>
            <w:r>
              <w:t>60 m</w:t>
            </w:r>
          </w:p>
        </w:tc>
        <w:tc>
          <w:tcPr>
            <w:tcW w:w="921" w:type="pct"/>
            <w:vAlign w:val="center"/>
          </w:tcPr>
          <w:p w14:paraId="49D0BD92">
            <w:pPr>
              <w:pStyle w:val="105"/>
              <w:jc w:val="center"/>
            </w:pPr>
          </w:p>
        </w:tc>
        <w:tc>
          <w:tcPr>
            <w:tcW w:w="508" w:type="pct"/>
            <w:vMerge w:val="continue"/>
            <w:vAlign w:val="center"/>
          </w:tcPr>
          <w:p w14:paraId="38421F27">
            <w:pPr>
              <w:pStyle w:val="105"/>
              <w:jc w:val="center"/>
            </w:pPr>
          </w:p>
        </w:tc>
        <w:tc>
          <w:tcPr>
            <w:tcW w:w="537" w:type="pct"/>
            <w:vMerge w:val="continue"/>
            <w:vAlign w:val="center"/>
          </w:tcPr>
          <w:p w14:paraId="56F65DBC">
            <w:pPr>
              <w:pStyle w:val="105"/>
              <w:jc w:val="center"/>
            </w:pPr>
          </w:p>
        </w:tc>
        <w:tc>
          <w:tcPr>
            <w:tcW w:w="470" w:type="pct"/>
            <w:vMerge w:val="continue"/>
            <w:vAlign w:val="center"/>
          </w:tcPr>
          <w:p w14:paraId="3FB4899A">
            <w:pPr>
              <w:pStyle w:val="105"/>
              <w:jc w:val="center"/>
            </w:pPr>
          </w:p>
        </w:tc>
        <w:tc>
          <w:tcPr>
            <w:tcW w:w="469" w:type="pct"/>
            <w:vMerge w:val="continue"/>
            <w:vAlign w:val="center"/>
          </w:tcPr>
          <w:p w14:paraId="70AEAB19">
            <w:pPr>
              <w:pStyle w:val="105"/>
              <w:jc w:val="center"/>
            </w:pPr>
          </w:p>
        </w:tc>
      </w:tr>
      <w:tr w14:paraId="4D6D7A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restart"/>
            <w:vAlign w:val="center"/>
          </w:tcPr>
          <w:p w14:paraId="4C03339F">
            <w:pPr>
              <w:pStyle w:val="105"/>
              <w:jc w:val="center"/>
            </w:pPr>
            <w:r>
              <w:rPr>
                <w:rFonts w:hint="eastAsia"/>
              </w:rPr>
              <w:t>枝钟路</w:t>
            </w:r>
          </w:p>
          <w:p w14:paraId="3173822F">
            <w:pPr>
              <w:pStyle w:val="105"/>
              <w:jc w:val="center"/>
            </w:pPr>
            <w:r>
              <w:rPr>
                <w:rFonts w:hint="eastAsia"/>
              </w:rPr>
              <w:t>水平断面</w:t>
            </w:r>
          </w:p>
        </w:tc>
        <w:tc>
          <w:tcPr>
            <w:tcW w:w="874" w:type="pct"/>
            <w:vMerge w:val="restart"/>
            <w:vAlign w:val="center"/>
          </w:tcPr>
          <w:p w14:paraId="582FF92E">
            <w:pPr>
              <w:pStyle w:val="105"/>
              <w:jc w:val="center"/>
            </w:pPr>
            <w:r>
              <w:t>2</w:t>
            </w:r>
            <w:r>
              <w:rPr>
                <w:rFonts w:hint="eastAsia"/>
              </w:rPr>
              <w:t>月</w:t>
            </w:r>
            <w:r>
              <w:t>26</w:t>
            </w:r>
            <w:r>
              <w:rPr>
                <w:rFonts w:hint="eastAsia"/>
              </w:rPr>
              <w:t>日</w:t>
            </w:r>
          </w:p>
          <w:p w14:paraId="00B9FB01">
            <w:pPr>
              <w:pStyle w:val="105"/>
              <w:jc w:val="center"/>
            </w:pPr>
            <w:r>
              <w:rPr>
                <w:rFonts w:hint="eastAsia"/>
              </w:rPr>
              <w:t>昼间</w:t>
            </w:r>
          </w:p>
        </w:tc>
        <w:tc>
          <w:tcPr>
            <w:tcW w:w="673" w:type="pct"/>
            <w:vAlign w:val="center"/>
          </w:tcPr>
          <w:p w14:paraId="13220F47">
            <w:pPr>
              <w:pStyle w:val="105"/>
              <w:jc w:val="center"/>
            </w:pPr>
            <w:r>
              <w:t>0 m</w:t>
            </w:r>
          </w:p>
        </w:tc>
        <w:tc>
          <w:tcPr>
            <w:tcW w:w="921" w:type="pct"/>
            <w:vAlign w:val="center"/>
          </w:tcPr>
          <w:p w14:paraId="737EBA56">
            <w:pPr>
              <w:pStyle w:val="105"/>
              <w:jc w:val="center"/>
            </w:pPr>
          </w:p>
        </w:tc>
        <w:tc>
          <w:tcPr>
            <w:tcW w:w="508" w:type="pct"/>
            <w:vMerge w:val="restart"/>
            <w:vAlign w:val="center"/>
          </w:tcPr>
          <w:p w14:paraId="3729867E">
            <w:pPr>
              <w:pStyle w:val="105"/>
              <w:jc w:val="center"/>
            </w:pPr>
          </w:p>
        </w:tc>
        <w:tc>
          <w:tcPr>
            <w:tcW w:w="537" w:type="pct"/>
            <w:vMerge w:val="restart"/>
            <w:vAlign w:val="center"/>
          </w:tcPr>
          <w:p w14:paraId="696F585F">
            <w:pPr>
              <w:pStyle w:val="105"/>
              <w:jc w:val="center"/>
            </w:pPr>
          </w:p>
        </w:tc>
        <w:tc>
          <w:tcPr>
            <w:tcW w:w="470" w:type="pct"/>
            <w:vMerge w:val="restart"/>
            <w:vAlign w:val="center"/>
          </w:tcPr>
          <w:p w14:paraId="4E0DCED8">
            <w:pPr>
              <w:pStyle w:val="105"/>
              <w:jc w:val="center"/>
            </w:pPr>
            <w:r>
              <w:t>2</w:t>
            </w:r>
            <w:r>
              <w:rPr>
                <w:rFonts w:hint="eastAsia"/>
              </w:rPr>
              <w:t>类</w:t>
            </w:r>
          </w:p>
        </w:tc>
        <w:tc>
          <w:tcPr>
            <w:tcW w:w="469" w:type="pct"/>
            <w:vMerge w:val="restart"/>
            <w:vAlign w:val="center"/>
          </w:tcPr>
          <w:p w14:paraId="10B56DEF">
            <w:pPr>
              <w:pStyle w:val="105"/>
              <w:jc w:val="center"/>
            </w:pPr>
            <w:r>
              <w:rPr>
                <w:rFonts w:hint="eastAsia"/>
              </w:rPr>
              <w:t>达标</w:t>
            </w:r>
          </w:p>
        </w:tc>
      </w:tr>
      <w:tr w14:paraId="78984E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0B059A2C">
            <w:pPr>
              <w:pStyle w:val="105"/>
              <w:jc w:val="center"/>
            </w:pPr>
          </w:p>
        </w:tc>
        <w:tc>
          <w:tcPr>
            <w:tcW w:w="874" w:type="pct"/>
            <w:vMerge w:val="continue"/>
            <w:vAlign w:val="center"/>
          </w:tcPr>
          <w:p w14:paraId="6C082ECE">
            <w:pPr>
              <w:pStyle w:val="105"/>
              <w:jc w:val="center"/>
            </w:pPr>
          </w:p>
        </w:tc>
        <w:tc>
          <w:tcPr>
            <w:tcW w:w="673" w:type="pct"/>
            <w:vAlign w:val="center"/>
          </w:tcPr>
          <w:p w14:paraId="0D916201">
            <w:pPr>
              <w:pStyle w:val="105"/>
              <w:jc w:val="center"/>
            </w:pPr>
            <w:r>
              <w:t>20 m</w:t>
            </w:r>
          </w:p>
        </w:tc>
        <w:tc>
          <w:tcPr>
            <w:tcW w:w="921" w:type="pct"/>
            <w:vAlign w:val="center"/>
          </w:tcPr>
          <w:p w14:paraId="261ED27C">
            <w:pPr>
              <w:pStyle w:val="105"/>
              <w:jc w:val="center"/>
            </w:pPr>
          </w:p>
        </w:tc>
        <w:tc>
          <w:tcPr>
            <w:tcW w:w="508" w:type="pct"/>
            <w:vMerge w:val="continue"/>
            <w:vAlign w:val="center"/>
          </w:tcPr>
          <w:p w14:paraId="3067F86E">
            <w:pPr>
              <w:pStyle w:val="105"/>
              <w:jc w:val="center"/>
            </w:pPr>
          </w:p>
        </w:tc>
        <w:tc>
          <w:tcPr>
            <w:tcW w:w="537" w:type="pct"/>
            <w:vMerge w:val="continue"/>
            <w:vAlign w:val="center"/>
          </w:tcPr>
          <w:p w14:paraId="0DCC5070">
            <w:pPr>
              <w:pStyle w:val="105"/>
              <w:jc w:val="center"/>
            </w:pPr>
          </w:p>
        </w:tc>
        <w:tc>
          <w:tcPr>
            <w:tcW w:w="470" w:type="pct"/>
            <w:vMerge w:val="continue"/>
            <w:vAlign w:val="center"/>
          </w:tcPr>
          <w:p w14:paraId="6620875A">
            <w:pPr>
              <w:pStyle w:val="105"/>
              <w:jc w:val="center"/>
            </w:pPr>
          </w:p>
        </w:tc>
        <w:tc>
          <w:tcPr>
            <w:tcW w:w="469" w:type="pct"/>
            <w:vMerge w:val="continue"/>
            <w:vAlign w:val="center"/>
          </w:tcPr>
          <w:p w14:paraId="17D3D869">
            <w:pPr>
              <w:pStyle w:val="105"/>
              <w:jc w:val="center"/>
            </w:pPr>
          </w:p>
        </w:tc>
      </w:tr>
      <w:tr w14:paraId="60BEAB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3B05104E">
            <w:pPr>
              <w:pStyle w:val="105"/>
              <w:jc w:val="center"/>
            </w:pPr>
          </w:p>
        </w:tc>
        <w:tc>
          <w:tcPr>
            <w:tcW w:w="874" w:type="pct"/>
            <w:vMerge w:val="continue"/>
            <w:vAlign w:val="center"/>
          </w:tcPr>
          <w:p w14:paraId="7B3F299A">
            <w:pPr>
              <w:pStyle w:val="105"/>
              <w:jc w:val="center"/>
            </w:pPr>
          </w:p>
        </w:tc>
        <w:tc>
          <w:tcPr>
            <w:tcW w:w="673" w:type="pct"/>
            <w:vAlign w:val="center"/>
          </w:tcPr>
          <w:p w14:paraId="25847EF6">
            <w:pPr>
              <w:pStyle w:val="105"/>
              <w:jc w:val="center"/>
            </w:pPr>
            <w:r>
              <w:t>40 m</w:t>
            </w:r>
          </w:p>
        </w:tc>
        <w:tc>
          <w:tcPr>
            <w:tcW w:w="921" w:type="pct"/>
            <w:vAlign w:val="center"/>
          </w:tcPr>
          <w:p w14:paraId="3283E7FF">
            <w:pPr>
              <w:pStyle w:val="105"/>
              <w:jc w:val="center"/>
            </w:pPr>
          </w:p>
        </w:tc>
        <w:tc>
          <w:tcPr>
            <w:tcW w:w="508" w:type="pct"/>
            <w:vMerge w:val="continue"/>
            <w:vAlign w:val="center"/>
          </w:tcPr>
          <w:p w14:paraId="1806F949">
            <w:pPr>
              <w:pStyle w:val="105"/>
              <w:jc w:val="center"/>
            </w:pPr>
          </w:p>
        </w:tc>
        <w:tc>
          <w:tcPr>
            <w:tcW w:w="537" w:type="pct"/>
            <w:vMerge w:val="continue"/>
            <w:vAlign w:val="center"/>
          </w:tcPr>
          <w:p w14:paraId="6A784DA8">
            <w:pPr>
              <w:pStyle w:val="105"/>
              <w:jc w:val="center"/>
            </w:pPr>
          </w:p>
        </w:tc>
        <w:tc>
          <w:tcPr>
            <w:tcW w:w="470" w:type="pct"/>
            <w:vMerge w:val="continue"/>
            <w:vAlign w:val="center"/>
          </w:tcPr>
          <w:p w14:paraId="45765D3C">
            <w:pPr>
              <w:pStyle w:val="105"/>
              <w:jc w:val="center"/>
            </w:pPr>
          </w:p>
        </w:tc>
        <w:tc>
          <w:tcPr>
            <w:tcW w:w="469" w:type="pct"/>
            <w:vMerge w:val="continue"/>
            <w:vAlign w:val="center"/>
          </w:tcPr>
          <w:p w14:paraId="12CF7A84">
            <w:pPr>
              <w:pStyle w:val="105"/>
              <w:jc w:val="center"/>
            </w:pPr>
          </w:p>
        </w:tc>
      </w:tr>
      <w:tr w14:paraId="5DAB3F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72CDEEFD">
            <w:pPr>
              <w:pStyle w:val="105"/>
              <w:jc w:val="center"/>
            </w:pPr>
          </w:p>
        </w:tc>
        <w:tc>
          <w:tcPr>
            <w:tcW w:w="874" w:type="pct"/>
            <w:vMerge w:val="continue"/>
            <w:vAlign w:val="center"/>
          </w:tcPr>
          <w:p w14:paraId="2E17FB36">
            <w:pPr>
              <w:pStyle w:val="105"/>
              <w:jc w:val="center"/>
            </w:pPr>
          </w:p>
        </w:tc>
        <w:tc>
          <w:tcPr>
            <w:tcW w:w="673" w:type="pct"/>
            <w:vAlign w:val="center"/>
          </w:tcPr>
          <w:p w14:paraId="5E07739B">
            <w:pPr>
              <w:pStyle w:val="105"/>
              <w:jc w:val="center"/>
            </w:pPr>
            <w:r>
              <w:t>60 m</w:t>
            </w:r>
          </w:p>
        </w:tc>
        <w:tc>
          <w:tcPr>
            <w:tcW w:w="921" w:type="pct"/>
            <w:vAlign w:val="center"/>
          </w:tcPr>
          <w:p w14:paraId="195DB5A1">
            <w:pPr>
              <w:pStyle w:val="105"/>
              <w:jc w:val="center"/>
            </w:pPr>
          </w:p>
        </w:tc>
        <w:tc>
          <w:tcPr>
            <w:tcW w:w="508" w:type="pct"/>
            <w:vMerge w:val="continue"/>
            <w:vAlign w:val="center"/>
          </w:tcPr>
          <w:p w14:paraId="41ED3F30">
            <w:pPr>
              <w:pStyle w:val="105"/>
              <w:jc w:val="center"/>
            </w:pPr>
          </w:p>
        </w:tc>
        <w:tc>
          <w:tcPr>
            <w:tcW w:w="537" w:type="pct"/>
            <w:vMerge w:val="continue"/>
            <w:vAlign w:val="center"/>
          </w:tcPr>
          <w:p w14:paraId="40F56646">
            <w:pPr>
              <w:pStyle w:val="105"/>
              <w:jc w:val="center"/>
            </w:pPr>
          </w:p>
        </w:tc>
        <w:tc>
          <w:tcPr>
            <w:tcW w:w="470" w:type="pct"/>
            <w:vMerge w:val="continue"/>
            <w:vAlign w:val="center"/>
          </w:tcPr>
          <w:p w14:paraId="7E8F2DDF">
            <w:pPr>
              <w:pStyle w:val="105"/>
              <w:jc w:val="center"/>
            </w:pPr>
          </w:p>
        </w:tc>
        <w:tc>
          <w:tcPr>
            <w:tcW w:w="469" w:type="pct"/>
            <w:vMerge w:val="continue"/>
            <w:vAlign w:val="center"/>
          </w:tcPr>
          <w:p w14:paraId="68F3F3E0">
            <w:pPr>
              <w:pStyle w:val="105"/>
              <w:jc w:val="center"/>
            </w:pPr>
          </w:p>
        </w:tc>
      </w:tr>
      <w:tr w14:paraId="7D80D7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29E844A7">
            <w:pPr>
              <w:pStyle w:val="105"/>
              <w:jc w:val="center"/>
            </w:pPr>
          </w:p>
        </w:tc>
        <w:tc>
          <w:tcPr>
            <w:tcW w:w="874" w:type="pct"/>
            <w:vMerge w:val="restart"/>
            <w:vAlign w:val="center"/>
          </w:tcPr>
          <w:p w14:paraId="10C754C7">
            <w:pPr>
              <w:pStyle w:val="105"/>
              <w:jc w:val="center"/>
            </w:pPr>
            <w:bookmarkStart w:id="558" w:name="hmcheck_e5f6f20b17d74a22a10677e37aff3527"/>
            <w:r>
              <w:rPr>
                <w:shd w:val="clear" w:fill="FFAFAA"/>
              </w:rPr>
              <w:t>2</w:t>
            </w:r>
            <w:r>
              <w:rPr>
                <w:rFonts w:hint="eastAsia"/>
                <w:shd w:val="clear" w:fill="FFAFAA"/>
              </w:rPr>
              <w:t>月</w:t>
            </w:r>
            <w:r>
              <w:rPr>
                <w:shd w:val="clear" w:fill="FFAFAA"/>
              </w:rPr>
              <w:t>26</w:t>
            </w:r>
            <w:bookmarkEnd w:id="558"/>
            <w:bookmarkStart w:id="559" w:name="hmcheck_c9bf69e511754c0cb7a4fe4d7df7dadd"/>
            <w:r>
              <w:rPr>
                <w:shd w:val="clear" w:fill="FFAFAA"/>
              </w:rPr>
              <w:t>~</w:t>
            </w:r>
            <w:bookmarkEnd w:id="559"/>
            <w:r>
              <w:t>27</w:t>
            </w:r>
            <w:r>
              <w:rPr>
                <w:rFonts w:hint="eastAsia"/>
              </w:rPr>
              <w:t>日</w:t>
            </w:r>
          </w:p>
          <w:p w14:paraId="6842A4D9">
            <w:pPr>
              <w:pStyle w:val="105"/>
              <w:jc w:val="center"/>
            </w:pPr>
            <w:r>
              <w:rPr>
                <w:rFonts w:hint="eastAsia"/>
              </w:rPr>
              <w:t>夜间</w:t>
            </w:r>
          </w:p>
        </w:tc>
        <w:tc>
          <w:tcPr>
            <w:tcW w:w="673" w:type="pct"/>
            <w:vAlign w:val="center"/>
          </w:tcPr>
          <w:p w14:paraId="1C05E0EA">
            <w:pPr>
              <w:pStyle w:val="105"/>
              <w:jc w:val="center"/>
            </w:pPr>
            <w:r>
              <w:t>0 m</w:t>
            </w:r>
          </w:p>
        </w:tc>
        <w:tc>
          <w:tcPr>
            <w:tcW w:w="921" w:type="pct"/>
            <w:vAlign w:val="center"/>
          </w:tcPr>
          <w:p w14:paraId="53C1880D">
            <w:pPr>
              <w:pStyle w:val="105"/>
              <w:jc w:val="center"/>
            </w:pPr>
          </w:p>
        </w:tc>
        <w:tc>
          <w:tcPr>
            <w:tcW w:w="508" w:type="pct"/>
            <w:vMerge w:val="restart"/>
            <w:vAlign w:val="center"/>
          </w:tcPr>
          <w:p w14:paraId="64AE19A7">
            <w:pPr>
              <w:pStyle w:val="105"/>
              <w:jc w:val="center"/>
            </w:pPr>
          </w:p>
        </w:tc>
        <w:tc>
          <w:tcPr>
            <w:tcW w:w="537" w:type="pct"/>
            <w:vMerge w:val="restart"/>
            <w:vAlign w:val="center"/>
          </w:tcPr>
          <w:p w14:paraId="18983F14">
            <w:pPr>
              <w:pStyle w:val="105"/>
              <w:jc w:val="center"/>
            </w:pPr>
          </w:p>
        </w:tc>
        <w:tc>
          <w:tcPr>
            <w:tcW w:w="470" w:type="pct"/>
            <w:vMerge w:val="restart"/>
            <w:vAlign w:val="center"/>
          </w:tcPr>
          <w:p w14:paraId="54EA95E8">
            <w:pPr>
              <w:pStyle w:val="105"/>
              <w:jc w:val="center"/>
            </w:pPr>
            <w:r>
              <w:t>2</w:t>
            </w:r>
            <w:r>
              <w:rPr>
                <w:rFonts w:hint="eastAsia"/>
              </w:rPr>
              <w:t>类</w:t>
            </w:r>
          </w:p>
        </w:tc>
        <w:tc>
          <w:tcPr>
            <w:tcW w:w="469" w:type="pct"/>
            <w:vMerge w:val="restart"/>
            <w:vAlign w:val="center"/>
          </w:tcPr>
          <w:p w14:paraId="1AF0E6E2">
            <w:pPr>
              <w:pStyle w:val="105"/>
              <w:jc w:val="center"/>
            </w:pPr>
            <w:r>
              <w:rPr>
                <w:rFonts w:hint="eastAsia"/>
              </w:rPr>
              <w:t>达标</w:t>
            </w:r>
          </w:p>
        </w:tc>
      </w:tr>
      <w:tr w14:paraId="0E06A4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7A1F4611">
            <w:pPr>
              <w:pStyle w:val="105"/>
              <w:jc w:val="center"/>
            </w:pPr>
          </w:p>
        </w:tc>
        <w:tc>
          <w:tcPr>
            <w:tcW w:w="874" w:type="pct"/>
            <w:vMerge w:val="continue"/>
            <w:vAlign w:val="center"/>
          </w:tcPr>
          <w:p w14:paraId="5745FCBC">
            <w:pPr>
              <w:pStyle w:val="105"/>
              <w:jc w:val="center"/>
            </w:pPr>
          </w:p>
        </w:tc>
        <w:tc>
          <w:tcPr>
            <w:tcW w:w="673" w:type="pct"/>
            <w:vAlign w:val="center"/>
          </w:tcPr>
          <w:p w14:paraId="0299C7A7">
            <w:pPr>
              <w:pStyle w:val="105"/>
              <w:jc w:val="center"/>
            </w:pPr>
            <w:r>
              <w:t>20 m</w:t>
            </w:r>
          </w:p>
        </w:tc>
        <w:tc>
          <w:tcPr>
            <w:tcW w:w="921" w:type="pct"/>
            <w:vAlign w:val="center"/>
          </w:tcPr>
          <w:p w14:paraId="5BC5CB5B">
            <w:pPr>
              <w:pStyle w:val="105"/>
              <w:jc w:val="center"/>
            </w:pPr>
          </w:p>
        </w:tc>
        <w:tc>
          <w:tcPr>
            <w:tcW w:w="508" w:type="pct"/>
            <w:vMerge w:val="continue"/>
            <w:vAlign w:val="center"/>
          </w:tcPr>
          <w:p w14:paraId="652FD449">
            <w:pPr>
              <w:pStyle w:val="105"/>
              <w:jc w:val="center"/>
            </w:pPr>
          </w:p>
        </w:tc>
        <w:tc>
          <w:tcPr>
            <w:tcW w:w="537" w:type="pct"/>
            <w:vMerge w:val="continue"/>
            <w:vAlign w:val="center"/>
          </w:tcPr>
          <w:p w14:paraId="3C5E3C47">
            <w:pPr>
              <w:pStyle w:val="105"/>
              <w:jc w:val="center"/>
            </w:pPr>
          </w:p>
        </w:tc>
        <w:tc>
          <w:tcPr>
            <w:tcW w:w="470" w:type="pct"/>
            <w:vMerge w:val="continue"/>
            <w:vAlign w:val="center"/>
          </w:tcPr>
          <w:p w14:paraId="2F51459D">
            <w:pPr>
              <w:pStyle w:val="105"/>
              <w:jc w:val="center"/>
            </w:pPr>
          </w:p>
        </w:tc>
        <w:tc>
          <w:tcPr>
            <w:tcW w:w="469" w:type="pct"/>
            <w:vMerge w:val="continue"/>
            <w:vAlign w:val="center"/>
          </w:tcPr>
          <w:p w14:paraId="34D4E3DB">
            <w:pPr>
              <w:pStyle w:val="105"/>
              <w:jc w:val="center"/>
            </w:pPr>
          </w:p>
        </w:tc>
      </w:tr>
      <w:tr w14:paraId="156B5D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27C1BBC2">
            <w:pPr>
              <w:pStyle w:val="105"/>
              <w:jc w:val="center"/>
            </w:pPr>
          </w:p>
        </w:tc>
        <w:tc>
          <w:tcPr>
            <w:tcW w:w="874" w:type="pct"/>
            <w:vMerge w:val="continue"/>
            <w:vAlign w:val="center"/>
          </w:tcPr>
          <w:p w14:paraId="0552B5F7">
            <w:pPr>
              <w:pStyle w:val="105"/>
              <w:jc w:val="center"/>
            </w:pPr>
          </w:p>
        </w:tc>
        <w:tc>
          <w:tcPr>
            <w:tcW w:w="673" w:type="pct"/>
            <w:vAlign w:val="center"/>
          </w:tcPr>
          <w:p w14:paraId="1474B13E">
            <w:pPr>
              <w:pStyle w:val="105"/>
              <w:jc w:val="center"/>
            </w:pPr>
            <w:r>
              <w:t>40 m</w:t>
            </w:r>
          </w:p>
        </w:tc>
        <w:tc>
          <w:tcPr>
            <w:tcW w:w="921" w:type="pct"/>
            <w:vAlign w:val="center"/>
          </w:tcPr>
          <w:p w14:paraId="3F0C4153">
            <w:pPr>
              <w:pStyle w:val="105"/>
              <w:jc w:val="center"/>
            </w:pPr>
          </w:p>
        </w:tc>
        <w:tc>
          <w:tcPr>
            <w:tcW w:w="508" w:type="pct"/>
            <w:vMerge w:val="continue"/>
            <w:vAlign w:val="center"/>
          </w:tcPr>
          <w:p w14:paraId="36BB7AD5">
            <w:pPr>
              <w:pStyle w:val="105"/>
              <w:jc w:val="center"/>
            </w:pPr>
          </w:p>
        </w:tc>
        <w:tc>
          <w:tcPr>
            <w:tcW w:w="537" w:type="pct"/>
            <w:vMerge w:val="continue"/>
            <w:vAlign w:val="center"/>
          </w:tcPr>
          <w:p w14:paraId="1CA313CB">
            <w:pPr>
              <w:pStyle w:val="105"/>
              <w:jc w:val="center"/>
            </w:pPr>
          </w:p>
        </w:tc>
        <w:tc>
          <w:tcPr>
            <w:tcW w:w="470" w:type="pct"/>
            <w:vMerge w:val="continue"/>
            <w:vAlign w:val="center"/>
          </w:tcPr>
          <w:p w14:paraId="7D481518">
            <w:pPr>
              <w:pStyle w:val="105"/>
              <w:jc w:val="center"/>
            </w:pPr>
          </w:p>
        </w:tc>
        <w:tc>
          <w:tcPr>
            <w:tcW w:w="469" w:type="pct"/>
            <w:vMerge w:val="continue"/>
            <w:vAlign w:val="center"/>
          </w:tcPr>
          <w:p w14:paraId="40B65DF8">
            <w:pPr>
              <w:pStyle w:val="105"/>
              <w:jc w:val="center"/>
            </w:pPr>
          </w:p>
        </w:tc>
      </w:tr>
      <w:tr w14:paraId="4F0DD05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29EA3FB0">
            <w:pPr>
              <w:pStyle w:val="105"/>
              <w:jc w:val="center"/>
            </w:pPr>
          </w:p>
        </w:tc>
        <w:tc>
          <w:tcPr>
            <w:tcW w:w="874" w:type="pct"/>
            <w:vMerge w:val="continue"/>
            <w:vAlign w:val="center"/>
          </w:tcPr>
          <w:p w14:paraId="543ADC7F">
            <w:pPr>
              <w:pStyle w:val="105"/>
              <w:jc w:val="center"/>
            </w:pPr>
          </w:p>
        </w:tc>
        <w:tc>
          <w:tcPr>
            <w:tcW w:w="673" w:type="pct"/>
            <w:vAlign w:val="center"/>
          </w:tcPr>
          <w:p w14:paraId="5F0F83BE">
            <w:pPr>
              <w:pStyle w:val="105"/>
              <w:jc w:val="center"/>
            </w:pPr>
            <w:r>
              <w:t>60 m</w:t>
            </w:r>
          </w:p>
        </w:tc>
        <w:tc>
          <w:tcPr>
            <w:tcW w:w="921" w:type="pct"/>
            <w:vAlign w:val="center"/>
          </w:tcPr>
          <w:p w14:paraId="2B940A4B">
            <w:pPr>
              <w:pStyle w:val="105"/>
              <w:jc w:val="center"/>
            </w:pPr>
          </w:p>
        </w:tc>
        <w:tc>
          <w:tcPr>
            <w:tcW w:w="508" w:type="pct"/>
            <w:vMerge w:val="continue"/>
            <w:vAlign w:val="center"/>
          </w:tcPr>
          <w:p w14:paraId="5AB3D0D7">
            <w:pPr>
              <w:pStyle w:val="105"/>
              <w:jc w:val="center"/>
            </w:pPr>
          </w:p>
        </w:tc>
        <w:tc>
          <w:tcPr>
            <w:tcW w:w="537" w:type="pct"/>
            <w:vMerge w:val="continue"/>
            <w:vAlign w:val="center"/>
          </w:tcPr>
          <w:p w14:paraId="4C1157B4">
            <w:pPr>
              <w:pStyle w:val="105"/>
              <w:jc w:val="center"/>
            </w:pPr>
          </w:p>
        </w:tc>
        <w:tc>
          <w:tcPr>
            <w:tcW w:w="470" w:type="pct"/>
            <w:vMerge w:val="continue"/>
            <w:vAlign w:val="center"/>
          </w:tcPr>
          <w:p w14:paraId="07A7B32B">
            <w:pPr>
              <w:pStyle w:val="105"/>
              <w:jc w:val="center"/>
            </w:pPr>
          </w:p>
        </w:tc>
        <w:tc>
          <w:tcPr>
            <w:tcW w:w="469" w:type="pct"/>
            <w:vMerge w:val="continue"/>
            <w:vAlign w:val="center"/>
          </w:tcPr>
          <w:p w14:paraId="0A01A95B">
            <w:pPr>
              <w:pStyle w:val="105"/>
              <w:jc w:val="center"/>
            </w:pPr>
          </w:p>
        </w:tc>
      </w:tr>
      <w:tr w14:paraId="701DD4A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649A6415">
            <w:pPr>
              <w:pStyle w:val="105"/>
              <w:jc w:val="center"/>
            </w:pPr>
          </w:p>
        </w:tc>
        <w:tc>
          <w:tcPr>
            <w:tcW w:w="874" w:type="pct"/>
            <w:vMerge w:val="restart"/>
            <w:vAlign w:val="center"/>
          </w:tcPr>
          <w:p w14:paraId="51546EB8">
            <w:pPr>
              <w:pStyle w:val="105"/>
              <w:jc w:val="center"/>
            </w:pPr>
            <w:r>
              <w:t>2</w:t>
            </w:r>
            <w:r>
              <w:rPr>
                <w:rFonts w:hint="eastAsia"/>
              </w:rPr>
              <w:t>月</w:t>
            </w:r>
            <w:r>
              <w:t>27</w:t>
            </w:r>
            <w:r>
              <w:rPr>
                <w:rFonts w:hint="eastAsia"/>
              </w:rPr>
              <w:t>日</w:t>
            </w:r>
          </w:p>
          <w:p w14:paraId="3F8573B7">
            <w:pPr>
              <w:pStyle w:val="105"/>
              <w:jc w:val="center"/>
            </w:pPr>
            <w:r>
              <w:rPr>
                <w:rFonts w:hint="eastAsia"/>
              </w:rPr>
              <w:t>昼间</w:t>
            </w:r>
          </w:p>
        </w:tc>
        <w:tc>
          <w:tcPr>
            <w:tcW w:w="673" w:type="pct"/>
            <w:vAlign w:val="center"/>
          </w:tcPr>
          <w:p w14:paraId="714D7E6F">
            <w:pPr>
              <w:pStyle w:val="105"/>
              <w:jc w:val="center"/>
            </w:pPr>
            <w:r>
              <w:t>0 m</w:t>
            </w:r>
          </w:p>
        </w:tc>
        <w:tc>
          <w:tcPr>
            <w:tcW w:w="921" w:type="pct"/>
            <w:vAlign w:val="center"/>
          </w:tcPr>
          <w:p w14:paraId="608C2B4D">
            <w:pPr>
              <w:pStyle w:val="105"/>
              <w:jc w:val="center"/>
            </w:pPr>
          </w:p>
        </w:tc>
        <w:tc>
          <w:tcPr>
            <w:tcW w:w="508" w:type="pct"/>
            <w:vMerge w:val="restart"/>
            <w:vAlign w:val="center"/>
          </w:tcPr>
          <w:p w14:paraId="13C483B6">
            <w:pPr>
              <w:pStyle w:val="105"/>
              <w:jc w:val="center"/>
            </w:pPr>
          </w:p>
        </w:tc>
        <w:tc>
          <w:tcPr>
            <w:tcW w:w="537" w:type="pct"/>
            <w:vMerge w:val="restart"/>
            <w:vAlign w:val="center"/>
          </w:tcPr>
          <w:p w14:paraId="0943B465">
            <w:pPr>
              <w:pStyle w:val="105"/>
              <w:jc w:val="center"/>
            </w:pPr>
          </w:p>
        </w:tc>
        <w:tc>
          <w:tcPr>
            <w:tcW w:w="470" w:type="pct"/>
            <w:vMerge w:val="restart"/>
            <w:vAlign w:val="center"/>
          </w:tcPr>
          <w:p w14:paraId="50F749F2">
            <w:pPr>
              <w:pStyle w:val="105"/>
              <w:jc w:val="center"/>
            </w:pPr>
            <w:r>
              <w:t>2</w:t>
            </w:r>
            <w:r>
              <w:rPr>
                <w:rFonts w:hint="eastAsia"/>
              </w:rPr>
              <w:t>类</w:t>
            </w:r>
          </w:p>
        </w:tc>
        <w:tc>
          <w:tcPr>
            <w:tcW w:w="469" w:type="pct"/>
            <w:vMerge w:val="restart"/>
            <w:vAlign w:val="center"/>
          </w:tcPr>
          <w:p w14:paraId="5BE8E9E4">
            <w:pPr>
              <w:pStyle w:val="105"/>
              <w:jc w:val="center"/>
            </w:pPr>
            <w:r>
              <w:rPr>
                <w:rFonts w:hint="eastAsia"/>
              </w:rPr>
              <w:t>达标</w:t>
            </w:r>
          </w:p>
        </w:tc>
      </w:tr>
      <w:tr w14:paraId="754700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A03D4EC">
            <w:pPr>
              <w:pStyle w:val="105"/>
              <w:jc w:val="center"/>
            </w:pPr>
          </w:p>
        </w:tc>
        <w:tc>
          <w:tcPr>
            <w:tcW w:w="874" w:type="pct"/>
            <w:vMerge w:val="continue"/>
            <w:vAlign w:val="center"/>
          </w:tcPr>
          <w:p w14:paraId="442919BC">
            <w:pPr>
              <w:pStyle w:val="105"/>
              <w:jc w:val="center"/>
            </w:pPr>
          </w:p>
        </w:tc>
        <w:tc>
          <w:tcPr>
            <w:tcW w:w="673" w:type="pct"/>
            <w:vAlign w:val="center"/>
          </w:tcPr>
          <w:p w14:paraId="6EB786A2">
            <w:pPr>
              <w:pStyle w:val="105"/>
              <w:jc w:val="center"/>
            </w:pPr>
            <w:r>
              <w:t>20 m</w:t>
            </w:r>
          </w:p>
        </w:tc>
        <w:tc>
          <w:tcPr>
            <w:tcW w:w="921" w:type="pct"/>
            <w:vAlign w:val="center"/>
          </w:tcPr>
          <w:p w14:paraId="63229913">
            <w:pPr>
              <w:pStyle w:val="105"/>
              <w:jc w:val="center"/>
            </w:pPr>
          </w:p>
        </w:tc>
        <w:tc>
          <w:tcPr>
            <w:tcW w:w="508" w:type="pct"/>
            <w:vMerge w:val="continue"/>
            <w:vAlign w:val="center"/>
          </w:tcPr>
          <w:p w14:paraId="4DC9AE5E">
            <w:pPr>
              <w:pStyle w:val="105"/>
              <w:jc w:val="center"/>
            </w:pPr>
          </w:p>
        </w:tc>
        <w:tc>
          <w:tcPr>
            <w:tcW w:w="537" w:type="pct"/>
            <w:vMerge w:val="continue"/>
            <w:vAlign w:val="center"/>
          </w:tcPr>
          <w:p w14:paraId="1DB74039">
            <w:pPr>
              <w:pStyle w:val="105"/>
              <w:jc w:val="center"/>
            </w:pPr>
          </w:p>
        </w:tc>
        <w:tc>
          <w:tcPr>
            <w:tcW w:w="470" w:type="pct"/>
            <w:vMerge w:val="continue"/>
            <w:vAlign w:val="center"/>
          </w:tcPr>
          <w:p w14:paraId="11759362">
            <w:pPr>
              <w:pStyle w:val="105"/>
              <w:jc w:val="center"/>
            </w:pPr>
          </w:p>
        </w:tc>
        <w:tc>
          <w:tcPr>
            <w:tcW w:w="469" w:type="pct"/>
            <w:vMerge w:val="continue"/>
            <w:vAlign w:val="center"/>
          </w:tcPr>
          <w:p w14:paraId="034F1A73">
            <w:pPr>
              <w:pStyle w:val="105"/>
              <w:jc w:val="center"/>
            </w:pPr>
          </w:p>
        </w:tc>
      </w:tr>
      <w:tr w14:paraId="13F400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79558E27">
            <w:pPr>
              <w:pStyle w:val="105"/>
              <w:jc w:val="center"/>
            </w:pPr>
          </w:p>
        </w:tc>
        <w:tc>
          <w:tcPr>
            <w:tcW w:w="874" w:type="pct"/>
            <w:vMerge w:val="continue"/>
            <w:vAlign w:val="center"/>
          </w:tcPr>
          <w:p w14:paraId="5A4F7E51">
            <w:pPr>
              <w:pStyle w:val="105"/>
              <w:jc w:val="center"/>
            </w:pPr>
          </w:p>
        </w:tc>
        <w:tc>
          <w:tcPr>
            <w:tcW w:w="673" w:type="pct"/>
            <w:vAlign w:val="center"/>
          </w:tcPr>
          <w:p w14:paraId="7FD6B23A">
            <w:pPr>
              <w:pStyle w:val="105"/>
              <w:jc w:val="center"/>
            </w:pPr>
            <w:r>
              <w:t>40 m</w:t>
            </w:r>
          </w:p>
        </w:tc>
        <w:tc>
          <w:tcPr>
            <w:tcW w:w="921" w:type="pct"/>
            <w:vAlign w:val="center"/>
          </w:tcPr>
          <w:p w14:paraId="2EBCDDE4">
            <w:pPr>
              <w:pStyle w:val="105"/>
              <w:jc w:val="center"/>
            </w:pPr>
          </w:p>
        </w:tc>
        <w:tc>
          <w:tcPr>
            <w:tcW w:w="508" w:type="pct"/>
            <w:vMerge w:val="continue"/>
            <w:vAlign w:val="center"/>
          </w:tcPr>
          <w:p w14:paraId="61ED15EC">
            <w:pPr>
              <w:pStyle w:val="105"/>
              <w:jc w:val="center"/>
            </w:pPr>
          </w:p>
        </w:tc>
        <w:tc>
          <w:tcPr>
            <w:tcW w:w="537" w:type="pct"/>
            <w:vMerge w:val="continue"/>
            <w:vAlign w:val="center"/>
          </w:tcPr>
          <w:p w14:paraId="3E610A61">
            <w:pPr>
              <w:pStyle w:val="105"/>
              <w:jc w:val="center"/>
            </w:pPr>
          </w:p>
        </w:tc>
        <w:tc>
          <w:tcPr>
            <w:tcW w:w="470" w:type="pct"/>
            <w:vMerge w:val="continue"/>
            <w:vAlign w:val="center"/>
          </w:tcPr>
          <w:p w14:paraId="4C1C7E54">
            <w:pPr>
              <w:pStyle w:val="105"/>
              <w:jc w:val="center"/>
            </w:pPr>
          </w:p>
        </w:tc>
        <w:tc>
          <w:tcPr>
            <w:tcW w:w="469" w:type="pct"/>
            <w:vMerge w:val="continue"/>
            <w:vAlign w:val="center"/>
          </w:tcPr>
          <w:p w14:paraId="59E6F421">
            <w:pPr>
              <w:pStyle w:val="105"/>
              <w:jc w:val="center"/>
            </w:pPr>
          </w:p>
        </w:tc>
      </w:tr>
      <w:tr w14:paraId="753BA8F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50131C0">
            <w:pPr>
              <w:pStyle w:val="105"/>
              <w:jc w:val="center"/>
            </w:pPr>
          </w:p>
        </w:tc>
        <w:tc>
          <w:tcPr>
            <w:tcW w:w="874" w:type="pct"/>
            <w:vMerge w:val="continue"/>
            <w:vAlign w:val="center"/>
          </w:tcPr>
          <w:p w14:paraId="1CA90D0E">
            <w:pPr>
              <w:pStyle w:val="105"/>
              <w:jc w:val="center"/>
            </w:pPr>
          </w:p>
        </w:tc>
        <w:tc>
          <w:tcPr>
            <w:tcW w:w="673" w:type="pct"/>
            <w:vAlign w:val="center"/>
          </w:tcPr>
          <w:p w14:paraId="2E9CFA81">
            <w:pPr>
              <w:pStyle w:val="105"/>
              <w:jc w:val="center"/>
            </w:pPr>
            <w:r>
              <w:t>60 m</w:t>
            </w:r>
          </w:p>
        </w:tc>
        <w:tc>
          <w:tcPr>
            <w:tcW w:w="921" w:type="pct"/>
            <w:vAlign w:val="center"/>
          </w:tcPr>
          <w:p w14:paraId="74ED016F">
            <w:pPr>
              <w:pStyle w:val="105"/>
              <w:jc w:val="center"/>
            </w:pPr>
          </w:p>
        </w:tc>
        <w:tc>
          <w:tcPr>
            <w:tcW w:w="508" w:type="pct"/>
            <w:vMerge w:val="continue"/>
            <w:vAlign w:val="center"/>
          </w:tcPr>
          <w:p w14:paraId="7D07B7D4">
            <w:pPr>
              <w:pStyle w:val="105"/>
              <w:jc w:val="center"/>
            </w:pPr>
          </w:p>
        </w:tc>
        <w:tc>
          <w:tcPr>
            <w:tcW w:w="537" w:type="pct"/>
            <w:vMerge w:val="continue"/>
            <w:vAlign w:val="center"/>
          </w:tcPr>
          <w:p w14:paraId="438376B6">
            <w:pPr>
              <w:pStyle w:val="105"/>
              <w:jc w:val="center"/>
            </w:pPr>
          </w:p>
        </w:tc>
        <w:tc>
          <w:tcPr>
            <w:tcW w:w="470" w:type="pct"/>
            <w:vMerge w:val="continue"/>
            <w:vAlign w:val="center"/>
          </w:tcPr>
          <w:p w14:paraId="549D0F5D">
            <w:pPr>
              <w:pStyle w:val="105"/>
              <w:jc w:val="center"/>
            </w:pPr>
          </w:p>
        </w:tc>
        <w:tc>
          <w:tcPr>
            <w:tcW w:w="469" w:type="pct"/>
            <w:vMerge w:val="continue"/>
            <w:vAlign w:val="center"/>
          </w:tcPr>
          <w:p w14:paraId="11C2D7C1">
            <w:pPr>
              <w:pStyle w:val="105"/>
              <w:jc w:val="center"/>
            </w:pPr>
          </w:p>
        </w:tc>
      </w:tr>
      <w:tr w14:paraId="0F2A7D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262E0FE8">
            <w:pPr>
              <w:pStyle w:val="105"/>
              <w:jc w:val="center"/>
            </w:pPr>
          </w:p>
        </w:tc>
        <w:tc>
          <w:tcPr>
            <w:tcW w:w="874" w:type="pct"/>
            <w:vMerge w:val="restart"/>
            <w:vAlign w:val="center"/>
          </w:tcPr>
          <w:p w14:paraId="0A985DBA">
            <w:pPr>
              <w:pStyle w:val="105"/>
              <w:jc w:val="center"/>
            </w:pPr>
            <w:bookmarkStart w:id="560" w:name="hmcheck_285d7aa7d9144784b78940b50c9bd834"/>
            <w:r>
              <w:rPr>
                <w:shd w:val="clear" w:fill="FFAFAA"/>
              </w:rPr>
              <w:t>2</w:t>
            </w:r>
            <w:r>
              <w:rPr>
                <w:rFonts w:hint="eastAsia"/>
                <w:shd w:val="clear" w:fill="FFAFAA"/>
              </w:rPr>
              <w:t>月</w:t>
            </w:r>
            <w:r>
              <w:rPr>
                <w:shd w:val="clear" w:fill="FFAFAA"/>
              </w:rPr>
              <w:t>27</w:t>
            </w:r>
            <w:bookmarkEnd w:id="560"/>
            <w:bookmarkStart w:id="561" w:name="hmcheck_994ca1353b3b468c82210d5776f4eb92"/>
            <w:r>
              <w:rPr>
                <w:shd w:val="clear" w:fill="FFAFAA"/>
              </w:rPr>
              <w:t>~</w:t>
            </w:r>
            <w:bookmarkEnd w:id="561"/>
            <w:r>
              <w:t>28</w:t>
            </w:r>
            <w:r>
              <w:rPr>
                <w:rFonts w:hint="eastAsia"/>
              </w:rPr>
              <w:t>日</w:t>
            </w:r>
          </w:p>
          <w:p w14:paraId="77DCDF18">
            <w:pPr>
              <w:pStyle w:val="105"/>
              <w:jc w:val="center"/>
            </w:pPr>
            <w:r>
              <w:rPr>
                <w:rFonts w:hint="eastAsia"/>
              </w:rPr>
              <w:t>夜间</w:t>
            </w:r>
          </w:p>
        </w:tc>
        <w:tc>
          <w:tcPr>
            <w:tcW w:w="673" w:type="pct"/>
            <w:vAlign w:val="center"/>
          </w:tcPr>
          <w:p w14:paraId="572B6964">
            <w:pPr>
              <w:pStyle w:val="105"/>
              <w:jc w:val="center"/>
            </w:pPr>
            <w:r>
              <w:t>0 m</w:t>
            </w:r>
          </w:p>
        </w:tc>
        <w:tc>
          <w:tcPr>
            <w:tcW w:w="921" w:type="pct"/>
            <w:vAlign w:val="center"/>
          </w:tcPr>
          <w:p w14:paraId="10575494">
            <w:pPr>
              <w:pStyle w:val="105"/>
              <w:jc w:val="center"/>
            </w:pPr>
          </w:p>
        </w:tc>
        <w:tc>
          <w:tcPr>
            <w:tcW w:w="508" w:type="pct"/>
            <w:vMerge w:val="restart"/>
            <w:vAlign w:val="center"/>
          </w:tcPr>
          <w:p w14:paraId="0C2DB891">
            <w:pPr>
              <w:pStyle w:val="105"/>
              <w:jc w:val="center"/>
            </w:pPr>
          </w:p>
        </w:tc>
        <w:tc>
          <w:tcPr>
            <w:tcW w:w="537" w:type="pct"/>
            <w:vMerge w:val="restart"/>
            <w:vAlign w:val="center"/>
          </w:tcPr>
          <w:p w14:paraId="7046FB75">
            <w:pPr>
              <w:pStyle w:val="105"/>
              <w:jc w:val="center"/>
            </w:pPr>
          </w:p>
        </w:tc>
        <w:tc>
          <w:tcPr>
            <w:tcW w:w="470" w:type="pct"/>
            <w:vMerge w:val="restart"/>
            <w:vAlign w:val="center"/>
          </w:tcPr>
          <w:p w14:paraId="4BD003AB">
            <w:pPr>
              <w:pStyle w:val="105"/>
              <w:jc w:val="center"/>
            </w:pPr>
            <w:r>
              <w:t>2</w:t>
            </w:r>
            <w:r>
              <w:rPr>
                <w:rFonts w:hint="eastAsia"/>
              </w:rPr>
              <w:t>类</w:t>
            </w:r>
          </w:p>
        </w:tc>
        <w:tc>
          <w:tcPr>
            <w:tcW w:w="469" w:type="pct"/>
            <w:vMerge w:val="restart"/>
            <w:vAlign w:val="center"/>
          </w:tcPr>
          <w:p w14:paraId="56EFA845">
            <w:pPr>
              <w:pStyle w:val="105"/>
              <w:jc w:val="center"/>
            </w:pPr>
            <w:r>
              <w:rPr>
                <w:rFonts w:hint="eastAsia"/>
              </w:rPr>
              <w:t>达标</w:t>
            </w:r>
          </w:p>
        </w:tc>
      </w:tr>
      <w:tr w14:paraId="7940DEE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52891839">
            <w:pPr>
              <w:pStyle w:val="105"/>
              <w:jc w:val="center"/>
            </w:pPr>
          </w:p>
        </w:tc>
        <w:tc>
          <w:tcPr>
            <w:tcW w:w="874" w:type="pct"/>
            <w:vMerge w:val="continue"/>
            <w:vAlign w:val="center"/>
          </w:tcPr>
          <w:p w14:paraId="334EF942">
            <w:pPr>
              <w:pStyle w:val="105"/>
              <w:jc w:val="center"/>
            </w:pPr>
          </w:p>
        </w:tc>
        <w:tc>
          <w:tcPr>
            <w:tcW w:w="673" w:type="pct"/>
            <w:vAlign w:val="center"/>
          </w:tcPr>
          <w:p w14:paraId="0DEC4933">
            <w:pPr>
              <w:pStyle w:val="105"/>
              <w:jc w:val="center"/>
            </w:pPr>
            <w:r>
              <w:t>20 m</w:t>
            </w:r>
          </w:p>
        </w:tc>
        <w:tc>
          <w:tcPr>
            <w:tcW w:w="921" w:type="pct"/>
            <w:vAlign w:val="center"/>
          </w:tcPr>
          <w:p w14:paraId="01728597">
            <w:pPr>
              <w:pStyle w:val="105"/>
              <w:jc w:val="center"/>
            </w:pPr>
          </w:p>
        </w:tc>
        <w:tc>
          <w:tcPr>
            <w:tcW w:w="508" w:type="pct"/>
            <w:vMerge w:val="continue"/>
            <w:vAlign w:val="center"/>
          </w:tcPr>
          <w:p w14:paraId="5E10CA15">
            <w:pPr>
              <w:pStyle w:val="105"/>
              <w:jc w:val="center"/>
            </w:pPr>
          </w:p>
        </w:tc>
        <w:tc>
          <w:tcPr>
            <w:tcW w:w="537" w:type="pct"/>
            <w:vMerge w:val="continue"/>
            <w:vAlign w:val="center"/>
          </w:tcPr>
          <w:p w14:paraId="4A75BC78">
            <w:pPr>
              <w:pStyle w:val="105"/>
              <w:jc w:val="center"/>
            </w:pPr>
          </w:p>
        </w:tc>
        <w:tc>
          <w:tcPr>
            <w:tcW w:w="470" w:type="pct"/>
            <w:vMerge w:val="continue"/>
            <w:vAlign w:val="center"/>
          </w:tcPr>
          <w:p w14:paraId="1D42CA23">
            <w:pPr>
              <w:pStyle w:val="105"/>
              <w:jc w:val="center"/>
            </w:pPr>
          </w:p>
        </w:tc>
        <w:tc>
          <w:tcPr>
            <w:tcW w:w="469" w:type="pct"/>
            <w:vMerge w:val="continue"/>
            <w:vAlign w:val="center"/>
          </w:tcPr>
          <w:p w14:paraId="392CDAA8">
            <w:pPr>
              <w:pStyle w:val="105"/>
              <w:jc w:val="center"/>
            </w:pPr>
          </w:p>
        </w:tc>
      </w:tr>
      <w:tr w14:paraId="757A69D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413191E6">
            <w:pPr>
              <w:pStyle w:val="105"/>
              <w:jc w:val="center"/>
            </w:pPr>
          </w:p>
        </w:tc>
        <w:tc>
          <w:tcPr>
            <w:tcW w:w="874" w:type="pct"/>
            <w:vMerge w:val="continue"/>
            <w:vAlign w:val="center"/>
          </w:tcPr>
          <w:p w14:paraId="6F00F7C8">
            <w:pPr>
              <w:pStyle w:val="105"/>
              <w:jc w:val="center"/>
            </w:pPr>
          </w:p>
        </w:tc>
        <w:tc>
          <w:tcPr>
            <w:tcW w:w="673" w:type="pct"/>
            <w:vAlign w:val="center"/>
          </w:tcPr>
          <w:p w14:paraId="2E5587F5">
            <w:pPr>
              <w:pStyle w:val="105"/>
              <w:jc w:val="center"/>
            </w:pPr>
            <w:r>
              <w:t>40 m</w:t>
            </w:r>
          </w:p>
        </w:tc>
        <w:tc>
          <w:tcPr>
            <w:tcW w:w="921" w:type="pct"/>
            <w:vAlign w:val="center"/>
          </w:tcPr>
          <w:p w14:paraId="1EBBB30D">
            <w:pPr>
              <w:pStyle w:val="105"/>
              <w:jc w:val="center"/>
            </w:pPr>
          </w:p>
        </w:tc>
        <w:tc>
          <w:tcPr>
            <w:tcW w:w="508" w:type="pct"/>
            <w:vMerge w:val="continue"/>
            <w:vAlign w:val="center"/>
          </w:tcPr>
          <w:p w14:paraId="19A3E83A">
            <w:pPr>
              <w:pStyle w:val="105"/>
              <w:jc w:val="center"/>
            </w:pPr>
          </w:p>
        </w:tc>
        <w:tc>
          <w:tcPr>
            <w:tcW w:w="537" w:type="pct"/>
            <w:vMerge w:val="continue"/>
            <w:vAlign w:val="center"/>
          </w:tcPr>
          <w:p w14:paraId="231367EB">
            <w:pPr>
              <w:pStyle w:val="105"/>
              <w:jc w:val="center"/>
            </w:pPr>
          </w:p>
        </w:tc>
        <w:tc>
          <w:tcPr>
            <w:tcW w:w="470" w:type="pct"/>
            <w:vMerge w:val="continue"/>
            <w:vAlign w:val="center"/>
          </w:tcPr>
          <w:p w14:paraId="3335286A">
            <w:pPr>
              <w:pStyle w:val="105"/>
              <w:jc w:val="center"/>
            </w:pPr>
          </w:p>
        </w:tc>
        <w:tc>
          <w:tcPr>
            <w:tcW w:w="469" w:type="pct"/>
            <w:vMerge w:val="continue"/>
            <w:vAlign w:val="center"/>
          </w:tcPr>
          <w:p w14:paraId="6A915BB0">
            <w:pPr>
              <w:pStyle w:val="105"/>
              <w:jc w:val="center"/>
            </w:pPr>
          </w:p>
        </w:tc>
      </w:tr>
      <w:tr w14:paraId="77FE16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7" w:hRule="atLeast"/>
          <w:tblHeader/>
          <w:jc w:val="center"/>
        </w:trPr>
        <w:tc>
          <w:tcPr>
            <w:tcW w:w="547" w:type="pct"/>
            <w:vMerge w:val="continue"/>
            <w:vAlign w:val="center"/>
          </w:tcPr>
          <w:p w14:paraId="593E651C">
            <w:pPr>
              <w:pStyle w:val="105"/>
              <w:jc w:val="center"/>
            </w:pPr>
          </w:p>
        </w:tc>
        <w:tc>
          <w:tcPr>
            <w:tcW w:w="874" w:type="pct"/>
            <w:vMerge w:val="continue"/>
            <w:vAlign w:val="center"/>
          </w:tcPr>
          <w:p w14:paraId="491BF041">
            <w:pPr>
              <w:pStyle w:val="105"/>
              <w:jc w:val="center"/>
            </w:pPr>
          </w:p>
        </w:tc>
        <w:tc>
          <w:tcPr>
            <w:tcW w:w="673" w:type="pct"/>
            <w:vAlign w:val="center"/>
          </w:tcPr>
          <w:p w14:paraId="0D966896">
            <w:pPr>
              <w:pStyle w:val="105"/>
              <w:jc w:val="center"/>
            </w:pPr>
            <w:r>
              <w:t>60 m</w:t>
            </w:r>
          </w:p>
        </w:tc>
        <w:tc>
          <w:tcPr>
            <w:tcW w:w="921" w:type="pct"/>
            <w:vAlign w:val="center"/>
          </w:tcPr>
          <w:p w14:paraId="6D3EB73B">
            <w:pPr>
              <w:pStyle w:val="105"/>
              <w:jc w:val="center"/>
            </w:pPr>
          </w:p>
        </w:tc>
        <w:tc>
          <w:tcPr>
            <w:tcW w:w="508" w:type="pct"/>
            <w:vMerge w:val="continue"/>
            <w:vAlign w:val="center"/>
          </w:tcPr>
          <w:p w14:paraId="0378B3C3">
            <w:pPr>
              <w:pStyle w:val="105"/>
              <w:jc w:val="center"/>
            </w:pPr>
          </w:p>
        </w:tc>
        <w:tc>
          <w:tcPr>
            <w:tcW w:w="537" w:type="pct"/>
            <w:vMerge w:val="continue"/>
            <w:vAlign w:val="center"/>
          </w:tcPr>
          <w:p w14:paraId="447C696C">
            <w:pPr>
              <w:pStyle w:val="105"/>
              <w:jc w:val="center"/>
            </w:pPr>
          </w:p>
        </w:tc>
        <w:tc>
          <w:tcPr>
            <w:tcW w:w="470" w:type="pct"/>
            <w:vMerge w:val="continue"/>
            <w:vAlign w:val="center"/>
          </w:tcPr>
          <w:p w14:paraId="39706F15">
            <w:pPr>
              <w:pStyle w:val="105"/>
              <w:jc w:val="center"/>
            </w:pPr>
          </w:p>
        </w:tc>
        <w:tc>
          <w:tcPr>
            <w:tcW w:w="469" w:type="pct"/>
            <w:vMerge w:val="continue"/>
            <w:vAlign w:val="center"/>
          </w:tcPr>
          <w:p w14:paraId="2AD72860">
            <w:pPr>
              <w:pStyle w:val="105"/>
              <w:jc w:val="center"/>
            </w:pPr>
          </w:p>
        </w:tc>
      </w:tr>
      <w:bookmarkEnd w:id="548"/>
    </w:tbl>
    <w:p w14:paraId="0370628B">
      <w:pPr>
        <w:pStyle w:val="124"/>
        <w:spacing w:before="163"/>
      </w:pPr>
      <w:r>
        <w:t>（2）声环境质量现状评价</w:t>
      </w:r>
      <w:r>
        <w:rPr>
          <w:rFonts w:hint="eastAsia"/>
        </w:rPr>
        <w:t>：目前区域内主要声源为交通噪声、生活噪声。由下表可知，起点G</w:t>
      </w:r>
      <w:r>
        <w:t>324</w:t>
      </w:r>
      <w:r>
        <w:rPr>
          <w:rFonts w:hint="eastAsia"/>
        </w:rPr>
        <w:t>国道交通噪声水平断面调查结果昼间2</w:t>
      </w:r>
      <w:r>
        <w:t>0</w:t>
      </w:r>
      <w:r>
        <w:rPr>
          <w:rFonts w:hint="eastAsia"/>
        </w:rPr>
        <w:t>m、4</w:t>
      </w:r>
      <w:r>
        <w:t>0</w:t>
      </w:r>
      <w:r>
        <w:rPr>
          <w:rFonts w:hint="eastAsia"/>
        </w:rPr>
        <w:t>m能满足4a类标准，昼间0m和夜间均超4a类标准，超标主要原因为国道车流量大，大型车多；</w:t>
      </w:r>
      <w:r>
        <w:t>声环境质量现状评价</w:t>
      </w:r>
      <w:r>
        <w:rPr>
          <w:rFonts w:hint="eastAsia"/>
        </w:rPr>
        <w:t>：目前区域内主要声源为生活噪声和交通噪声。根据监测结果表明：评价区敏感目标</w:t>
      </w:r>
      <w:bookmarkStart w:id="562" w:name="hmcheck_a34e688c0bde4095b27a065812d9da7f"/>
      <w:r>
        <w:rPr>
          <w:rFonts w:hint="eastAsia"/>
          <w:shd w:val="clear" w:fill="FFAFAA"/>
        </w:rPr>
        <w:t>除临</w:t>
      </w:r>
      <w:bookmarkEnd w:id="562"/>
      <w:r>
        <w:rPr>
          <w:rFonts w:hint="eastAsia"/>
        </w:rPr>
        <w:t>现状G</w:t>
      </w:r>
      <w:r>
        <w:t>324</w:t>
      </w:r>
      <w:r>
        <w:rPr>
          <w:rFonts w:hint="eastAsia"/>
        </w:rPr>
        <w:t>国道一侧外，其他敏感目标声环境质量现状较好，能够达到4a类、2类标准，没有出现超标现象，总体上区域声环境质量状况较好。但G</w:t>
      </w:r>
      <w:r>
        <w:t>324</w:t>
      </w:r>
      <w:r>
        <w:rPr>
          <w:rFonts w:hint="eastAsia"/>
        </w:rPr>
        <w:t>国道一侧牌边村第一排受国道交通噪声影响，昼夜均出现超标现象。</w:t>
      </w:r>
    </w:p>
    <w:p w14:paraId="284B9487">
      <w:pPr>
        <w:pStyle w:val="116"/>
        <w:rPr>
          <w:color w:val="000000" w:themeColor="text1"/>
          <w14:textFill>
            <w14:solidFill>
              <w14:schemeClr w14:val="tx1"/>
            </w14:solidFill>
          </w14:textFill>
        </w:rPr>
      </w:pPr>
      <w:bookmarkStart w:id="563" w:name="3.4水环境现状调查与评价"/>
      <w:bookmarkEnd w:id="563"/>
      <w:bookmarkStart w:id="564" w:name="3.2.1声环境现状监测"/>
      <w:bookmarkEnd w:id="564"/>
      <w:bookmarkStart w:id="565" w:name="3.3大气环境质量现状评价"/>
      <w:bookmarkEnd w:id="565"/>
      <w:bookmarkStart w:id="566" w:name="_Toc193912378"/>
      <w:bookmarkStart w:id="567" w:name="_Toc159405471"/>
      <w:bookmarkStart w:id="568" w:name="_Toc32490"/>
      <w:r>
        <w:rPr>
          <w:color w:val="000000" w:themeColor="text1"/>
          <w14:textFill>
            <w14:solidFill>
              <w14:schemeClr w14:val="tx1"/>
            </w14:solidFill>
          </w14:textFill>
        </w:rPr>
        <w:t>生态环境现状调查与评价</w:t>
      </w:r>
      <w:bookmarkEnd w:id="566"/>
      <w:bookmarkEnd w:id="567"/>
      <w:bookmarkEnd w:id="568"/>
    </w:p>
    <w:p w14:paraId="0BE7A876">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生态功能区划</w:t>
      </w:r>
    </w:p>
    <w:p w14:paraId="753C0236">
      <w:pPr>
        <w:ind w:firstLine="480"/>
        <w:rPr>
          <w:strike/>
          <w:color w:val="000000" w:themeColor="text1"/>
          <w14:textFill>
            <w14:solidFill>
              <w14:schemeClr w14:val="tx1"/>
            </w14:solidFill>
          </w14:textFill>
        </w:rPr>
      </w:pPr>
      <w:r>
        <w:rPr>
          <w:rFonts w:hint="eastAsia"/>
          <w:color w:val="000000" w:themeColor="text1"/>
          <w14:textFill>
            <w14:solidFill>
              <w14:schemeClr w14:val="tx1"/>
            </w14:solidFill>
          </w14:textFill>
        </w:rPr>
        <w:t>①福建省生态功能区划：根据《福建省人民政府关于印发福建省生态功能区划的通知》（闽政文〔2010〕26号），线路所在地的生态功能单元为“</w:t>
      </w:r>
      <w:r>
        <w:rPr>
          <w:rFonts w:cs="Times New Roman"/>
          <w:color w:val="000000" w:themeColor="text1"/>
          <w:kern w:val="0"/>
          <w:szCs w:val="24"/>
          <w:lang w:val="zh-CN"/>
          <w14:textFill>
            <w14:solidFill>
              <w14:schemeClr w14:val="tx1"/>
            </w14:solidFill>
          </w14:textFill>
        </w:rPr>
        <w:t>Ⅱ闽东南生态区</w:t>
      </w:r>
      <w:r>
        <w:rPr>
          <w:rFonts w:hint="eastAsia" w:cs="Times New Roman"/>
          <w:color w:val="000000" w:themeColor="text1"/>
          <w:kern w:val="0"/>
          <w:szCs w:val="24"/>
          <w:lang w:val="zh-CN"/>
          <w14:textFill>
            <w14:solidFill>
              <w14:schemeClr w14:val="tx1"/>
            </w14:solidFill>
          </w14:textFill>
        </w:rPr>
        <w:t>—</w:t>
      </w:r>
      <w:r>
        <w:rPr>
          <w:rFonts w:cs="Times New Roman"/>
          <w:color w:val="000000" w:themeColor="text1"/>
          <w:kern w:val="0"/>
          <w:szCs w:val="24"/>
          <w:lang w:val="zh-CN"/>
          <w14:textFill>
            <w14:solidFill>
              <w14:schemeClr w14:val="tx1"/>
            </w14:solidFill>
          </w14:textFill>
        </w:rPr>
        <w:t>Ⅱ</w:t>
      </w:r>
      <w:r>
        <w:rPr>
          <w:rFonts w:cs="Times New Roman"/>
          <w:color w:val="000000" w:themeColor="text1"/>
          <w:kern w:val="0"/>
          <w:szCs w:val="24"/>
          <w:vertAlign w:val="sub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闽东南沿海台丘平原与近岸海域生态</w:t>
      </w:r>
      <w:r>
        <w:rPr>
          <w:rFonts w:hint="eastAsia"/>
          <w:color w:val="000000" w:themeColor="text1"/>
          <w:kern w:val="0"/>
          <w:szCs w:val="24"/>
          <w:lang w:val="zh-CN"/>
          <w14:textFill>
            <w14:solidFill>
              <w14:schemeClr w14:val="tx1"/>
            </w14:solidFill>
          </w14:textFill>
        </w:rPr>
        <w:t>亚</w:t>
      </w:r>
      <w:r>
        <w:rPr>
          <w:color w:val="000000" w:themeColor="text1"/>
          <w:kern w:val="0"/>
          <w:szCs w:val="24"/>
          <w:lang w:val="zh-CN"/>
          <w14:textFill>
            <w14:solidFill>
              <w14:schemeClr w14:val="tx1"/>
            </w14:solidFill>
          </w14:textFill>
        </w:rPr>
        <w:t>区</w:t>
      </w:r>
      <w:r>
        <w:rPr>
          <w:rFonts w:hint="eastAsia"/>
          <w:color w:val="000000" w:themeColor="text1"/>
          <w:kern w:val="0"/>
          <w:szCs w:val="24"/>
          <w:lang w:val="zh-CN"/>
          <w14:textFill>
            <w14:solidFill>
              <w14:schemeClr w14:val="tx1"/>
            </w14:solidFill>
          </w14:textFill>
        </w:rPr>
        <w:t>——</w:t>
      </w:r>
      <w:r>
        <w:rPr>
          <w:rFonts w:cs="Times New Roman"/>
          <w:color w:val="000000" w:themeColor="text1"/>
          <w:kern w:val="0"/>
          <w:szCs w:val="24"/>
          <w:lang w:val="zh-CN"/>
          <w14:textFill>
            <w14:solidFill>
              <w14:schemeClr w14:val="tx1"/>
            </w14:solidFill>
          </w14:textFill>
        </w:rPr>
        <w:t>5203 福 清一平潭城镇和集约化高优农业生态功能区</w:t>
      </w:r>
      <w:r>
        <w:rPr>
          <w:rFonts w:hint="eastAsia"/>
          <w:color w:val="000000" w:themeColor="text1"/>
          <w14:textFill>
            <w14:solidFill>
              <w14:schemeClr w14:val="tx1"/>
            </w14:solidFill>
          </w14:textFill>
        </w:rPr>
        <w:t>”，其主要生态系统服务功能为：福清城镇和集约化高优农业生态功能区</w:t>
      </w:r>
      <w:r>
        <w:rPr>
          <w:color w:val="000000" w:themeColor="text1"/>
          <w14:textFill>
            <w14:solidFill>
              <w14:schemeClr w14:val="tx1"/>
            </w14:solidFill>
          </w14:textFill>
        </w:rPr>
        <w:t>。项目与</w:t>
      </w:r>
      <w:r>
        <w:rPr>
          <w:rFonts w:hint="eastAsia"/>
          <w:color w:val="000000" w:themeColor="text1"/>
          <w14:textFill>
            <w14:solidFill>
              <w14:schemeClr w14:val="tx1"/>
            </w14:solidFill>
          </w14:textFill>
        </w:rPr>
        <w:t>福建省</w:t>
      </w:r>
      <w:r>
        <w:rPr>
          <w:color w:val="000000" w:themeColor="text1"/>
          <w14:textFill>
            <w14:solidFill>
              <w14:schemeClr w14:val="tx1"/>
            </w14:solidFill>
          </w14:textFill>
        </w:rPr>
        <w:t>生态功能区划位置关系图详见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_Ref148946245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图3.10-1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241099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②地方生态功能区划：根据《福清市生态功能区划》，本项目线路位于福清西南部城镇与工业环境</w:t>
      </w:r>
      <w:bookmarkStart w:id="569" w:name="hmcheck_8bd7d5e66de74e7b8ce428fce97891fe"/>
      <w:r>
        <w:rPr>
          <w:rFonts w:hint="eastAsia"/>
          <w:color w:val="000000" w:themeColor="text1"/>
          <w:shd w:val="clear" w:fill="B2E9BC"/>
          <w:lang w:eastAsia="zh-CN"/>
          <w14:textFill>
            <w14:solidFill>
              <w14:schemeClr w14:val="tx1"/>
            </w14:solidFill>
          </w14:textFill>
        </w:rPr>
        <w:t>生态</w:t>
      </w:r>
      <w:bookmarkEnd w:id="569"/>
      <w:r>
        <w:rPr>
          <w:rFonts w:hint="eastAsia"/>
          <w:color w:val="000000" w:themeColor="text1"/>
          <w14:textFill>
            <w14:solidFill>
              <w14:schemeClr w14:val="tx1"/>
            </w14:solidFill>
          </w14:textFill>
        </w:rPr>
        <w:t>功能小区（520118108）和兴化湾渔业养殖与旅游环境生态功能小区（520118112）。</w:t>
      </w:r>
      <w:r>
        <w:rPr>
          <w:color w:val="000000" w:themeColor="text1"/>
          <w14:textFill>
            <w14:solidFill>
              <w14:schemeClr w14:val="tx1"/>
            </w14:solidFill>
          </w14:textFill>
        </w:rPr>
        <w:t>项目与生态功能区划位置关系图详见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_Ref148946289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图3.10-2</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19FEE221">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区域生态系统类型与生态功能</w:t>
      </w:r>
    </w:p>
    <w:p w14:paraId="4A7EA11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生态系统类型</w:t>
      </w:r>
    </w:p>
    <w:p w14:paraId="47262C4D">
      <w:pPr>
        <w:ind w:firstLine="480"/>
        <w:rPr>
          <w:color w:val="000000" w:themeColor="text1"/>
          <w14:textFill>
            <w14:solidFill>
              <w14:schemeClr w14:val="tx1"/>
            </w14:solidFill>
          </w14:textFill>
        </w:rPr>
      </w:pPr>
      <w:r>
        <w:rPr>
          <w:color w:val="000000" w:themeColor="text1"/>
          <w14:textFill>
            <w14:solidFill>
              <w14:schemeClr w14:val="tx1"/>
            </w14:solidFill>
          </w14:textFill>
        </w:rPr>
        <w:t>依据确定的生态评价范围，经过遥感影像解译和实地调查，确定评价区</w:t>
      </w:r>
      <w:r>
        <w:rPr>
          <w:rFonts w:hint="eastAsia"/>
          <w:color w:val="000000" w:themeColor="text1"/>
          <w14:textFill>
            <w14:solidFill>
              <w14:schemeClr w14:val="tx1"/>
            </w14:solidFill>
          </w14:textFill>
        </w:rPr>
        <w:t>主要生态系统有森林生态系统、城镇生态系统、农田生态系统、湿地生态系统、灌丛生态系统等。工程评价区范围内主要是农业生态系统占比</w:t>
      </w:r>
      <w:r>
        <w:rPr>
          <w:color w:val="000000" w:themeColor="text1"/>
          <w14:textFill>
            <w14:solidFill>
              <w14:schemeClr w14:val="tx1"/>
            </w14:solidFill>
          </w14:textFill>
        </w:rPr>
        <w:t>50.07%</w:t>
      </w:r>
      <w:r>
        <w:rPr>
          <w:rFonts w:hint="eastAsia"/>
          <w:color w:val="000000" w:themeColor="text1"/>
          <w14:textFill>
            <w14:solidFill>
              <w14:schemeClr w14:val="tx1"/>
            </w14:solidFill>
          </w14:textFill>
        </w:rPr>
        <w:t>，其次是森林生态系统占比</w:t>
      </w:r>
      <w:r>
        <w:rPr>
          <w:color w:val="000000" w:themeColor="text1"/>
          <w14:textFill>
            <w14:solidFill>
              <w14:schemeClr w14:val="tx1"/>
            </w14:solidFill>
          </w14:textFill>
        </w:rPr>
        <w:t>25.5</w:t>
      </w:r>
      <w:r>
        <w:rPr>
          <w:rFonts w:hint="eastAsia"/>
          <w:color w:val="000000" w:themeColor="text1"/>
          <w14:textFill>
            <w14:solidFill>
              <w14:schemeClr w14:val="tx1"/>
            </w14:solidFill>
          </w14:textFill>
        </w:rPr>
        <w:t>%和城镇生态系统占比</w:t>
      </w:r>
      <w:r>
        <w:rPr>
          <w:color w:val="000000" w:themeColor="text1"/>
          <w14:textFill>
            <w14:solidFill>
              <w14:schemeClr w14:val="tx1"/>
            </w14:solidFill>
          </w14:textFill>
        </w:rPr>
        <w:t>14.79</w:t>
      </w:r>
      <w:r>
        <w:rPr>
          <w:rFonts w:hint="eastAsia"/>
          <w:color w:val="000000" w:themeColor="text1"/>
          <w14:textFill>
            <w14:solidFill>
              <w14:schemeClr w14:val="tx1"/>
            </w14:solidFill>
          </w14:textFill>
        </w:rPr>
        <w:t>%，其他类型的生态系统类型面积较小。项目评价范围内生态系统分布类型见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_Ref149057479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表4.3-1</w:t>
      </w:r>
      <w:r>
        <w:rPr>
          <w:color w:val="000000" w:themeColor="text1"/>
          <w14:textFill>
            <w14:solidFill>
              <w14:schemeClr w14:val="tx1"/>
            </w14:solidFill>
          </w14:textFill>
        </w:rPr>
        <w:fldChar w:fldCharType="end"/>
      </w:r>
      <w:r>
        <w:rPr>
          <w:rFonts w:hint="eastAsia"/>
          <w:b/>
          <w:bCs/>
          <w:color w:val="000000" w:themeColor="text1"/>
          <w14:textFill>
            <w14:solidFill>
              <w14:schemeClr w14:val="tx1"/>
            </w14:solidFill>
          </w14:textFill>
        </w:rPr>
        <w:t>。</w:t>
      </w:r>
      <w:r>
        <w:rPr>
          <w:rFonts w:hint="eastAsia"/>
          <w:color w:val="000000" w:themeColor="text1"/>
          <w14:textFill>
            <w14:solidFill>
              <w14:schemeClr w14:val="tx1"/>
            </w14:solidFill>
          </w14:textFill>
        </w:rPr>
        <w:t>区域生态系统主要功能为农业生态环境和水土保持等。</w:t>
      </w:r>
    </w:p>
    <w:p w14:paraId="0723035F">
      <w:pPr>
        <w:pStyle w:val="87"/>
        <w:spacing w:before="163"/>
        <w:ind w:left="480" w:firstLine="480"/>
        <w:rPr>
          <w:color w:val="000000" w:themeColor="text1"/>
          <w14:textFill>
            <w14:solidFill>
              <w14:schemeClr w14:val="tx1"/>
            </w14:solidFill>
          </w14:textFill>
        </w:rPr>
      </w:pPr>
      <w:bookmarkStart w:id="570" w:name="_Ref149057479"/>
      <w:r>
        <w:rPr>
          <w:rFonts w:hint="eastAsia"/>
          <w:color w:val="000000" w:themeColor="text1"/>
          <w14:textFill>
            <w14:solidFill>
              <w14:schemeClr w14:val="tx1"/>
            </w14:solidFill>
          </w14:textFill>
        </w:rPr>
        <w:t>项目评价</w:t>
      </w:r>
      <w:bookmarkStart w:id="571" w:name="hmcheck_8c22c693512e4c11a11d4f4be751d5d5"/>
      <w:r>
        <w:rPr>
          <w:rFonts w:hint="eastAsia"/>
          <w:color w:val="000000" w:themeColor="text1"/>
          <w:shd w:val="clear" w:fill="FFAFAA"/>
          <w14:textFill>
            <w14:solidFill>
              <w14:schemeClr w14:val="tx1"/>
            </w14:solidFill>
          </w14:textFill>
        </w:rPr>
        <w:t>区</w:t>
      </w:r>
      <w:bookmarkEnd w:id="571"/>
      <w:r>
        <w:rPr>
          <w:rFonts w:hint="eastAsia"/>
          <w:color w:val="000000" w:themeColor="text1"/>
          <w14:textFill>
            <w14:solidFill>
              <w14:schemeClr w14:val="tx1"/>
            </w14:solidFill>
          </w14:textFill>
        </w:rPr>
        <w:t>范围内生态系统类型一览表</w:t>
      </w:r>
      <w:bookmarkEnd w:id="570"/>
    </w:p>
    <w:tbl>
      <w:tblPr>
        <w:tblStyle w:val="157"/>
        <w:tblW w:w="9072"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34"/>
        <w:gridCol w:w="884"/>
        <w:gridCol w:w="850"/>
        <w:gridCol w:w="993"/>
        <w:gridCol w:w="992"/>
        <w:gridCol w:w="4819"/>
      </w:tblGrid>
      <w:tr w14:paraId="435D676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5" w:hRule="atLeast"/>
          <w:tblHeader/>
        </w:trPr>
        <w:tc>
          <w:tcPr>
            <w:tcW w:w="534" w:type="dxa"/>
            <w:noWrap/>
            <w:tcMar>
              <w:left w:w="57" w:type="dxa"/>
              <w:right w:w="57" w:type="dxa"/>
            </w:tcMar>
            <w:vAlign w:val="center"/>
          </w:tcPr>
          <w:p w14:paraId="0B9B66A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84" w:type="dxa"/>
            <w:noWrap/>
            <w:tcMar>
              <w:left w:w="57" w:type="dxa"/>
              <w:right w:w="57" w:type="dxa"/>
            </w:tcMar>
            <w:vAlign w:val="center"/>
          </w:tcPr>
          <w:p w14:paraId="40FC8D7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生态系</w:t>
            </w:r>
          </w:p>
          <w:p w14:paraId="6D9444E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统类型</w:t>
            </w:r>
          </w:p>
        </w:tc>
        <w:tc>
          <w:tcPr>
            <w:tcW w:w="850" w:type="dxa"/>
            <w:tcMar>
              <w:left w:w="57" w:type="dxa"/>
              <w:right w:w="57" w:type="dxa"/>
            </w:tcMar>
            <w:vAlign w:val="center"/>
          </w:tcPr>
          <w:p w14:paraId="3513F3E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分类</w:t>
            </w:r>
          </w:p>
        </w:tc>
        <w:tc>
          <w:tcPr>
            <w:tcW w:w="993" w:type="dxa"/>
            <w:tcMar>
              <w:left w:w="57" w:type="dxa"/>
              <w:right w:w="57" w:type="dxa"/>
            </w:tcMar>
            <w:vAlign w:val="center"/>
          </w:tcPr>
          <w:p w14:paraId="5391E76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p w14:paraId="5C15F071">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p>
        </w:tc>
        <w:tc>
          <w:tcPr>
            <w:tcW w:w="992" w:type="dxa"/>
            <w:tcMar>
              <w:left w:w="57" w:type="dxa"/>
              <w:right w:w="57" w:type="dxa"/>
            </w:tcMar>
            <w:vAlign w:val="center"/>
          </w:tcPr>
          <w:p w14:paraId="61EBB44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面积占比（%）</w:t>
            </w:r>
          </w:p>
        </w:tc>
        <w:tc>
          <w:tcPr>
            <w:tcW w:w="4819" w:type="dxa"/>
            <w:noWrap/>
            <w:tcMar>
              <w:left w:w="57" w:type="dxa"/>
              <w:right w:w="57" w:type="dxa"/>
            </w:tcMar>
            <w:vAlign w:val="center"/>
          </w:tcPr>
          <w:p w14:paraId="63245DE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环境特征</w:t>
            </w:r>
          </w:p>
        </w:tc>
      </w:tr>
      <w:tr w14:paraId="15EA098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21" w:hRule="atLeast"/>
        </w:trPr>
        <w:tc>
          <w:tcPr>
            <w:tcW w:w="534" w:type="dxa"/>
            <w:vMerge w:val="restart"/>
            <w:noWrap/>
            <w:tcMar>
              <w:left w:w="57" w:type="dxa"/>
              <w:right w:w="57" w:type="dxa"/>
            </w:tcMar>
            <w:vAlign w:val="center"/>
          </w:tcPr>
          <w:p w14:paraId="561B548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884" w:type="dxa"/>
            <w:vMerge w:val="restart"/>
            <w:noWrap/>
            <w:tcMar>
              <w:left w:w="57" w:type="dxa"/>
              <w:right w:w="57" w:type="dxa"/>
            </w:tcMar>
            <w:vAlign w:val="center"/>
          </w:tcPr>
          <w:p w14:paraId="55B0789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森林生</w:t>
            </w:r>
          </w:p>
          <w:p w14:paraId="4976B8D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态系统</w:t>
            </w:r>
          </w:p>
        </w:tc>
        <w:tc>
          <w:tcPr>
            <w:tcW w:w="850" w:type="dxa"/>
            <w:tcMar>
              <w:left w:w="57" w:type="dxa"/>
              <w:right w:w="57" w:type="dxa"/>
            </w:tcMar>
            <w:vAlign w:val="center"/>
          </w:tcPr>
          <w:p w14:paraId="437F7F5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针叶林</w:t>
            </w:r>
          </w:p>
        </w:tc>
        <w:tc>
          <w:tcPr>
            <w:tcW w:w="993" w:type="dxa"/>
            <w:tcMar>
              <w:left w:w="57" w:type="dxa"/>
              <w:right w:w="57" w:type="dxa"/>
            </w:tcMar>
            <w:vAlign w:val="center"/>
          </w:tcPr>
          <w:p w14:paraId="648FF5B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58.7472</w:t>
            </w:r>
          </w:p>
        </w:tc>
        <w:tc>
          <w:tcPr>
            <w:tcW w:w="992" w:type="dxa"/>
            <w:tcMar>
              <w:left w:w="57" w:type="dxa"/>
              <w:right w:w="57" w:type="dxa"/>
            </w:tcMar>
            <w:vAlign w:val="center"/>
          </w:tcPr>
          <w:p w14:paraId="4694541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15.58%</w:t>
            </w:r>
          </w:p>
        </w:tc>
        <w:tc>
          <w:tcPr>
            <w:tcW w:w="4819" w:type="dxa"/>
            <w:vMerge w:val="restart"/>
            <w:noWrap/>
            <w:tcMar>
              <w:left w:w="57" w:type="dxa"/>
              <w:right w:w="57" w:type="dxa"/>
            </w:tcMar>
            <w:vAlign w:val="center"/>
          </w:tcPr>
          <w:p w14:paraId="6344D46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以半自然和人工种植的湿地松、马尾松、桉树、相思树为主，主要分为 3 层：乔木层优势种明显，灌木层不明显；草本层稀疏。主要生态功能是景观服务、水土保持、土壤保持、生物多样性保护等。</w:t>
            </w:r>
          </w:p>
        </w:tc>
      </w:tr>
      <w:tr w14:paraId="1CA448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98" w:hRule="atLeast"/>
        </w:trPr>
        <w:tc>
          <w:tcPr>
            <w:tcW w:w="534" w:type="dxa"/>
            <w:vMerge w:val="continue"/>
            <w:noWrap/>
            <w:tcMar>
              <w:left w:w="57" w:type="dxa"/>
              <w:right w:w="57" w:type="dxa"/>
            </w:tcMar>
            <w:vAlign w:val="center"/>
          </w:tcPr>
          <w:p w14:paraId="22B456DE">
            <w:pPr>
              <w:pStyle w:val="105"/>
              <w:widowControl w:val="0"/>
              <w:jc w:val="center"/>
              <w:rPr>
                <w:color w:val="000000" w:themeColor="text1"/>
                <w14:textFill>
                  <w14:solidFill>
                    <w14:schemeClr w14:val="tx1"/>
                  </w14:solidFill>
                </w14:textFill>
              </w:rPr>
            </w:pPr>
          </w:p>
        </w:tc>
        <w:tc>
          <w:tcPr>
            <w:tcW w:w="884" w:type="dxa"/>
            <w:vMerge w:val="continue"/>
            <w:noWrap/>
            <w:tcMar>
              <w:left w:w="57" w:type="dxa"/>
              <w:right w:w="57" w:type="dxa"/>
            </w:tcMar>
            <w:vAlign w:val="center"/>
          </w:tcPr>
          <w:p w14:paraId="5FFE6D7A">
            <w:pPr>
              <w:pStyle w:val="105"/>
              <w:widowControl w:val="0"/>
              <w:jc w:val="center"/>
              <w:rPr>
                <w:color w:val="000000" w:themeColor="text1"/>
                <w14:textFill>
                  <w14:solidFill>
                    <w14:schemeClr w14:val="tx1"/>
                  </w14:solidFill>
                </w14:textFill>
              </w:rPr>
            </w:pPr>
          </w:p>
        </w:tc>
        <w:tc>
          <w:tcPr>
            <w:tcW w:w="850" w:type="dxa"/>
            <w:tcMar>
              <w:left w:w="57" w:type="dxa"/>
              <w:right w:w="57" w:type="dxa"/>
            </w:tcMar>
            <w:vAlign w:val="center"/>
          </w:tcPr>
          <w:p w14:paraId="4FE25B8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阔叶林</w:t>
            </w:r>
          </w:p>
        </w:tc>
        <w:tc>
          <w:tcPr>
            <w:tcW w:w="993" w:type="dxa"/>
            <w:tcMar>
              <w:left w:w="57" w:type="dxa"/>
              <w:right w:w="57" w:type="dxa"/>
            </w:tcMar>
            <w:vAlign w:val="center"/>
          </w:tcPr>
          <w:p w14:paraId="44CBF8D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37.4243</w:t>
            </w:r>
          </w:p>
        </w:tc>
        <w:tc>
          <w:tcPr>
            <w:tcW w:w="992" w:type="dxa"/>
            <w:tcMar>
              <w:left w:w="57" w:type="dxa"/>
              <w:right w:w="57" w:type="dxa"/>
            </w:tcMar>
            <w:vAlign w:val="center"/>
          </w:tcPr>
          <w:p w14:paraId="6D3E50D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9.92%</w:t>
            </w:r>
          </w:p>
        </w:tc>
        <w:tc>
          <w:tcPr>
            <w:tcW w:w="4819" w:type="dxa"/>
            <w:vMerge w:val="continue"/>
            <w:noWrap/>
            <w:tcMar>
              <w:left w:w="57" w:type="dxa"/>
              <w:right w:w="57" w:type="dxa"/>
            </w:tcMar>
            <w:vAlign w:val="center"/>
          </w:tcPr>
          <w:p w14:paraId="18B9B255">
            <w:pPr>
              <w:pStyle w:val="105"/>
              <w:widowControl w:val="0"/>
              <w:jc w:val="center"/>
              <w:rPr>
                <w:color w:val="000000" w:themeColor="text1"/>
                <w14:textFill>
                  <w14:solidFill>
                    <w14:schemeClr w14:val="tx1"/>
                  </w14:solidFill>
                </w14:textFill>
              </w:rPr>
            </w:pPr>
          </w:p>
        </w:tc>
      </w:tr>
      <w:tr w14:paraId="54FEE61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5" w:hRule="atLeast"/>
        </w:trPr>
        <w:tc>
          <w:tcPr>
            <w:tcW w:w="534" w:type="dxa"/>
            <w:noWrap/>
            <w:tcMar>
              <w:left w:w="57" w:type="dxa"/>
              <w:right w:w="57" w:type="dxa"/>
            </w:tcMar>
            <w:vAlign w:val="center"/>
          </w:tcPr>
          <w:p w14:paraId="42A904E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884" w:type="dxa"/>
            <w:noWrap/>
            <w:tcMar>
              <w:left w:w="57" w:type="dxa"/>
              <w:right w:w="57" w:type="dxa"/>
            </w:tcMar>
            <w:vAlign w:val="center"/>
          </w:tcPr>
          <w:p w14:paraId="5224BC0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灌丛生态系统</w:t>
            </w:r>
          </w:p>
        </w:tc>
        <w:tc>
          <w:tcPr>
            <w:tcW w:w="850" w:type="dxa"/>
            <w:tcMar>
              <w:left w:w="57" w:type="dxa"/>
              <w:right w:w="57" w:type="dxa"/>
            </w:tcMar>
            <w:vAlign w:val="center"/>
          </w:tcPr>
          <w:p w14:paraId="1670CC1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灌草丛</w:t>
            </w:r>
          </w:p>
        </w:tc>
        <w:tc>
          <w:tcPr>
            <w:tcW w:w="993" w:type="dxa"/>
            <w:tcMar>
              <w:left w:w="57" w:type="dxa"/>
              <w:right w:w="57" w:type="dxa"/>
            </w:tcMar>
            <w:vAlign w:val="center"/>
          </w:tcPr>
          <w:p w14:paraId="49A55F85">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15.6762</w:t>
            </w:r>
          </w:p>
        </w:tc>
        <w:tc>
          <w:tcPr>
            <w:tcW w:w="992" w:type="dxa"/>
            <w:tcMar>
              <w:left w:w="57" w:type="dxa"/>
              <w:right w:w="57" w:type="dxa"/>
            </w:tcMar>
            <w:vAlign w:val="center"/>
          </w:tcPr>
          <w:p w14:paraId="5B24C9AE">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4.16%</w:t>
            </w:r>
          </w:p>
        </w:tc>
        <w:tc>
          <w:tcPr>
            <w:tcW w:w="4819" w:type="dxa"/>
            <w:noWrap/>
            <w:tcMar>
              <w:left w:w="57" w:type="dxa"/>
              <w:right w:w="57" w:type="dxa"/>
            </w:tcMar>
            <w:vAlign w:val="center"/>
          </w:tcPr>
          <w:p w14:paraId="3FC2309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由灌木丛组成。灌丛是指由多种灌木树种组成的植被群落。灌丛生态系统的特点是植物丰富多样，包括矮灌木、高灌木和亚灌木等不同类型的灌木。</w:t>
            </w:r>
          </w:p>
        </w:tc>
      </w:tr>
      <w:tr w14:paraId="00ED04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653" w:hRule="atLeast"/>
        </w:trPr>
        <w:tc>
          <w:tcPr>
            <w:tcW w:w="534" w:type="dxa"/>
            <w:noWrap/>
            <w:tcMar>
              <w:left w:w="57" w:type="dxa"/>
              <w:right w:w="57" w:type="dxa"/>
            </w:tcMar>
            <w:vAlign w:val="center"/>
          </w:tcPr>
          <w:p w14:paraId="7363DEE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884" w:type="dxa"/>
            <w:noWrap/>
            <w:tcMar>
              <w:left w:w="57" w:type="dxa"/>
              <w:right w:w="57" w:type="dxa"/>
            </w:tcMar>
            <w:vAlign w:val="center"/>
          </w:tcPr>
          <w:p w14:paraId="45BF396F">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湿地生态系统</w:t>
            </w:r>
          </w:p>
        </w:tc>
        <w:tc>
          <w:tcPr>
            <w:tcW w:w="850" w:type="dxa"/>
            <w:tcMar>
              <w:left w:w="57" w:type="dxa"/>
              <w:right w:w="57" w:type="dxa"/>
            </w:tcMar>
            <w:vAlign w:val="center"/>
          </w:tcPr>
          <w:p w14:paraId="071B96D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河流</w:t>
            </w:r>
            <w:r>
              <w:rPr>
                <w:rFonts w:hint="eastAsia"/>
                <w:color w:val="000000" w:themeColor="text1"/>
                <w14:textFill>
                  <w14:solidFill>
                    <w14:schemeClr w14:val="tx1"/>
                  </w14:solidFill>
                </w14:textFill>
              </w:rPr>
              <w:t>、坑塘、沟渠等</w:t>
            </w:r>
          </w:p>
        </w:tc>
        <w:tc>
          <w:tcPr>
            <w:tcW w:w="993" w:type="dxa"/>
            <w:tcMar>
              <w:left w:w="57" w:type="dxa"/>
              <w:right w:w="57" w:type="dxa"/>
            </w:tcMar>
            <w:vAlign w:val="center"/>
          </w:tcPr>
          <w:p w14:paraId="5CE57450">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20.6826</w:t>
            </w:r>
          </w:p>
        </w:tc>
        <w:tc>
          <w:tcPr>
            <w:tcW w:w="992" w:type="dxa"/>
            <w:tcMar>
              <w:left w:w="57" w:type="dxa"/>
              <w:right w:w="57" w:type="dxa"/>
            </w:tcMar>
            <w:vAlign w:val="center"/>
          </w:tcPr>
          <w:p w14:paraId="77BA6F9F">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5.48%</w:t>
            </w:r>
          </w:p>
        </w:tc>
        <w:tc>
          <w:tcPr>
            <w:tcW w:w="4819" w:type="dxa"/>
            <w:noWrap/>
            <w:tcMar>
              <w:left w:w="57" w:type="dxa"/>
              <w:right w:w="57" w:type="dxa"/>
            </w:tcMar>
            <w:vAlign w:val="center"/>
          </w:tcPr>
          <w:p w14:paraId="06D163E1">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主要为河流、沟渠等，是具有重要生态服务功能价值和生态脆弱性较强的生态系统。主要生态服务功能是景观服务、水源涵养、调节气候、保护生物多样性等。</w:t>
            </w:r>
          </w:p>
        </w:tc>
      </w:tr>
      <w:tr w14:paraId="1ACDB4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34" w:hRule="atLeast"/>
        </w:trPr>
        <w:tc>
          <w:tcPr>
            <w:tcW w:w="534" w:type="dxa"/>
            <w:vMerge w:val="restart"/>
            <w:noWrap/>
            <w:tcMar>
              <w:left w:w="57" w:type="dxa"/>
              <w:right w:w="57" w:type="dxa"/>
            </w:tcMar>
            <w:vAlign w:val="center"/>
          </w:tcPr>
          <w:p w14:paraId="4D757F4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84" w:type="dxa"/>
            <w:vMerge w:val="restart"/>
            <w:noWrap/>
            <w:tcMar>
              <w:left w:w="57" w:type="dxa"/>
              <w:right w:w="57" w:type="dxa"/>
            </w:tcMar>
            <w:vAlign w:val="center"/>
          </w:tcPr>
          <w:p w14:paraId="0D261DC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农业生</w:t>
            </w:r>
          </w:p>
          <w:p w14:paraId="5439993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态系统</w:t>
            </w:r>
          </w:p>
        </w:tc>
        <w:tc>
          <w:tcPr>
            <w:tcW w:w="850" w:type="dxa"/>
            <w:tcMar>
              <w:left w:w="57" w:type="dxa"/>
              <w:right w:w="57" w:type="dxa"/>
            </w:tcMar>
            <w:vAlign w:val="center"/>
          </w:tcPr>
          <w:p w14:paraId="4B090EF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耕地</w:t>
            </w:r>
          </w:p>
        </w:tc>
        <w:tc>
          <w:tcPr>
            <w:tcW w:w="993" w:type="dxa"/>
            <w:tcMar>
              <w:left w:w="57" w:type="dxa"/>
              <w:right w:w="57" w:type="dxa"/>
            </w:tcMar>
            <w:vAlign w:val="center"/>
          </w:tcPr>
          <w:p w14:paraId="2966A8DC">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112.5085</w:t>
            </w:r>
          </w:p>
        </w:tc>
        <w:tc>
          <w:tcPr>
            <w:tcW w:w="992" w:type="dxa"/>
            <w:tcMar>
              <w:left w:w="57" w:type="dxa"/>
              <w:right w:w="57" w:type="dxa"/>
            </w:tcMar>
            <w:vAlign w:val="center"/>
          </w:tcPr>
          <w:p w14:paraId="22954F7A">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29.83%</w:t>
            </w:r>
          </w:p>
        </w:tc>
        <w:tc>
          <w:tcPr>
            <w:tcW w:w="4819" w:type="dxa"/>
            <w:vMerge w:val="restart"/>
            <w:noWrap/>
            <w:tcMar>
              <w:left w:w="57" w:type="dxa"/>
              <w:right w:w="57" w:type="dxa"/>
            </w:tcMar>
            <w:vAlign w:val="center"/>
          </w:tcPr>
          <w:p w14:paraId="7472787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以农业种植为主的点状村镇、农田等，以人工和半自然生态系统类型为主。旱地作物主要为蔬菜、萝卜、豆类等；水田作物主要为水稻，园地主要以龙眼林为主（约3</w:t>
            </w:r>
            <w:r>
              <w:rPr>
                <w:color w:val="000000" w:themeColor="text1"/>
                <w14:textFill>
                  <w14:solidFill>
                    <w14:schemeClr w14:val="tx1"/>
                  </w14:solidFill>
                </w14:textFill>
              </w:rPr>
              <w:t>2.6457</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r>
      <w:tr w14:paraId="104B81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0" w:hRule="atLeast"/>
        </w:trPr>
        <w:tc>
          <w:tcPr>
            <w:tcW w:w="534" w:type="dxa"/>
            <w:vMerge w:val="continue"/>
            <w:noWrap/>
            <w:tcMar>
              <w:left w:w="57" w:type="dxa"/>
              <w:right w:w="57" w:type="dxa"/>
            </w:tcMar>
            <w:vAlign w:val="center"/>
          </w:tcPr>
          <w:p w14:paraId="18D6D7A9">
            <w:pPr>
              <w:pStyle w:val="105"/>
              <w:widowControl w:val="0"/>
              <w:jc w:val="center"/>
              <w:rPr>
                <w:color w:val="000000" w:themeColor="text1"/>
                <w14:textFill>
                  <w14:solidFill>
                    <w14:schemeClr w14:val="tx1"/>
                  </w14:solidFill>
                </w14:textFill>
              </w:rPr>
            </w:pPr>
          </w:p>
        </w:tc>
        <w:tc>
          <w:tcPr>
            <w:tcW w:w="884" w:type="dxa"/>
            <w:vMerge w:val="continue"/>
            <w:noWrap/>
            <w:tcMar>
              <w:left w:w="57" w:type="dxa"/>
              <w:right w:w="57" w:type="dxa"/>
            </w:tcMar>
            <w:vAlign w:val="center"/>
          </w:tcPr>
          <w:p w14:paraId="648E4C5D">
            <w:pPr>
              <w:pStyle w:val="105"/>
              <w:widowControl w:val="0"/>
              <w:jc w:val="center"/>
              <w:rPr>
                <w:color w:val="000000" w:themeColor="text1"/>
                <w14:textFill>
                  <w14:solidFill>
                    <w14:schemeClr w14:val="tx1"/>
                  </w14:solidFill>
                </w14:textFill>
              </w:rPr>
            </w:pPr>
          </w:p>
        </w:tc>
        <w:tc>
          <w:tcPr>
            <w:tcW w:w="850" w:type="dxa"/>
            <w:tcMar>
              <w:left w:w="57" w:type="dxa"/>
              <w:right w:w="57" w:type="dxa"/>
            </w:tcMar>
            <w:vAlign w:val="center"/>
          </w:tcPr>
          <w:p w14:paraId="6F6C4D3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园地</w:t>
            </w:r>
          </w:p>
        </w:tc>
        <w:tc>
          <w:tcPr>
            <w:tcW w:w="993" w:type="dxa"/>
            <w:tcMar>
              <w:left w:w="57" w:type="dxa"/>
              <w:right w:w="57" w:type="dxa"/>
            </w:tcMar>
            <w:vAlign w:val="center"/>
          </w:tcPr>
          <w:p w14:paraId="685A1BB2">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59.4357</w:t>
            </w:r>
          </w:p>
        </w:tc>
        <w:tc>
          <w:tcPr>
            <w:tcW w:w="992" w:type="dxa"/>
            <w:tcMar>
              <w:left w:w="57" w:type="dxa"/>
              <w:right w:w="57" w:type="dxa"/>
            </w:tcMar>
            <w:vAlign w:val="center"/>
          </w:tcPr>
          <w:p w14:paraId="22DCF74E">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15.76%</w:t>
            </w:r>
          </w:p>
        </w:tc>
        <w:tc>
          <w:tcPr>
            <w:tcW w:w="4819" w:type="dxa"/>
            <w:vMerge w:val="continue"/>
            <w:noWrap/>
            <w:tcMar>
              <w:left w:w="57" w:type="dxa"/>
              <w:right w:w="57" w:type="dxa"/>
            </w:tcMar>
            <w:vAlign w:val="center"/>
          </w:tcPr>
          <w:p w14:paraId="361D5934">
            <w:pPr>
              <w:pStyle w:val="105"/>
              <w:widowControl w:val="0"/>
              <w:jc w:val="center"/>
              <w:rPr>
                <w:color w:val="000000" w:themeColor="text1"/>
                <w14:textFill>
                  <w14:solidFill>
                    <w14:schemeClr w14:val="tx1"/>
                  </w14:solidFill>
                </w14:textFill>
              </w:rPr>
            </w:pPr>
          </w:p>
        </w:tc>
      </w:tr>
      <w:tr w14:paraId="0D2A7DE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5" w:hRule="atLeast"/>
        </w:trPr>
        <w:tc>
          <w:tcPr>
            <w:tcW w:w="534" w:type="dxa"/>
            <w:vMerge w:val="continue"/>
            <w:noWrap/>
            <w:tcMar>
              <w:left w:w="57" w:type="dxa"/>
              <w:right w:w="57" w:type="dxa"/>
            </w:tcMar>
            <w:vAlign w:val="center"/>
          </w:tcPr>
          <w:p w14:paraId="1E3C16B9">
            <w:pPr>
              <w:pStyle w:val="105"/>
              <w:widowControl w:val="0"/>
              <w:jc w:val="center"/>
              <w:rPr>
                <w:color w:val="000000" w:themeColor="text1"/>
                <w14:textFill>
                  <w14:solidFill>
                    <w14:schemeClr w14:val="tx1"/>
                  </w14:solidFill>
                </w14:textFill>
              </w:rPr>
            </w:pPr>
          </w:p>
        </w:tc>
        <w:tc>
          <w:tcPr>
            <w:tcW w:w="884" w:type="dxa"/>
            <w:vMerge w:val="continue"/>
            <w:noWrap/>
            <w:tcMar>
              <w:left w:w="57" w:type="dxa"/>
              <w:right w:w="57" w:type="dxa"/>
            </w:tcMar>
            <w:vAlign w:val="center"/>
          </w:tcPr>
          <w:p w14:paraId="021C0A5F">
            <w:pPr>
              <w:pStyle w:val="105"/>
              <w:widowControl w:val="0"/>
              <w:jc w:val="center"/>
              <w:rPr>
                <w:color w:val="000000" w:themeColor="text1"/>
                <w14:textFill>
                  <w14:solidFill>
                    <w14:schemeClr w14:val="tx1"/>
                  </w14:solidFill>
                </w14:textFill>
              </w:rPr>
            </w:pPr>
          </w:p>
        </w:tc>
        <w:tc>
          <w:tcPr>
            <w:tcW w:w="850" w:type="dxa"/>
            <w:tcMar>
              <w:left w:w="57" w:type="dxa"/>
              <w:right w:w="57" w:type="dxa"/>
            </w:tcMar>
            <w:vAlign w:val="center"/>
          </w:tcPr>
          <w:p w14:paraId="1E1EB98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其他农用地</w:t>
            </w:r>
          </w:p>
        </w:tc>
        <w:tc>
          <w:tcPr>
            <w:tcW w:w="993" w:type="dxa"/>
            <w:tcMar>
              <w:left w:w="57" w:type="dxa"/>
              <w:right w:w="57" w:type="dxa"/>
            </w:tcMar>
            <w:vAlign w:val="center"/>
          </w:tcPr>
          <w:p w14:paraId="08585A43">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16.8815</w:t>
            </w:r>
          </w:p>
        </w:tc>
        <w:tc>
          <w:tcPr>
            <w:tcW w:w="992" w:type="dxa"/>
            <w:tcMar>
              <w:left w:w="57" w:type="dxa"/>
              <w:right w:w="57" w:type="dxa"/>
            </w:tcMar>
            <w:vAlign w:val="center"/>
          </w:tcPr>
          <w:p w14:paraId="1C28AE63">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4.48%</w:t>
            </w:r>
          </w:p>
        </w:tc>
        <w:tc>
          <w:tcPr>
            <w:tcW w:w="4819" w:type="dxa"/>
            <w:vMerge w:val="continue"/>
            <w:noWrap/>
            <w:tcMar>
              <w:left w:w="57" w:type="dxa"/>
              <w:right w:w="57" w:type="dxa"/>
            </w:tcMar>
            <w:vAlign w:val="center"/>
          </w:tcPr>
          <w:p w14:paraId="578D2327">
            <w:pPr>
              <w:pStyle w:val="105"/>
              <w:widowControl w:val="0"/>
              <w:jc w:val="center"/>
              <w:rPr>
                <w:color w:val="000000" w:themeColor="text1"/>
                <w14:textFill>
                  <w14:solidFill>
                    <w14:schemeClr w14:val="tx1"/>
                  </w14:solidFill>
                </w14:textFill>
              </w:rPr>
            </w:pPr>
          </w:p>
        </w:tc>
      </w:tr>
      <w:tr w14:paraId="3CFD43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0" w:hRule="atLeast"/>
        </w:trPr>
        <w:tc>
          <w:tcPr>
            <w:tcW w:w="534" w:type="dxa"/>
            <w:vMerge w:val="restart"/>
            <w:noWrap/>
            <w:tcMar>
              <w:left w:w="57" w:type="dxa"/>
              <w:right w:w="57" w:type="dxa"/>
            </w:tcMar>
            <w:vAlign w:val="center"/>
          </w:tcPr>
          <w:p w14:paraId="14126A7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884" w:type="dxa"/>
            <w:vMerge w:val="restart"/>
            <w:noWrap/>
            <w:tcMar>
              <w:left w:w="57" w:type="dxa"/>
              <w:right w:w="57" w:type="dxa"/>
            </w:tcMar>
            <w:vAlign w:val="center"/>
          </w:tcPr>
          <w:p w14:paraId="14F1A77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城镇生</w:t>
            </w:r>
          </w:p>
          <w:p w14:paraId="7F1BEE5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态系统</w:t>
            </w:r>
          </w:p>
        </w:tc>
        <w:tc>
          <w:tcPr>
            <w:tcW w:w="850" w:type="dxa"/>
            <w:tcMar>
              <w:left w:w="57" w:type="dxa"/>
              <w:right w:w="57" w:type="dxa"/>
            </w:tcMar>
            <w:vAlign w:val="center"/>
          </w:tcPr>
          <w:p w14:paraId="5F9D2D1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居住地</w:t>
            </w:r>
          </w:p>
        </w:tc>
        <w:tc>
          <w:tcPr>
            <w:tcW w:w="993" w:type="dxa"/>
            <w:tcMar>
              <w:left w:w="57" w:type="dxa"/>
              <w:right w:w="57" w:type="dxa"/>
            </w:tcMar>
            <w:vAlign w:val="center"/>
          </w:tcPr>
          <w:p w14:paraId="5FBCADEF">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34.9623</w:t>
            </w:r>
          </w:p>
        </w:tc>
        <w:tc>
          <w:tcPr>
            <w:tcW w:w="992" w:type="dxa"/>
            <w:tcMar>
              <w:left w:w="57" w:type="dxa"/>
              <w:right w:w="57" w:type="dxa"/>
            </w:tcMar>
            <w:vAlign w:val="center"/>
          </w:tcPr>
          <w:p w14:paraId="0B1E36B1">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9.27%</w:t>
            </w:r>
          </w:p>
        </w:tc>
        <w:tc>
          <w:tcPr>
            <w:tcW w:w="4819" w:type="dxa"/>
            <w:vMerge w:val="restart"/>
            <w:noWrap/>
            <w:tcMar>
              <w:left w:w="57" w:type="dxa"/>
              <w:right w:w="57" w:type="dxa"/>
            </w:tcMar>
            <w:vAlign w:val="center"/>
          </w:tcPr>
          <w:p w14:paraId="6AE4E8E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以村镇居住及配套其他功能区，其主要功能为生态良好的生活居住和经济发展区。</w:t>
            </w:r>
          </w:p>
        </w:tc>
      </w:tr>
      <w:tr w14:paraId="00FEA1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5" w:hRule="atLeast"/>
        </w:trPr>
        <w:tc>
          <w:tcPr>
            <w:tcW w:w="534" w:type="dxa"/>
            <w:vMerge w:val="continue"/>
            <w:noWrap/>
            <w:tcMar>
              <w:left w:w="57" w:type="dxa"/>
              <w:right w:w="57" w:type="dxa"/>
            </w:tcMar>
            <w:vAlign w:val="center"/>
          </w:tcPr>
          <w:p w14:paraId="0BEF5588">
            <w:pPr>
              <w:pStyle w:val="105"/>
              <w:widowControl w:val="0"/>
              <w:jc w:val="center"/>
              <w:rPr>
                <w:color w:val="000000" w:themeColor="text1"/>
                <w14:textFill>
                  <w14:solidFill>
                    <w14:schemeClr w14:val="tx1"/>
                  </w14:solidFill>
                </w14:textFill>
              </w:rPr>
            </w:pPr>
          </w:p>
        </w:tc>
        <w:tc>
          <w:tcPr>
            <w:tcW w:w="884" w:type="dxa"/>
            <w:vMerge w:val="continue"/>
            <w:noWrap/>
            <w:tcMar>
              <w:left w:w="57" w:type="dxa"/>
              <w:right w:w="57" w:type="dxa"/>
            </w:tcMar>
            <w:vAlign w:val="center"/>
          </w:tcPr>
          <w:p w14:paraId="3FC509D7">
            <w:pPr>
              <w:pStyle w:val="105"/>
              <w:widowControl w:val="0"/>
              <w:jc w:val="center"/>
              <w:rPr>
                <w:color w:val="000000" w:themeColor="text1"/>
                <w14:textFill>
                  <w14:solidFill>
                    <w14:schemeClr w14:val="tx1"/>
                  </w14:solidFill>
                </w14:textFill>
              </w:rPr>
            </w:pPr>
          </w:p>
        </w:tc>
        <w:tc>
          <w:tcPr>
            <w:tcW w:w="850" w:type="dxa"/>
            <w:tcMar>
              <w:left w:w="57" w:type="dxa"/>
              <w:right w:w="57" w:type="dxa"/>
            </w:tcMar>
            <w:vAlign w:val="center"/>
          </w:tcPr>
          <w:p w14:paraId="3F827C5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交通用地</w:t>
            </w:r>
          </w:p>
        </w:tc>
        <w:tc>
          <w:tcPr>
            <w:tcW w:w="993" w:type="dxa"/>
            <w:tcMar>
              <w:left w:w="57" w:type="dxa"/>
              <w:right w:w="57" w:type="dxa"/>
            </w:tcMar>
            <w:vAlign w:val="center"/>
          </w:tcPr>
          <w:p w14:paraId="3A5AE9C0">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11.3214</w:t>
            </w:r>
          </w:p>
        </w:tc>
        <w:tc>
          <w:tcPr>
            <w:tcW w:w="992" w:type="dxa"/>
            <w:tcMar>
              <w:left w:w="57" w:type="dxa"/>
              <w:right w:w="57" w:type="dxa"/>
            </w:tcMar>
            <w:vAlign w:val="center"/>
          </w:tcPr>
          <w:p w14:paraId="575E4991">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3.00%</w:t>
            </w:r>
          </w:p>
        </w:tc>
        <w:tc>
          <w:tcPr>
            <w:tcW w:w="4819" w:type="dxa"/>
            <w:vMerge w:val="continue"/>
            <w:noWrap/>
            <w:tcMar>
              <w:left w:w="57" w:type="dxa"/>
              <w:right w:w="57" w:type="dxa"/>
            </w:tcMar>
            <w:vAlign w:val="center"/>
          </w:tcPr>
          <w:p w14:paraId="2AA83930">
            <w:pPr>
              <w:pStyle w:val="105"/>
              <w:widowControl w:val="0"/>
              <w:jc w:val="center"/>
              <w:rPr>
                <w:color w:val="000000" w:themeColor="text1"/>
                <w14:textFill>
                  <w14:solidFill>
                    <w14:schemeClr w14:val="tx1"/>
                  </w14:solidFill>
                </w14:textFill>
              </w:rPr>
            </w:pPr>
          </w:p>
        </w:tc>
      </w:tr>
      <w:tr w14:paraId="43A041E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5" w:hRule="atLeast"/>
        </w:trPr>
        <w:tc>
          <w:tcPr>
            <w:tcW w:w="534" w:type="dxa"/>
            <w:vMerge w:val="continue"/>
            <w:noWrap/>
            <w:tcMar>
              <w:left w:w="57" w:type="dxa"/>
              <w:right w:w="57" w:type="dxa"/>
            </w:tcMar>
            <w:vAlign w:val="center"/>
          </w:tcPr>
          <w:p w14:paraId="322EEF80">
            <w:pPr>
              <w:pStyle w:val="105"/>
              <w:widowControl w:val="0"/>
              <w:jc w:val="center"/>
              <w:rPr>
                <w:color w:val="000000" w:themeColor="text1"/>
                <w14:textFill>
                  <w14:solidFill>
                    <w14:schemeClr w14:val="tx1"/>
                  </w14:solidFill>
                </w14:textFill>
              </w:rPr>
            </w:pPr>
          </w:p>
        </w:tc>
        <w:tc>
          <w:tcPr>
            <w:tcW w:w="884" w:type="dxa"/>
            <w:vMerge w:val="continue"/>
            <w:noWrap/>
            <w:tcMar>
              <w:left w:w="57" w:type="dxa"/>
              <w:right w:w="57" w:type="dxa"/>
            </w:tcMar>
            <w:vAlign w:val="center"/>
          </w:tcPr>
          <w:p w14:paraId="34FF2D2A">
            <w:pPr>
              <w:pStyle w:val="105"/>
              <w:widowControl w:val="0"/>
              <w:jc w:val="center"/>
              <w:rPr>
                <w:color w:val="000000" w:themeColor="text1"/>
                <w14:textFill>
                  <w14:solidFill>
                    <w14:schemeClr w14:val="tx1"/>
                  </w14:solidFill>
                </w14:textFill>
              </w:rPr>
            </w:pPr>
          </w:p>
        </w:tc>
        <w:tc>
          <w:tcPr>
            <w:tcW w:w="850" w:type="dxa"/>
            <w:tcMar>
              <w:left w:w="57" w:type="dxa"/>
              <w:right w:w="57" w:type="dxa"/>
            </w:tcMar>
            <w:vAlign w:val="center"/>
          </w:tcPr>
          <w:p w14:paraId="3ED1732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其他建设用地</w:t>
            </w:r>
          </w:p>
        </w:tc>
        <w:tc>
          <w:tcPr>
            <w:tcW w:w="993" w:type="dxa"/>
            <w:tcMar>
              <w:left w:w="57" w:type="dxa"/>
              <w:right w:w="57" w:type="dxa"/>
            </w:tcMar>
            <w:vAlign w:val="center"/>
          </w:tcPr>
          <w:p w14:paraId="73DD28B7">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9.4974</w:t>
            </w:r>
          </w:p>
        </w:tc>
        <w:tc>
          <w:tcPr>
            <w:tcW w:w="992" w:type="dxa"/>
            <w:tcMar>
              <w:left w:w="57" w:type="dxa"/>
              <w:right w:w="57" w:type="dxa"/>
            </w:tcMar>
            <w:vAlign w:val="center"/>
          </w:tcPr>
          <w:p w14:paraId="21A556FF">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2.52%</w:t>
            </w:r>
          </w:p>
        </w:tc>
        <w:tc>
          <w:tcPr>
            <w:tcW w:w="4819" w:type="dxa"/>
            <w:vMerge w:val="continue"/>
            <w:noWrap/>
            <w:tcMar>
              <w:left w:w="57" w:type="dxa"/>
              <w:right w:w="57" w:type="dxa"/>
            </w:tcMar>
            <w:vAlign w:val="center"/>
          </w:tcPr>
          <w:p w14:paraId="6753F384">
            <w:pPr>
              <w:pStyle w:val="105"/>
              <w:widowControl w:val="0"/>
              <w:jc w:val="center"/>
              <w:rPr>
                <w:color w:val="000000" w:themeColor="text1"/>
                <w14:textFill>
                  <w14:solidFill>
                    <w14:schemeClr w14:val="tx1"/>
                  </w14:solidFill>
                </w14:textFill>
              </w:rPr>
            </w:pPr>
          </w:p>
        </w:tc>
      </w:tr>
      <w:tr w14:paraId="185020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55" w:hRule="atLeast"/>
        </w:trPr>
        <w:tc>
          <w:tcPr>
            <w:tcW w:w="2268" w:type="dxa"/>
            <w:gridSpan w:val="3"/>
            <w:noWrap/>
            <w:tcMar>
              <w:left w:w="57" w:type="dxa"/>
              <w:right w:w="57" w:type="dxa"/>
            </w:tcMar>
            <w:vAlign w:val="center"/>
          </w:tcPr>
          <w:p w14:paraId="7718244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993" w:type="dxa"/>
            <w:tcMar>
              <w:left w:w="57" w:type="dxa"/>
              <w:right w:w="57" w:type="dxa"/>
            </w:tcMar>
            <w:vAlign w:val="center"/>
          </w:tcPr>
          <w:p w14:paraId="15D75FDC">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377.1371</w:t>
            </w:r>
          </w:p>
        </w:tc>
        <w:tc>
          <w:tcPr>
            <w:tcW w:w="992" w:type="dxa"/>
            <w:tcMar>
              <w:left w:w="57" w:type="dxa"/>
              <w:right w:w="57" w:type="dxa"/>
            </w:tcMar>
            <w:vAlign w:val="center"/>
          </w:tcPr>
          <w:p w14:paraId="7AAC7D8F">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100.00%</w:t>
            </w:r>
          </w:p>
        </w:tc>
        <w:tc>
          <w:tcPr>
            <w:tcW w:w="4819" w:type="dxa"/>
            <w:noWrap/>
            <w:tcMar>
              <w:left w:w="57" w:type="dxa"/>
              <w:right w:w="57" w:type="dxa"/>
            </w:tcMar>
            <w:vAlign w:val="center"/>
          </w:tcPr>
          <w:p w14:paraId="03FB1AE4">
            <w:pPr>
              <w:pStyle w:val="105"/>
              <w:widowControl w:val="0"/>
              <w:jc w:val="center"/>
              <w:rPr>
                <w:color w:val="000000" w:themeColor="text1"/>
                <w14:textFill>
                  <w14:solidFill>
                    <w14:schemeClr w14:val="tx1"/>
                  </w14:solidFill>
                </w14:textFill>
              </w:rPr>
            </w:pPr>
          </w:p>
        </w:tc>
      </w:tr>
    </w:tbl>
    <w:p w14:paraId="2104B1CD">
      <w:pPr>
        <w:pStyle w:val="118"/>
        <w:spacing w:before="240"/>
        <w:rPr>
          <w:color w:val="000000" w:themeColor="text1"/>
          <w14:textFill>
            <w14:solidFill>
              <w14:schemeClr w14:val="tx1"/>
            </w14:solidFill>
          </w14:textFill>
        </w:rPr>
      </w:pPr>
      <w:r>
        <w:rPr>
          <w:rFonts w:hint="eastAsia"/>
          <w:color w:val="000000" w:themeColor="text1"/>
          <w14:textFill>
            <w14:solidFill>
              <w14:schemeClr w14:val="tx1"/>
            </w14:solidFill>
          </w14:textFill>
        </w:rPr>
        <w:t>生态系统的敏感性</w:t>
      </w:r>
    </w:p>
    <w:p w14:paraId="68517B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态系统的敏感性主要反映了区域生态系统在遇到干扰时，发生生态环境问题的可能性程度。一般把区域生态环境分为极敏感、高度敏感、敏感、轻度敏感、不敏感五个等级进行评价，确定特定生态环境问题可能发生的地区范围与可能程度，以便采取有针对性的保护与建设措施。</w:t>
      </w:r>
    </w:p>
    <w:p w14:paraId="0A9610A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从本项目沿线生态系统的敏感性来看，线路途经地段生态系统敏感性总体不是很高，但在局部有较为敏感区域，主要涉及部分生态公益林用地。</w:t>
      </w:r>
    </w:p>
    <w:p w14:paraId="6F61F9F2">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土地利用现状调查与评价</w:t>
      </w:r>
    </w:p>
    <w:p w14:paraId="11DED63E">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线路</w:t>
      </w:r>
      <w:r>
        <w:rPr>
          <w:color w:val="000000" w:themeColor="text1"/>
          <w14:textFill>
            <w14:solidFill>
              <w14:schemeClr w14:val="tx1"/>
            </w14:solidFill>
          </w14:textFill>
        </w:rPr>
        <w:t>总长度5.2m，评价范围约377.</w:t>
      </w:r>
      <w:r>
        <w:rPr>
          <w:rFonts w:hint="eastAsia"/>
          <w:color w:val="000000" w:themeColor="text1"/>
          <w14:textFill>
            <w14:solidFill>
              <w14:schemeClr w14:val="tx1"/>
            </w14:solidFill>
          </w14:textFill>
        </w:rPr>
        <w:t xml:space="preserve"> 1371</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。根据本次评价对</w:t>
      </w:r>
      <w:r>
        <w:rPr>
          <w:rFonts w:hint="eastAsia"/>
          <w:color w:val="000000" w:themeColor="text1"/>
          <w14:textFill>
            <w14:solidFill>
              <w14:schemeClr w14:val="tx1"/>
            </w14:solidFill>
          </w14:textFill>
        </w:rPr>
        <w:t>线路</w:t>
      </w:r>
      <w:r>
        <w:rPr>
          <w:color w:val="000000" w:themeColor="text1"/>
          <w14:textFill>
            <w14:solidFill>
              <w14:schemeClr w14:val="tx1"/>
            </w14:solidFill>
          </w14:textFill>
        </w:rPr>
        <w:t>沿线植被类型调查可知，主要分布有乔木林地、</w:t>
      </w:r>
      <w:r>
        <w:rPr>
          <w:rFonts w:hint="eastAsia"/>
          <w:color w:val="000000" w:themeColor="text1"/>
          <w14:textFill>
            <w14:solidFill>
              <w14:schemeClr w14:val="tx1"/>
            </w14:solidFill>
          </w14:textFill>
        </w:rPr>
        <w:t>耕地、园地、</w:t>
      </w:r>
      <w:r>
        <w:rPr>
          <w:color w:val="000000" w:themeColor="text1"/>
          <w14:textFill>
            <w14:solidFill>
              <w14:schemeClr w14:val="tx1"/>
            </w14:solidFill>
          </w14:textFill>
        </w:rPr>
        <w:t>公路用地等。</w:t>
      </w:r>
      <w:r>
        <w:rPr>
          <w:rFonts w:hint="eastAsia"/>
          <w:color w:val="000000" w:themeColor="text1"/>
          <w14:textFill>
            <w14:solidFill>
              <w14:schemeClr w14:val="tx1"/>
            </w14:solidFill>
          </w14:textFill>
        </w:rPr>
        <w:t>工程评价区范围内主要用地类型为水田28.39</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乔木林地</w:t>
      </w:r>
      <w:r>
        <w:rPr>
          <w:rFonts w:hint="eastAsia"/>
          <w:color w:val="000000" w:themeColor="text1"/>
          <w14:textFill>
            <w14:solidFill>
              <w14:schemeClr w14:val="tx1"/>
            </w14:solidFill>
          </w14:textFill>
        </w:rPr>
        <w:t>25.50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、园地15.7</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，其他类型的用地面积较小。</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评价范围土地</w:t>
      </w:r>
      <w:r>
        <w:rPr>
          <w:color w:val="000000" w:themeColor="text1"/>
          <w14:textFill>
            <w14:solidFill>
              <w14:schemeClr w14:val="tx1"/>
            </w14:solidFill>
          </w14:textFill>
        </w:rPr>
        <w:t>类型统计情况</w:t>
      </w: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_Ref78473865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表4.3-2</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373004B8">
      <w:pPr>
        <w:pStyle w:val="87"/>
        <w:spacing w:before="163"/>
        <w:ind w:left="480" w:firstLine="480"/>
        <w:rPr>
          <w:color w:val="000000" w:themeColor="text1"/>
          <w14:textFill>
            <w14:solidFill>
              <w14:schemeClr w14:val="tx1"/>
            </w14:solidFill>
          </w14:textFill>
        </w:rPr>
      </w:pPr>
      <w:bookmarkStart w:id="572" w:name="_Ref78473865"/>
      <w:r>
        <w:rPr>
          <w:rFonts w:hint="eastAsia"/>
          <w:color w:val="000000" w:themeColor="text1"/>
          <w14:textFill>
            <w14:solidFill>
              <w14:schemeClr w14:val="tx1"/>
            </w14:solidFill>
          </w14:textFill>
        </w:rPr>
        <w:t>线路评价范围内</w:t>
      </w:r>
      <w:r>
        <w:rPr>
          <w:color w:val="000000" w:themeColor="text1"/>
          <w14:textFill>
            <w14:solidFill>
              <w14:schemeClr w14:val="tx1"/>
            </w14:solidFill>
          </w14:textFill>
        </w:rPr>
        <w:t>土地利用类型统计表</w:t>
      </w:r>
      <w:bookmarkEnd w:id="572"/>
    </w:p>
    <w:tbl>
      <w:tblPr>
        <w:tblStyle w:val="15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16"/>
        <w:gridCol w:w="1284"/>
        <w:gridCol w:w="1172"/>
        <w:gridCol w:w="1282"/>
        <w:gridCol w:w="716"/>
        <w:gridCol w:w="1563"/>
        <w:gridCol w:w="1172"/>
        <w:gridCol w:w="1279"/>
      </w:tblGrid>
      <w:tr w14:paraId="27D271C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390" w:type="pct"/>
            <w:vMerge w:val="restart"/>
            <w:tcMar>
              <w:left w:w="57" w:type="dxa"/>
              <w:right w:w="57" w:type="dxa"/>
            </w:tcMar>
            <w:vAlign w:val="center"/>
          </w:tcPr>
          <w:p w14:paraId="16BD1F1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99" w:type="pct"/>
            <w:vMerge w:val="restart"/>
            <w:tcMar>
              <w:left w:w="57" w:type="dxa"/>
              <w:right w:w="57" w:type="dxa"/>
            </w:tcMar>
            <w:vAlign w:val="center"/>
          </w:tcPr>
          <w:p w14:paraId="14D82A2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土地利</w:t>
            </w:r>
          </w:p>
          <w:p w14:paraId="4689A2E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用类型</w:t>
            </w:r>
          </w:p>
        </w:tc>
        <w:tc>
          <w:tcPr>
            <w:tcW w:w="1336" w:type="pct"/>
            <w:gridSpan w:val="2"/>
            <w:tcMar>
              <w:left w:w="57" w:type="dxa"/>
              <w:right w:w="57" w:type="dxa"/>
            </w:tcMar>
            <w:vAlign w:val="center"/>
          </w:tcPr>
          <w:p w14:paraId="1D5617E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评价范围</w:t>
            </w:r>
          </w:p>
        </w:tc>
        <w:tc>
          <w:tcPr>
            <w:tcW w:w="390" w:type="pct"/>
            <w:vMerge w:val="restart"/>
            <w:tcMar>
              <w:left w:w="57" w:type="dxa"/>
              <w:right w:w="57" w:type="dxa"/>
            </w:tcMar>
            <w:vAlign w:val="center"/>
          </w:tcPr>
          <w:p w14:paraId="4C8ACDA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851" w:type="pct"/>
            <w:vMerge w:val="restart"/>
            <w:tcMar>
              <w:left w:w="57" w:type="dxa"/>
              <w:right w:w="57" w:type="dxa"/>
            </w:tcMar>
            <w:vAlign w:val="center"/>
          </w:tcPr>
          <w:p w14:paraId="5EE08EB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土地利</w:t>
            </w:r>
          </w:p>
          <w:p w14:paraId="151F6FD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用类型</w:t>
            </w:r>
          </w:p>
        </w:tc>
        <w:tc>
          <w:tcPr>
            <w:tcW w:w="1334" w:type="pct"/>
            <w:gridSpan w:val="2"/>
            <w:tcMar>
              <w:left w:w="57" w:type="dxa"/>
              <w:right w:w="57" w:type="dxa"/>
            </w:tcMar>
            <w:vAlign w:val="center"/>
          </w:tcPr>
          <w:p w14:paraId="5992805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评价范围</w:t>
            </w:r>
          </w:p>
        </w:tc>
      </w:tr>
      <w:tr w14:paraId="091A4E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5" w:hRule="atLeast"/>
        </w:trPr>
        <w:tc>
          <w:tcPr>
            <w:tcW w:w="390" w:type="pct"/>
            <w:vMerge w:val="continue"/>
            <w:tcMar>
              <w:left w:w="57" w:type="dxa"/>
              <w:right w:w="57" w:type="dxa"/>
            </w:tcMar>
            <w:vAlign w:val="center"/>
          </w:tcPr>
          <w:p w14:paraId="2D551565">
            <w:pPr>
              <w:pStyle w:val="105"/>
              <w:widowControl w:val="0"/>
              <w:jc w:val="center"/>
              <w:rPr>
                <w:color w:val="000000" w:themeColor="text1"/>
                <w14:textFill>
                  <w14:solidFill>
                    <w14:schemeClr w14:val="tx1"/>
                  </w14:solidFill>
                </w14:textFill>
              </w:rPr>
            </w:pPr>
          </w:p>
        </w:tc>
        <w:tc>
          <w:tcPr>
            <w:tcW w:w="699" w:type="pct"/>
            <w:vMerge w:val="continue"/>
            <w:tcMar>
              <w:left w:w="57" w:type="dxa"/>
              <w:right w:w="57" w:type="dxa"/>
            </w:tcMar>
            <w:vAlign w:val="center"/>
          </w:tcPr>
          <w:p w14:paraId="18FB0D04">
            <w:pPr>
              <w:pStyle w:val="105"/>
              <w:widowControl w:val="0"/>
              <w:jc w:val="center"/>
              <w:rPr>
                <w:color w:val="000000" w:themeColor="text1"/>
                <w14:textFill>
                  <w14:solidFill>
                    <w14:schemeClr w14:val="tx1"/>
                  </w14:solidFill>
                </w14:textFill>
              </w:rPr>
            </w:pPr>
          </w:p>
        </w:tc>
        <w:tc>
          <w:tcPr>
            <w:tcW w:w="638" w:type="pct"/>
            <w:tcMar>
              <w:left w:w="57" w:type="dxa"/>
              <w:right w:w="57" w:type="dxa"/>
            </w:tcMar>
            <w:vAlign w:val="center"/>
          </w:tcPr>
          <w:p w14:paraId="37027F4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面积</w:t>
            </w:r>
          </w:p>
          <w:p w14:paraId="6416F25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vertAlign w:val="superscript"/>
                <w14:textFill>
                  <w14:solidFill>
                    <w14:schemeClr w14:val="tx1"/>
                  </w14:solidFill>
                </w14:textFill>
              </w:rPr>
              <w:t>)</w:t>
            </w:r>
          </w:p>
        </w:tc>
        <w:tc>
          <w:tcPr>
            <w:tcW w:w="698" w:type="pct"/>
            <w:tcMar>
              <w:left w:w="57" w:type="dxa"/>
              <w:right w:w="57" w:type="dxa"/>
            </w:tcMar>
            <w:vAlign w:val="center"/>
          </w:tcPr>
          <w:p w14:paraId="7E8359C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面积比例</w:t>
            </w:r>
          </w:p>
          <w:p w14:paraId="69619BD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90" w:type="pct"/>
            <w:vMerge w:val="continue"/>
            <w:tcMar>
              <w:left w:w="57" w:type="dxa"/>
              <w:right w:w="57" w:type="dxa"/>
            </w:tcMar>
            <w:vAlign w:val="center"/>
          </w:tcPr>
          <w:p w14:paraId="0D2D7E4F">
            <w:pPr>
              <w:pStyle w:val="105"/>
              <w:widowControl w:val="0"/>
              <w:jc w:val="center"/>
              <w:rPr>
                <w:color w:val="000000" w:themeColor="text1"/>
                <w14:textFill>
                  <w14:solidFill>
                    <w14:schemeClr w14:val="tx1"/>
                  </w14:solidFill>
                </w14:textFill>
              </w:rPr>
            </w:pPr>
          </w:p>
        </w:tc>
        <w:tc>
          <w:tcPr>
            <w:tcW w:w="851" w:type="pct"/>
            <w:vMerge w:val="continue"/>
            <w:tcMar>
              <w:left w:w="57" w:type="dxa"/>
              <w:right w:w="57" w:type="dxa"/>
            </w:tcMar>
            <w:vAlign w:val="center"/>
          </w:tcPr>
          <w:p w14:paraId="5ACE1E8A">
            <w:pPr>
              <w:pStyle w:val="105"/>
              <w:widowControl w:val="0"/>
              <w:jc w:val="center"/>
              <w:rPr>
                <w:color w:val="000000" w:themeColor="text1"/>
                <w14:textFill>
                  <w14:solidFill>
                    <w14:schemeClr w14:val="tx1"/>
                  </w14:solidFill>
                </w14:textFill>
              </w:rPr>
            </w:pPr>
          </w:p>
        </w:tc>
        <w:tc>
          <w:tcPr>
            <w:tcW w:w="638" w:type="pct"/>
            <w:tcMar>
              <w:left w:w="57" w:type="dxa"/>
              <w:right w:w="57" w:type="dxa"/>
            </w:tcMar>
            <w:vAlign w:val="center"/>
          </w:tcPr>
          <w:p w14:paraId="271EB13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面积</w:t>
            </w:r>
          </w:p>
          <w:p w14:paraId="61E9DE8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vertAlign w:val="superscript"/>
                <w14:textFill>
                  <w14:solidFill>
                    <w14:schemeClr w14:val="tx1"/>
                  </w14:solidFill>
                </w14:textFill>
              </w:rPr>
              <w:t>)</w:t>
            </w:r>
          </w:p>
        </w:tc>
        <w:tc>
          <w:tcPr>
            <w:tcW w:w="696" w:type="pct"/>
            <w:tcMar>
              <w:left w:w="57" w:type="dxa"/>
              <w:right w:w="57" w:type="dxa"/>
            </w:tcMar>
            <w:vAlign w:val="center"/>
          </w:tcPr>
          <w:p w14:paraId="4D6DF65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面积比例</w:t>
            </w:r>
          </w:p>
          <w:p w14:paraId="631DB2E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w:t>
            </w:r>
          </w:p>
        </w:tc>
      </w:tr>
      <w:tr w14:paraId="7909D77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0505C5F2">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w:t>
            </w:r>
          </w:p>
        </w:tc>
        <w:tc>
          <w:tcPr>
            <w:tcW w:w="699" w:type="pct"/>
            <w:tcMar>
              <w:left w:w="57" w:type="dxa"/>
              <w:right w:w="57" w:type="dxa"/>
            </w:tcMar>
            <w:vAlign w:val="center"/>
          </w:tcPr>
          <w:p w14:paraId="211767F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水田</w:t>
            </w:r>
          </w:p>
        </w:tc>
        <w:tc>
          <w:tcPr>
            <w:tcW w:w="638" w:type="pct"/>
            <w:noWrap/>
            <w:tcMar>
              <w:left w:w="57" w:type="dxa"/>
              <w:right w:w="57" w:type="dxa"/>
            </w:tcMar>
            <w:vAlign w:val="bottom"/>
          </w:tcPr>
          <w:p w14:paraId="507B62B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107.078</w:t>
            </w:r>
          </w:p>
        </w:tc>
        <w:tc>
          <w:tcPr>
            <w:tcW w:w="698" w:type="pct"/>
            <w:tcMar>
              <w:left w:w="57" w:type="dxa"/>
              <w:right w:w="57" w:type="dxa"/>
            </w:tcMar>
            <w:vAlign w:val="bottom"/>
          </w:tcPr>
          <w:p w14:paraId="0D556CF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28.39%</w:t>
            </w:r>
          </w:p>
        </w:tc>
        <w:tc>
          <w:tcPr>
            <w:tcW w:w="390" w:type="pct"/>
            <w:tcMar>
              <w:left w:w="57" w:type="dxa"/>
              <w:right w:w="57" w:type="dxa"/>
            </w:tcMar>
            <w:vAlign w:val="bottom"/>
          </w:tcPr>
          <w:p w14:paraId="45EFEF0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w:t>
            </w:r>
          </w:p>
        </w:tc>
        <w:tc>
          <w:tcPr>
            <w:tcW w:w="851" w:type="pct"/>
            <w:tcMar>
              <w:left w:w="57" w:type="dxa"/>
              <w:right w:w="57" w:type="dxa"/>
            </w:tcMar>
            <w:vAlign w:val="center"/>
          </w:tcPr>
          <w:p w14:paraId="1F94A1B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设施农用地</w:t>
            </w:r>
          </w:p>
        </w:tc>
        <w:tc>
          <w:tcPr>
            <w:tcW w:w="638" w:type="pct"/>
            <w:tcMar>
              <w:left w:w="57" w:type="dxa"/>
              <w:right w:w="57" w:type="dxa"/>
            </w:tcMar>
            <w:vAlign w:val="bottom"/>
          </w:tcPr>
          <w:p w14:paraId="27BD201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13.6521</w:t>
            </w:r>
          </w:p>
        </w:tc>
        <w:tc>
          <w:tcPr>
            <w:tcW w:w="696" w:type="pct"/>
            <w:tcMar>
              <w:left w:w="57" w:type="dxa"/>
              <w:right w:w="57" w:type="dxa"/>
            </w:tcMar>
            <w:vAlign w:val="bottom"/>
          </w:tcPr>
          <w:p w14:paraId="4EF07FF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3.62%</w:t>
            </w:r>
          </w:p>
        </w:tc>
      </w:tr>
      <w:tr w14:paraId="0964E6E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15F72765">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w:t>
            </w:r>
          </w:p>
        </w:tc>
        <w:tc>
          <w:tcPr>
            <w:tcW w:w="699" w:type="pct"/>
            <w:tcMar>
              <w:left w:w="57" w:type="dxa"/>
              <w:right w:w="57" w:type="dxa"/>
            </w:tcMar>
            <w:vAlign w:val="center"/>
          </w:tcPr>
          <w:p w14:paraId="460CD52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旱地</w:t>
            </w:r>
          </w:p>
        </w:tc>
        <w:tc>
          <w:tcPr>
            <w:tcW w:w="638" w:type="pct"/>
            <w:noWrap/>
            <w:tcMar>
              <w:left w:w="57" w:type="dxa"/>
              <w:right w:w="57" w:type="dxa"/>
            </w:tcMar>
            <w:vAlign w:val="bottom"/>
          </w:tcPr>
          <w:p w14:paraId="7AC6A98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5.4305</w:t>
            </w:r>
          </w:p>
        </w:tc>
        <w:tc>
          <w:tcPr>
            <w:tcW w:w="698" w:type="pct"/>
            <w:tcMar>
              <w:left w:w="57" w:type="dxa"/>
              <w:right w:w="57" w:type="dxa"/>
            </w:tcMar>
            <w:vAlign w:val="bottom"/>
          </w:tcPr>
          <w:p w14:paraId="04E7E0B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1.44%</w:t>
            </w:r>
          </w:p>
        </w:tc>
        <w:tc>
          <w:tcPr>
            <w:tcW w:w="390" w:type="pct"/>
            <w:tcMar>
              <w:left w:w="57" w:type="dxa"/>
              <w:right w:w="57" w:type="dxa"/>
            </w:tcMar>
            <w:vAlign w:val="bottom"/>
          </w:tcPr>
          <w:p w14:paraId="2920617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13</w:t>
            </w:r>
          </w:p>
        </w:tc>
        <w:tc>
          <w:tcPr>
            <w:tcW w:w="851" w:type="pct"/>
            <w:tcMar>
              <w:left w:w="57" w:type="dxa"/>
              <w:right w:w="57" w:type="dxa"/>
            </w:tcMar>
            <w:vAlign w:val="center"/>
          </w:tcPr>
          <w:p w14:paraId="5F7751D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田坎</w:t>
            </w:r>
          </w:p>
        </w:tc>
        <w:tc>
          <w:tcPr>
            <w:tcW w:w="638" w:type="pct"/>
            <w:tcMar>
              <w:left w:w="57" w:type="dxa"/>
              <w:right w:w="57" w:type="dxa"/>
            </w:tcMar>
            <w:vAlign w:val="bottom"/>
          </w:tcPr>
          <w:p w14:paraId="229C4A6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3.2294</w:t>
            </w:r>
          </w:p>
        </w:tc>
        <w:tc>
          <w:tcPr>
            <w:tcW w:w="696" w:type="pct"/>
            <w:tcMar>
              <w:left w:w="57" w:type="dxa"/>
              <w:right w:w="57" w:type="dxa"/>
            </w:tcMar>
            <w:vAlign w:val="bottom"/>
          </w:tcPr>
          <w:p w14:paraId="3C7B367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0.86%</w:t>
            </w:r>
          </w:p>
        </w:tc>
      </w:tr>
      <w:tr w14:paraId="51855B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015437B7">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w:t>
            </w:r>
          </w:p>
        </w:tc>
        <w:tc>
          <w:tcPr>
            <w:tcW w:w="699" w:type="pct"/>
            <w:tcMar>
              <w:left w:w="57" w:type="dxa"/>
              <w:right w:w="57" w:type="dxa"/>
            </w:tcMar>
            <w:vAlign w:val="center"/>
          </w:tcPr>
          <w:p w14:paraId="5B3E0C1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果园</w:t>
            </w:r>
          </w:p>
        </w:tc>
        <w:tc>
          <w:tcPr>
            <w:tcW w:w="638" w:type="pct"/>
            <w:noWrap/>
            <w:tcMar>
              <w:left w:w="57" w:type="dxa"/>
              <w:right w:w="57" w:type="dxa"/>
            </w:tcMar>
            <w:vAlign w:val="bottom"/>
          </w:tcPr>
          <w:p w14:paraId="0EBE203F">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59.3744</w:t>
            </w:r>
          </w:p>
        </w:tc>
        <w:tc>
          <w:tcPr>
            <w:tcW w:w="698" w:type="pct"/>
            <w:tcMar>
              <w:left w:w="57" w:type="dxa"/>
              <w:right w:w="57" w:type="dxa"/>
            </w:tcMar>
            <w:vAlign w:val="bottom"/>
          </w:tcPr>
          <w:p w14:paraId="3692D15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15.74%</w:t>
            </w:r>
          </w:p>
        </w:tc>
        <w:tc>
          <w:tcPr>
            <w:tcW w:w="390" w:type="pct"/>
            <w:tcMar>
              <w:left w:w="57" w:type="dxa"/>
              <w:right w:w="57" w:type="dxa"/>
            </w:tcMar>
            <w:vAlign w:val="bottom"/>
          </w:tcPr>
          <w:p w14:paraId="33B8D94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14</w:t>
            </w:r>
          </w:p>
        </w:tc>
        <w:tc>
          <w:tcPr>
            <w:tcW w:w="851" w:type="pct"/>
            <w:tcMar>
              <w:left w:w="57" w:type="dxa"/>
              <w:right w:w="57" w:type="dxa"/>
            </w:tcMar>
            <w:vAlign w:val="center"/>
          </w:tcPr>
          <w:p w14:paraId="789E9B1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建制镇</w:t>
            </w:r>
          </w:p>
        </w:tc>
        <w:tc>
          <w:tcPr>
            <w:tcW w:w="638" w:type="pct"/>
            <w:tcMar>
              <w:left w:w="57" w:type="dxa"/>
              <w:right w:w="57" w:type="dxa"/>
            </w:tcMar>
            <w:vAlign w:val="bottom"/>
          </w:tcPr>
          <w:p w14:paraId="13BFA40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6.4</w:t>
            </w:r>
          </w:p>
        </w:tc>
        <w:tc>
          <w:tcPr>
            <w:tcW w:w="696" w:type="pct"/>
            <w:tcMar>
              <w:left w:w="57" w:type="dxa"/>
              <w:right w:w="57" w:type="dxa"/>
            </w:tcMar>
            <w:vAlign w:val="bottom"/>
          </w:tcPr>
          <w:p w14:paraId="1BFB969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1.70%</w:t>
            </w:r>
          </w:p>
        </w:tc>
      </w:tr>
      <w:tr w14:paraId="48CCD82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7ED69280">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w:t>
            </w:r>
          </w:p>
        </w:tc>
        <w:tc>
          <w:tcPr>
            <w:tcW w:w="699" w:type="pct"/>
            <w:tcMar>
              <w:left w:w="57" w:type="dxa"/>
              <w:right w:w="57" w:type="dxa"/>
            </w:tcMar>
            <w:vAlign w:val="center"/>
          </w:tcPr>
          <w:p w14:paraId="2906AF2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其他园地</w:t>
            </w:r>
          </w:p>
        </w:tc>
        <w:tc>
          <w:tcPr>
            <w:tcW w:w="638" w:type="pct"/>
            <w:noWrap/>
            <w:tcMar>
              <w:left w:w="57" w:type="dxa"/>
              <w:right w:w="57" w:type="dxa"/>
            </w:tcMar>
            <w:vAlign w:val="bottom"/>
          </w:tcPr>
          <w:p w14:paraId="6C5C15D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0.0613</w:t>
            </w:r>
          </w:p>
        </w:tc>
        <w:tc>
          <w:tcPr>
            <w:tcW w:w="698" w:type="pct"/>
            <w:tcMar>
              <w:left w:w="57" w:type="dxa"/>
              <w:right w:w="57" w:type="dxa"/>
            </w:tcMar>
            <w:vAlign w:val="bottom"/>
          </w:tcPr>
          <w:p w14:paraId="50CA3B4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390" w:type="pct"/>
            <w:tcMar>
              <w:left w:w="57" w:type="dxa"/>
              <w:right w:w="57" w:type="dxa"/>
            </w:tcMar>
            <w:vAlign w:val="bottom"/>
          </w:tcPr>
          <w:p w14:paraId="08D7645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w:t>
            </w:r>
          </w:p>
        </w:tc>
        <w:tc>
          <w:tcPr>
            <w:tcW w:w="851" w:type="pct"/>
            <w:tcMar>
              <w:left w:w="57" w:type="dxa"/>
              <w:right w:w="57" w:type="dxa"/>
            </w:tcMar>
            <w:vAlign w:val="center"/>
          </w:tcPr>
          <w:p w14:paraId="57166CC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村庄</w:t>
            </w:r>
          </w:p>
        </w:tc>
        <w:tc>
          <w:tcPr>
            <w:tcW w:w="638" w:type="pct"/>
            <w:tcMar>
              <w:left w:w="57" w:type="dxa"/>
              <w:right w:w="57" w:type="dxa"/>
            </w:tcMar>
            <w:vAlign w:val="bottom"/>
          </w:tcPr>
          <w:p w14:paraId="0A4415B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28.5623</w:t>
            </w:r>
          </w:p>
        </w:tc>
        <w:tc>
          <w:tcPr>
            <w:tcW w:w="696" w:type="pct"/>
            <w:tcMar>
              <w:left w:w="57" w:type="dxa"/>
              <w:right w:w="57" w:type="dxa"/>
            </w:tcMar>
            <w:vAlign w:val="bottom"/>
          </w:tcPr>
          <w:p w14:paraId="1746BB3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7.57%</w:t>
            </w:r>
          </w:p>
        </w:tc>
      </w:tr>
      <w:tr w14:paraId="6FB39B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7F734BC3">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w:t>
            </w:r>
          </w:p>
        </w:tc>
        <w:tc>
          <w:tcPr>
            <w:tcW w:w="699" w:type="pct"/>
            <w:tcMar>
              <w:left w:w="57" w:type="dxa"/>
              <w:right w:w="57" w:type="dxa"/>
            </w:tcMar>
            <w:vAlign w:val="center"/>
          </w:tcPr>
          <w:p w14:paraId="60C9050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乔木林地</w:t>
            </w:r>
          </w:p>
        </w:tc>
        <w:tc>
          <w:tcPr>
            <w:tcW w:w="638" w:type="pct"/>
            <w:noWrap/>
            <w:tcMar>
              <w:left w:w="57" w:type="dxa"/>
              <w:right w:w="57" w:type="dxa"/>
            </w:tcMar>
            <w:vAlign w:val="bottom"/>
          </w:tcPr>
          <w:p w14:paraId="2D1D8FB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96.1715</w:t>
            </w:r>
          </w:p>
        </w:tc>
        <w:tc>
          <w:tcPr>
            <w:tcW w:w="698" w:type="pct"/>
            <w:tcMar>
              <w:left w:w="57" w:type="dxa"/>
              <w:right w:w="57" w:type="dxa"/>
            </w:tcMar>
            <w:vAlign w:val="bottom"/>
          </w:tcPr>
          <w:p w14:paraId="4284A76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25.50%</w:t>
            </w:r>
          </w:p>
        </w:tc>
        <w:tc>
          <w:tcPr>
            <w:tcW w:w="390" w:type="pct"/>
            <w:tcMar>
              <w:left w:w="57" w:type="dxa"/>
              <w:right w:w="57" w:type="dxa"/>
            </w:tcMar>
            <w:vAlign w:val="bottom"/>
          </w:tcPr>
          <w:p w14:paraId="283E954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851" w:type="pct"/>
            <w:tcMar>
              <w:left w:w="57" w:type="dxa"/>
              <w:right w:w="57" w:type="dxa"/>
            </w:tcMar>
            <w:vAlign w:val="center"/>
          </w:tcPr>
          <w:p w14:paraId="7F96A54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特殊用地</w:t>
            </w:r>
          </w:p>
        </w:tc>
        <w:tc>
          <w:tcPr>
            <w:tcW w:w="638" w:type="pct"/>
            <w:tcMar>
              <w:left w:w="57" w:type="dxa"/>
              <w:right w:w="57" w:type="dxa"/>
            </w:tcMar>
            <w:vAlign w:val="bottom"/>
          </w:tcPr>
          <w:p w14:paraId="078079E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2.9829</w:t>
            </w:r>
          </w:p>
        </w:tc>
        <w:tc>
          <w:tcPr>
            <w:tcW w:w="696" w:type="pct"/>
            <w:tcMar>
              <w:left w:w="57" w:type="dxa"/>
              <w:right w:w="57" w:type="dxa"/>
            </w:tcMar>
            <w:vAlign w:val="bottom"/>
          </w:tcPr>
          <w:p w14:paraId="04EB64F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0.79%</w:t>
            </w:r>
          </w:p>
        </w:tc>
      </w:tr>
      <w:tr w14:paraId="49C69E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3AC371A1">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6</w:t>
            </w:r>
          </w:p>
        </w:tc>
        <w:tc>
          <w:tcPr>
            <w:tcW w:w="699" w:type="pct"/>
            <w:tcMar>
              <w:left w:w="57" w:type="dxa"/>
              <w:right w:w="57" w:type="dxa"/>
            </w:tcMar>
            <w:vAlign w:val="center"/>
          </w:tcPr>
          <w:p w14:paraId="2A6DDBAF">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灌木林地</w:t>
            </w:r>
          </w:p>
        </w:tc>
        <w:tc>
          <w:tcPr>
            <w:tcW w:w="638" w:type="pct"/>
            <w:noWrap/>
            <w:tcMar>
              <w:left w:w="57" w:type="dxa"/>
              <w:right w:w="57" w:type="dxa"/>
            </w:tcMar>
            <w:vAlign w:val="bottom"/>
          </w:tcPr>
          <w:p w14:paraId="1FDA23E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1.0887</w:t>
            </w:r>
          </w:p>
        </w:tc>
        <w:tc>
          <w:tcPr>
            <w:tcW w:w="698" w:type="pct"/>
            <w:tcMar>
              <w:left w:w="57" w:type="dxa"/>
              <w:right w:w="57" w:type="dxa"/>
            </w:tcMar>
            <w:vAlign w:val="bottom"/>
          </w:tcPr>
          <w:p w14:paraId="5E7DD61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0.29%</w:t>
            </w:r>
          </w:p>
        </w:tc>
        <w:tc>
          <w:tcPr>
            <w:tcW w:w="390" w:type="pct"/>
            <w:tcMar>
              <w:left w:w="57" w:type="dxa"/>
              <w:right w:w="57" w:type="dxa"/>
            </w:tcMar>
            <w:vAlign w:val="bottom"/>
          </w:tcPr>
          <w:p w14:paraId="112C11C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17</w:t>
            </w:r>
          </w:p>
        </w:tc>
        <w:tc>
          <w:tcPr>
            <w:tcW w:w="851" w:type="pct"/>
            <w:tcMar>
              <w:left w:w="57" w:type="dxa"/>
              <w:right w:w="57" w:type="dxa"/>
            </w:tcMar>
            <w:vAlign w:val="center"/>
          </w:tcPr>
          <w:p w14:paraId="0584CEDF">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铁路用地</w:t>
            </w:r>
          </w:p>
        </w:tc>
        <w:tc>
          <w:tcPr>
            <w:tcW w:w="638" w:type="pct"/>
            <w:tcMar>
              <w:left w:w="57" w:type="dxa"/>
              <w:right w:w="57" w:type="dxa"/>
            </w:tcMar>
            <w:vAlign w:val="bottom"/>
          </w:tcPr>
          <w:p w14:paraId="2A03664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2.9598</w:t>
            </w:r>
          </w:p>
        </w:tc>
        <w:tc>
          <w:tcPr>
            <w:tcW w:w="696" w:type="pct"/>
            <w:tcMar>
              <w:left w:w="57" w:type="dxa"/>
              <w:right w:w="57" w:type="dxa"/>
            </w:tcMar>
            <w:vAlign w:val="bottom"/>
          </w:tcPr>
          <w:p w14:paraId="6BAC30E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0.78%</w:t>
            </w:r>
          </w:p>
        </w:tc>
      </w:tr>
      <w:tr w14:paraId="029C18A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44F043B6">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7</w:t>
            </w:r>
          </w:p>
        </w:tc>
        <w:tc>
          <w:tcPr>
            <w:tcW w:w="699" w:type="pct"/>
            <w:tcMar>
              <w:left w:w="57" w:type="dxa"/>
              <w:right w:w="57" w:type="dxa"/>
            </w:tcMar>
            <w:vAlign w:val="center"/>
          </w:tcPr>
          <w:p w14:paraId="4E599EA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其他林地</w:t>
            </w:r>
          </w:p>
        </w:tc>
        <w:tc>
          <w:tcPr>
            <w:tcW w:w="638" w:type="pct"/>
            <w:noWrap/>
            <w:tcMar>
              <w:left w:w="57" w:type="dxa"/>
              <w:right w:w="57" w:type="dxa"/>
            </w:tcMar>
            <w:vAlign w:val="bottom"/>
          </w:tcPr>
          <w:p w14:paraId="1EE3BBA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7.8066</w:t>
            </w:r>
          </w:p>
        </w:tc>
        <w:tc>
          <w:tcPr>
            <w:tcW w:w="698" w:type="pct"/>
            <w:tcMar>
              <w:left w:w="57" w:type="dxa"/>
              <w:right w:w="57" w:type="dxa"/>
            </w:tcMar>
            <w:vAlign w:val="bottom"/>
          </w:tcPr>
          <w:p w14:paraId="77041355">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2.07%</w:t>
            </w:r>
          </w:p>
        </w:tc>
        <w:tc>
          <w:tcPr>
            <w:tcW w:w="390" w:type="pct"/>
            <w:tcMar>
              <w:left w:w="57" w:type="dxa"/>
              <w:right w:w="57" w:type="dxa"/>
            </w:tcMar>
            <w:vAlign w:val="bottom"/>
          </w:tcPr>
          <w:p w14:paraId="22830CB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18</w:t>
            </w:r>
          </w:p>
        </w:tc>
        <w:tc>
          <w:tcPr>
            <w:tcW w:w="851" w:type="pct"/>
            <w:tcMar>
              <w:left w:w="57" w:type="dxa"/>
              <w:right w:w="57" w:type="dxa"/>
            </w:tcMar>
            <w:vAlign w:val="center"/>
          </w:tcPr>
          <w:p w14:paraId="445AB6F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公路用地</w:t>
            </w:r>
          </w:p>
        </w:tc>
        <w:tc>
          <w:tcPr>
            <w:tcW w:w="638" w:type="pct"/>
            <w:tcMar>
              <w:left w:w="57" w:type="dxa"/>
              <w:right w:w="57" w:type="dxa"/>
            </w:tcMar>
            <w:vAlign w:val="bottom"/>
          </w:tcPr>
          <w:p w14:paraId="676FF59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8.3616</w:t>
            </w:r>
          </w:p>
        </w:tc>
        <w:tc>
          <w:tcPr>
            <w:tcW w:w="696" w:type="pct"/>
            <w:tcMar>
              <w:left w:w="57" w:type="dxa"/>
              <w:right w:w="57" w:type="dxa"/>
            </w:tcMar>
            <w:vAlign w:val="bottom"/>
          </w:tcPr>
          <w:p w14:paraId="2DB1919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2.22%</w:t>
            </w:r>
          </w:p>
        </w:tc>
      </w:tr>
      <w:tr w14:paraId="766B9C0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394C8341">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8</w:t>
            </w:r>
          </w:p>
        </w:tc>
        <w:tc>
          <w:tcPr>
            <w:tcW w:w="699" w:type="pct"/>
            <w:tcMar>
              <w:left w:w="57" w:type="dxa"/>
              <w:right w:w="57" w:type="dxa"/>
            </w:tcMar>
            <w:vAlign w:val="center"/>
          </w:tcPr>
          <w:p w14:paraId="51A7D58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其他草地</w:t>
            </w:r>
          </w:p>
        </w:tc>
        <w:tc>
          <w:tcPr>
            <w:tcW w:w="638" w:type="pct"/>
            <w:noWrap/>
            <w:tcMar>
              <w:left w:w="57" w:type="dxa"/>
              <w:right w:w="57" w:type="dxa"/>
            </w:tcMar>
            <w:vAlign w:val="bottom"/>
          </w:tcPr>
          <w:p w14:paraId="1E8E99A5">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6.6057</w:t>
            </w:r>
          </w:p>
        </w:tc>
        <w:tc>
          <w:tcPr>
            <w:tcW w:w="698" w:type="pct"/>
            <w:tcMar>
              <w:left w:w="57" w:type="dxa"/>
              <w:right w:w="57" w:type="dxa"/>
            </w:tcMar>
            <w:vAlign w:val="bottom"/>
          </w:tcPr>
          <w:p w14:paraId="078644E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1.75%</w:t>
            </w:r>
          </w:p>
        </w:tc>
        <w:tc>
          <w:tcPr>
            <w:tcW w:w="390" w:type="pct"/>
            <w:tcMar>
              <w:left w:w="57" w:type="dxa"/>
              <w:right w:w="57" w:type="dxa"/>
            </w:tcMar>
            <w:vAlign w:val="bottom"/>
          </w:tcPr>
          <w:p w14:paraId="0262CB7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w:t>
            </w:r>
          </w:p>
        </w:tc>
        <w:tc>
          <w:tcPr>
            <w:tcW w:w="851" w:type="pct"/>
            <w:tcMar>
              <w:left w:w="57" w:type="dxa"/>
              <w:right w:w="57" w:type="dxa"/>
            </w:tcMar>
            <w:vAlign w:val="center"/>
          </w:tcPr>
          <w:p w14:paraId="3B651CD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河流水面</w:t>
            </w:r>
          </w:p>
        </w:tc>
        <w:tc>
          <w:tcPr>
            <w:tcW w:w="638" w:type="pct"/>
            <w:tcMar>
              <w:left w:w="57" w:type="dxa"/>
              <w:right w:w="57" w:type="dxa"/>
            </w:tcMar>
            <w:vAlign w:val="bottom"/>
          </w:tcPr>
          <w:p w14:paraId="55EDA6B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11.8887</w:t>
            </w:r>
          </w:p>
        </w:tc>
        <w:tc>
          <w:tcPr>
            <w:tcW w:w="696" w:type="pct"/>
            <w:tcMar>
              <w:left w:w="57" w:type="dxa"/>
              <w:right w:w="57" w:type="dxa"/>
            </w:tcMar>
            <w:vAlign w:val="bottom"/>
          </w:tcPr>
          <w:p w14:paraId="64EBCD6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3.15%</w:t>
            </w:r>
          </w:p>
        </w:tc>
      </w:tr>
      <w:tr w14:paraId="279B52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2FA688BD">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9</w:t>
            </w:r>
          </w:p>
        </w:tc>
        <w:tc>
          <w:tcPr>
            <w:tcW w:w="699" w:type="pct"/>
            <w:tcMar>
              <w:left w:w="57" w:type="dxa"/>
              <w:right w:w="57" w:type="dxa"/>
            </w:tcMar>
            <w:vAlign w:val="center"/>
          </w:tcPr>
          <w:p w14:paraId="66085D9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农村道路</w:t>
            </w:r>
          </w:p>
        </w:tc>
        <w:tc>
          <w:tcPr>
            <w:tcW w:w="638" w:type="pct"/>
            <w:noWrap/>
            <w:tcMar>
              <w:left w:w="57" w:type="dxa"/>
              <w:right w:w="57" w:type="dxa"/>
            </w:tcMar>
            <w:vAlign w:val="bottom"/>
          </w:tcPr>
          <w:p w14:paraId="377A0D0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6.5145</w:t>
            </w:r>
          </w:p>
        </w:tc>
        <w:tc>
          <w:tcPr>
            <w:tcW w:w="698" w:type="pct"/>
            <w:tcMar>
              <w:left w:w="57" w:type="dxa"/>
              <w:right w:w="57" w:type="dxa"/>
            </w:tcMar>
            <w:vAlign w:val="bottom"/>
          </w:tcPr>
          <w:p w14:paraId="4EB7D4F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1.73%</w:t>
            </w:r>
          </w:p>
        </w:tc>
        <w:tc>
          <w:tcPr>
            <w:tcW w:w="390" w:type="pct"/>
            <w:tcMar>
              <w:left w:w="57" w:type="dxa"/>
              <w:right w:w="57" w:type="dxa"/>
            </w:tcMar>
            <w:vAlign w:val="bottom"/>
          </w:tcPr>
          <w:p w14:paraId="28EB191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851" w:type="pct"/>
            <w:tcMar>
              <w:left w:w="57" w:type="dxa"/>
              <w:right w:w="57" w:type="dxa"/>
            </w:tcMar>
            <w:vAlign w:val="center"/>
          </w:tcPr>
          <w:p w14:paraId="0FB842B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内陆滩涂</w:t>
            </w:r>
          </w:p>
        </w:tc>
        <w:tc>
          <w:tcPr>
            <w:tcW w:w="638" w:type="pct"/>
            <w:tcMar>
              <w:left w:w="57" w:type="dxa"/>
              <w:right w:w="57" w:type="dxa"/>
            </w:tcMar>
            <w:vAlign w:val="bottom"/>
          </w:tcPr>
          <w:p w14:paraId="6579D3D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0.4961</w:t>
            </w:r>
          </w:p>
        </w:tc>
        <w:tc>
          <w:tcPr>
            <w:tcW w:w="696" w:type="pct"/>
            <w:tcMar>
              <w:left w:w="57" w:type="dxa"/>
              <w:right w:w="57" w:type="dxa"/>
            </w:tcMar>
            <w:vAlign w:val="bottom"/>
          </w:tcPr>
          <w:p w14:paraId="667B1E3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0.13%</w:t>
            </w:r>
          </w:p>
        </w:tc>
      </w:tr>
      <w:tr w14:paraId="3FD58B8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74919D7F">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w:t>
            </w:r>
          </w:p>
        </w:tc>
        <w:tc>
          <w:tcPr>
            <w:tcW w:w="699" w:type="pct"/>
            <w:tcMar>
              <w:left w:w="57" w:type="dxa"/>
              <w:right w:w="57" w:type="dxa"/>
            </w:tcMar>
            <w:vAlign w:val="center"/>
          </w:tcPr>
          <w:p w14:paraId="57D70CF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坑塘水面</w:t>
            </w:r>
          </w:p>
        </w:tc>
        <w:tc>
          <w:tcPr>
            <w:tcW w:w="638" w:type="pct"/>
            <w:noWrap/>
            <w:tcMar>
              <w:left w:w="57" w:type="dxa"/>
              <w:right w:w="57" w:type="dxa"/>
            </w:tcMar>
            <w:vAlign w:val="bottom"/>
          </w:tcPr>
          <w:p w14:paraId="0E86D4D1">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5.1086</w:t>
            </w:r>
          </w:p>
        </w:tc>
        <w:tc>
          <w:tcPr>
            <w:tcW w:w="698" w:type="pct"/>
            <w:tcMar>
              <w:left w:w="57" w:type="dxa"/>
              <w:right w:w="57" w:type="dxa"/>
            </w:tcMar>
            <w:vAlign w:val="bottom"/>
          </w:tcPr>
          <w:p w14:paraId="2ECE4BD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1.35%</w:t>
            </w:r>
          </w:p>
        </w:tc>
        <w:tc>
          <w:tcPr>
            <w:tcW w:w="390" w:type="pct"/>
            <w:tcMar>
              <w:left w:w="57" w:type="dxa"/>
              <w:right w:w="57" w:type="dxa"/>
            </w:tcMar>
            <w:vAlign w:val="bottom"/>
          </w:tcPr>
          <w:p w14:paraId="702B582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21</w:t>
            </w:r>
          </w:p>
        </w:tc>
        <w:tc>
          <w:tcPr>
            <w:tcW w:w="851" w:type="pct"/>
            <w:tcMar>
              <w:left w:w="57" w:type="dxa"/>
              <w:right w:w="57" w:type="dxa"/>
            </w:tcMar>
            <w:vAlign w:val="center"/>
          </w:tcPr>
          <w:p w14:paraId="4C4EDA6F">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裸岩石砾地</w:t>
            </w:r>
          </w:p>
        </w:tc>
        <w:tc>
          <w:tcPr>
            <w:tcW w:w="638" w:type="pct"/>
            <w:tcMar>
              <w:left w:w="57" w:type="dxa"/>
              <w:right w:w="57" w:type="dxa"/>
            </w:tcMar>
            <w:vAlign w:val="bottom"/>
          </w:tcPr>
          <w:p w14:paraId="0997117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0.1752</w:t>
            </w:r>
          </w:p>
        </w:tc>
        <w:tc>
          <w:tcPr>
            <w:tcW w:w="696" w:type="pct"/>
            <w:tcMar>
              <w:left w:w="57" w:type="dxa"/>
              <w:right w:w="57" w:type="dxa"/>
            </w:tcMar>
            <w:vAlign w:val="bottom"/>
          </w:tcPr>
          <w:p w14:paraId="487B393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r>
      <w:tr w14:paraId="58D85D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390" w:type="pct"/>
            <w:tcMar>
              <w:left w:w="57" w:type="dxa"/>
              <w:right w:w="57" w:type="dxa"/>
            </w:tcMar>
            <w:vAlign w:val="center"/>
          </w:tcPr>
          <w:p w14:paraId="76D1729F">
            <w:pPr>
              <w:pStyle w:val="105"/>
              <w:widowControl w:val="0"/>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11</w:t>
            </w:r>
          </w:p>
        </w:tc>
        <w:tc>
          <w:tcPr>
            <w:tcW w:w="699" w:type="pct"/>
            <w:tcMar>
              <w:left w:w="57" w:type="dxa"/>
              <w:right w:w="57" w:type="dxa"/>
            </w:tcMar>
            <w:vAlign w:val="center"/>
          </w:tcPr>
          <w:p w14:paraId="21D8DB93">
            <w:pPr>
              <w:pStyle w:val="105"/>
              <w:widowControl w:val="0"/>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沟渠</w:t>
            </w:r>
          </w:p>
        </w:tc>
        <w:tc>
          <w:tcPr>
            <w:tcW w:w="638" w:type="pct"/>
            <w:noWrap/>
            <w:tcMar>
              <w:left w:w="57" w:type="dxa"/>
              <w:right w:w="57" w:type="dxa"/>
            </w:tcMar>
            <w:vAlign w:val="bottom"/>
          </w:tcPr>
          <w:p w14:paraId="38CA179C">
            <w:pPr>
              <w:pStyle w:val="105"/>
              <w:widowControl w:val="0"/>
              <w:jc w:val="center"/>
              <w:rPr>
                <w:color w:val="000000" w:themeColor="text1"/>
                <w14:textFill>
                  <w14:solidFill>
                    <w14:schemeClr w14:val="tx1"/>
                  </w14:solidFill>
                </w14:textFill>
              </w:rPr>
            </w:pPr>
            <w:r>
              <w:rPr>
                <w:rFonts w:hint="eastAsia" w:ascii="等线" w:hAnsi="等线" w:eastAsia="等线"/>
                <w:color w:val="000000" w:themeColor="text1"/>
                <w:sz w:val="22"/>
                <w14:textFill>
                  <w14:solidFill>
                    <w14:schemeClr w14:val="tx1"/>
                  </w14:solidFill>
                </w14:textFill>
              </w:rPr>
              <w:t>3.1892</w:t>
            </w:r>
          </w:p>
        </w:tc>
        <w:tc>
          <w:tcPr>
            <w:tcW w:w="698" w:type="pct"/>
            <w:tcMar>
              <w:left w:w="57" w:type="dxa"/>
              <w:right w:w="57" w:type="dxa"/>
            </w:tcMar>
            <w:vAlign w:val="bottom"/>
          </w:tcPr>
          <w:p w14:paraId="4ABD9B9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0.85%</w:t>
            </w:r>
          </w:p>
        </w:tc>
        <w:tc>
          <w:tcPr>
            <w:tcW w:w="390" w:type="pct"/>
            <w:tcMar>
              <w:left w:w="57" w:type="dxa"/>
              <w:right w:w="57" w:type="dxa"/>
            </w:tcMar>
            <w:vAlign w:val="bottom"/>
          </w:tcPr>
          <w:p w14:paraId="5C42B3BF">
            <w:pPr>
              <w:pStyle w:val="105"/>
              <w:widowControl w:val="0"/>
              <w:jc w:val="center"/>
              <w:rPr>
                <w:color w:val="000000" w:themeColor="text1"/>
                <w14:textFill>
                  <w14:solidFill>
                    <w14:schemeClr w14:val="tx1"/>
                  </w14:solidFill>
                </w14:textFill>
              </w:rPr>
            </w:pPr>
          </w:p>
        </w:tc>
        <w:tc>
          <w:tcPr>
            <w:tcW w:w="851" w:type="pct"/>
            <w:tcMar>
              <w:left w:w="57" w:type="dxa"/>
              <w:right w:w="57" w:type="dxa"/>
            </w:tcMar>
            <w:vAlign w:val="center"/>
          </w:tcPr>
          <w:p w14:paraId="738CE8B1">
            <w:pPr>
              <w:pStyle w:val="105"/>
              <w:widowControl w:val="0"/>
              <w:jc w:val="center"/>
              <w:rPr>
                <w:color w:val="000000" w:themeColor="text1"/>
                <w14:textFill>
                  <w14:solidFill>
                    <w14:schemeClr w14:val="tx1"/>
                  </w14:solidFill>
                </w14:textFill>
              </w:rPr>
            </w:pPr>
          </w:p>
        </w:tc>
        <w:tc>
          <w:tcPr>
            <w:tcW w:w="638" w:type="pct"/>
            <w:tcMar>
              <w:left w:w="57" w:type="dxa"/>
              <w:right w:w="57" w:type="dxa"/>
            </w:tcMar>
            <w:vAlign w:val="bottom"/>
          </w:tcPr>
          <w:p w14:paraId="16E24A8A">
            <w:pPr>
              <w:pStyle w:val="105"/>
              <w:widowControl w:val="0"/>
              <w:jc w:val="center"/>
              <w:rPr>
                <w:color w:val="000000" w:themeColor="text1"/>
                <w14:textFill>
                  <w14:solidFill>
                    <w14:schemeClr w14:val="tx1"/>
                  </w14:solidFill>
                </w14:textFill>
              </w:rPr>
            </w:pPr>
          </w:p>
        </w:tc>
        <w:tc>
          <w:tcPr>
            <w:tcW w:w="696" w:type="pct"/>
            <w:tcMar>
              <w:left w:w="57" w:type="dxa"/>
              <w:right w:w="57" w:type="dxa"/>
            </w:tcMar>
            <w:vAlign w:val="bottom"/>
          </w:tcPr>
          <w:p w14:paraId="05C51CA9">
            <w:pPr>
              <w:pStyle w:val="105"/>
              <w:widowControl w:val="0"/>
              <w:jc w:val="center"/>
              <w:rPr>
                <w:color w:val="000000" w:themeColor="text1"/>
                <w14:textFill>
                  <w14:solidFill>
                    <w14:schemeClr w14:val="tx1"/>
                  </w14:solidFill>
                </w14:textFill>
              </w:rPr>
            </w:pPr>
          </w:p>
        </w:tc>
      </w:tr>
      <w:tr w14:paraId="2A1484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0" w:hRule="atLeast"/>
        </w:trPr>
        <w:tc>
          <w:tcPr>
            <w:tcW w:w="1089" w:type="pct"/>
            <w:gridSpan w:val="2"/>
            <w:tcMar>
              <w:left w:w="57" w:type="dxa"/>
              <w:right w:w="57" w:type="dxa"/>
            </w:tcMar>
            <w:vAlign w:val="center"/>
          </w:tcPr>
          <w:p w14:paraId="0671114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3911" w:type="pct"/>
            <w:gridSpan w:val="6"/>
            <w:tcMar>
              <w:left w:w="57" w:type="dxa"/>
              <w:right w:w="57" w:type="dxa"/>
            </w:tcMar>
            <w:vAlign w:val="center"/>
          </w:tcPr>
          <w:p w14:paraId="2178C82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377.1371</w:t>
            </w:r>
          </w:p>
        </w:tc>
      </w:tr>
    </w:tbl>
    <w:p w14:paraId="63DBAD43">
      <w:pPr>
        <w:ind w:firstLine="480"/>
        <w:rPr>
          <w:color w:val="000000" w:themeColor="text1"/>
          <w14:textFill>
            <w14:solidFill>
              <w14:schemeClr w14:val="tx1"/>
            </w14:solidFill>
          </w14:textFill>
        </w:rPr>
        <w:sectPr>
          <w:pgSz w:w="11906" w:h="16838"/>
          <w:pgMar w:top="1418" w:right="1418" w:bottom="1418" w:left="1418" w:header="851" w:footer="851" w:gutter="0"/>
          <w:cols w:space="425" w:num="1"/>
          <w:docGrid w:type="lines" w:linePitch="326" w:charSpace="0"/>
        </w:sectPr>
      </w:pPr>
    </w:p>
    <w:p w14:paraId="453EA3DA">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植被调查</w:t>
      </w:r>
    </w:p>
    <w:p w14:paraId="4BEAEF04">
      <w:pPr>
        <w:ind w:firstLine="480"/>
        <w:rPr>
          <w:color w:val="000000" w:themeColor="text1"/>
          <w14:textFill>
            <w14:solidFill>
              <w14:schemeClr w14:val="tx1"/>
            </w14:solidFill>
          </w14:textFill>
        </w:rPr>
      </w:pPr>
      <w:bookmarkStart w:id="573" w:name="_Hlk193726207"/>
      <w:r>
        <w:rPr>
          <w:rFonts w:hint="eastAsia"/>
          <w:color w:val="000000" w:themeColor="text1"/>
          <w14:textFill>
            <w14:solidFill>
              <w14:schemeClr w14:val="tx1"/>
            </w14:solidFill>
          </w14:textFill>
        </w:rPr>
        <w:t>拟建公路位于福清，属于南亚热带雨林植被带——闽粤沿海丘陵平原南亚热带雨林区——闽江口鹫峰山南部湿暖亚热带雨林小区及闽东南戴云山东部湿暖南亚热带雨林小区</w:t>
      </w:r>
      <w:bookmarkEnd w:id="573"/>
      <w:r>
        <w:rPr>
          <w:rFonts w:hint="eastAsia"/>
          <w:color w:val="000000" w:themeColor="text1"/>
          <w14:textFill>
            <w14:solidFill>
              <w14:schemeClr w14:val="tx1"/>
            </w14:solidFill>
          </w14:textFill>
        </w:rPr>
        <w:t>。</w:t>
      </w:r>
    </w:p>
    <w:p w14:paraId="38DEF6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区的地带性典型植被类型为具有热带性质的南亚热带雨林，这种森林破坏后常呈次生萌芽林或稀阳性林或各种各样的过渡类型，本区域具有代表性的原生热带雨林植被，受到长期的人为活动影响，数量大大减少，在一些村庄、河岸地仍可见到具有南亚</w:t>
      </w:r>
      <w:bookmarkStart w:id="574" w:name="hmcheck_c7531dab92644604b4780e2b2d371df6"/>
      <w:r>
        <w:rPr>
          <w:rFonts w:hint="eastAsia"/>
          <w:color w:val="000000" w:themeColor="text1"/>
          <w:shd w:val="clear" w:fill="FFAFAA"/>
          <w14:textFill>
            <w14:solidFill>
              <w14:schemeClr w14:val="tx1"/>
            </w14:solidFill>
          </w14:textFill>
        </w:rPr>
        <w:t>热雨林</w:t>
      </w:r>
      <w:bookmarkEnd w:id="574"/>
      <w:r>
        <w:rPr>
          <w:rFonts w:hint="eastAsia"/>
          <w:color w:val="000000" w:themeColor="text1"/>
          <w14:textFill>
            <w14:solidFill>
              <w14:schemeClr w14:val="tx1"/>
            </w14:solidFill>
          </w14:textFill>
        </w:rPr>
        <w:t>特征的植物，如榕属植物。丘陵台地，可见次生的台湾相思、巨桉、马尾松、湿地松等，在水湿条件较好的湿地有水蓼、水龙草、短叶水蜈蚣草、白花鬼针草、野牡丹等，伴生草本以芒其为主，并有五节芒等，在较干燥或风力较大、土壤瘠薄的地区，灌木种类比较简单，有耐旱的车桑子等以及菝葜、金樱子等呈局部优势。</w:t>
      </w:r>
    </w:p>
    <w:p w14:paraId="75CD6480">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沿线主要植物群系特征</w:t>
      </w:r>
    </w:p>
    <w:p w14:paraId="5D8DE97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（1）针叶林</w:t>
      </w:r>
    </w:p>
    <w:p w14:paraId="712A9D5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①马尾松林（</w:t>
      </w:r>
      <w:r>
        <w:rPr>
          <w:color w:val="000000" w:themeColor="text1"/>
          <w14:textFill>
            <w14:solidFill>
              <w14:schemeClr w14:val="tx1"/>
            </w14:solidFill>
          </w14:textFill>
        </w:rPr>
        <w:t>Form. Pinus massoniana</w:t>
      </w:r>
      <w:r>
        <w:rPr>
          <w:rFonts w:hint="eastAsia"/>
          <w:color w:val="000000" w:themeColor="text1"/>
          <w14:textFill>
            <w14:solidFill>
              <w14:schemeClr w14:val="tx1"/>
            </w14:solidFill>
          </w14:textFill>
        </w:rPr>
        <w:t>）：</w:t>
      </w:r>
      <w:r>
        <w:rPr>
          <w:rFonts w:ascii="Segoe UI" w:hAnsi="Segoe UI" w:cs="Segoe UI"/>
          <w:color w:val="000000" w:themeColor="text1"/>
          <w14:textFill>
            <w14:solidFill>
              <w14:schemeClr w14:val="tx1"/>
            </w14:solidFill>
          </w14:textFill>
        </w:rPr>
        <w:t>马尾松林是福清地区常见的植被类型之一，</w:t>
      </w:r>
      <w:r>
        <w:rPr>
          <w:rFonts w:hint="eastAsia" w:ascii="Segoe UI" w:hAnsi="Segoe UI" w:cs="Segoe UI"/>
          <w:color w:val="000000" w:themeColor="text1"/>
          <w14:textFill>
            <w14:solidFill>
              <w14:schemeClr w14:val="tx1"/>
            </w14:solidFill>
          </w14:textFill>
        </w:rPr>
        <w:t>在本项目评价范围</w:t>
      </w:r>
      <w:r>
        <w:rPr>
          <w:rFonts w:hint="eastAsia"/>
          <w:color w:val="000000" w:themeColor="text1"/>
          <w14:textFill>
            <w14:solidFill>
              <w14:schemeClr w14:val="tx1"/>
            </w14:solidFill>
          </w14:textFill>
        </w:rPr>
        <w:t>马尾松林大多分布丘陵和低山上，评价区可见成片或斑块状分布相对较少，面积大小不等，大都组成纯林，部分区段与相思树、巨桉等混生。其群落特征如下：乔木层：以马尾松（Pinus massoniana）为绝对优势种，平均高度6.5~15.3 m，平均胸径10.2~15.6 cm，郁闭度为0.5~0.7。乔木层组成较为单一，除马尾松外，偶见少量相思树、巨桉、木荷（Schima superba）等混生其中。马尾松树干通直，树冠呈伞形，林下透光性较好，为灌木层和草本层的生长提供了条件。灌木层：盖度为</w:t>
      </w:r>
      <w:bookmarkStart w:id="575" w:name="hmcheck_5ef5e9b7a49b40f8986f392cfb718d2a"/>
      <w:r>
        <w:rPr>
          <w:rFonts w:hint="eastAsia"/>
          <w:color w:val="000000" w:themeColor="text1"/>
          <w:shd w:val="clear" w:fill="FFAFAA"/>
          <w14:textFill>
            <w14:solidFill>
              <w14:schemeClr w14:val="tx1"/>
            </w14:solidFill>
          </w14:textFill>
        </w:rPr>
        <w:t>20~45%</w:t>
      </w:r>
      <w:bookmarkEnd w:id="575"/>
      <w:r>
        <w:rPr>
          <w:rFonts w:hint="eastAsia"/>
          <w:color w:val="000000" w:themeColor="text1"/>
          <w14:textFill>
            <w14:solidFill>
              <w14:schemeClr w14:val="tx1"/>
            </w14:solidFill>
          </w14:textFill>
        </w:rPr>
        <w:t xml:space="preserve">，以鹅掌柴（Schefflera </w:t>
      </w:r>
      <w:bookmarkStart w:id="576" w:name="hmcheck_d236881d0e4140788afe29310edd39bb"/>
      <w:r>
        <w:rPr>
          <w:rFonts w:hint="eastAsia"/>
          <w:color w:val="000000" w:themeColor="text1"/>
          <w:shd w:val="clear" w:fill="FFAFAA"/>
          <w14:textFill>
            <w14:solidFill>
              <w14:schemeClr w14:val="tx1"/>
            </w14:solidFill>
          </w14:textFill>
        </w:rPr>
        <w:t>octophylla</w:t>
      </w:r>
      <w:bookmarkEnd w:id="576"/>
      <w:r>
        <w:rPr>
          <w:rFonts w:hint="eastAsia"/>
          <w:color w:val="000000" w:themeColor="text1"/>
          <w14:textFill>
            <w14:solidFill>
              <w14:schemeClr w14:val="tx1"/>
            </w14:solidFill>
          </w14:textFill>
        </w:rPr>
        <w:t>）、檵木（Loropetalum chinense）为优势种，其他常见物种包括毛冬青（Ilex pubescens）、青冈（Cyclobalanopsis glauca）、油茶（Camellia oleifera）、野牡丹（</w:t>
      </w:r>
      <w:bookmarkStart w:id="577" w:name="hmcheck_22fa093c813745838a84b60dee5c56d1"/>
      <w:r>
        <w:rPr>
          <w:rFonts w:hint="eastAsia"/>
          <w:color w:val="000000" w:themeColor="text1"/>
          <w:shd w:val="clear" w:fill="FFAFAA"/>
          <w14:textFill>
            <w14:solidFill>
              <w14:schemeClr w14:val="tx1"/>
            </w14:solidFill>
          </w14:textFill>
        </w:rPr>
        <w:t>Melastoma</w:t>
      </w:r>
      <w:bookmarkEnd w:id="577"/>
      <w:r>
        <w:rPr>
          <w:rFonts w:hint="eastAsia"/>
          <w:color w:val="000000" w:themeColor="text1"/>
          <w14:textFill>
            <w14:solidFill>
              <w14:schemeClr w14:val="tx1"/>
            </w14:solidFill>
          </w14:textFill>
        </w:rPr>
        <w:t xml:space="preserve"> candidum）、乌药（Lindera aggregata）、桃金娘（Rhodomyrtus tomentosa）、胡枝子（Lespedeza bicolor）、黄栀子（Gardenia jasminoides）、小叶石楠（Photinia parvifolia）等。这些灌木多为耐荫、耐贫瘠的乡土物种，适应性强，能够在马尾松林下形成稳定的次生植被层。草本层：以五节芒（Miscanthus </w:t>
      </w:r>
      <w:bookmarkStart w:id="578" w:name="hmcheck_af242057c89d42f9a00c02f2eb7296b9"/>
      <w:r>
        <w:rPr>
          <w:rFonts w:hint="eastAsia"/>
          <w:color w:val="000000" w:themeColor="text1"/>
          <w:shd w:val="clear" w:fill="FFAFAA"/>
          <w14:textFill>
            <w14:solidFill>
              <w14:schemeClr w14:val="tx1"/>
            </w14:solidFill>
          </w14:textFill>
        </w:rPr>
        <w:t>floridulus</w:t>
      </w:r>
      <w:bookmarkEnd w:id="578"/>
      <w:r>
        <w:rPr>
          <w:rFonts w:hint="eastAsia"/>
          <w:color w:val="000000" w:themeColor="text1"/>
          <w14:textFill>
            <w14:solidFill>
              <w14:schemeClr w14:val="tx1"/>
            </w14:solidFill>
          </w14:textFill>
        </w:rPr>
        <w:t>）为优势种，其他常见物种包括芒萁（Dicranopteris dichotoma）、菝葜（Smilax spp</w:t>
      </w:r>
      <w:bookmarkStart w:id="579" w:name="hmcheck_6aa3c43071bb4f8995fa0f645798f589"/>
      <w:r>
        <w:rPr>
          <w:rFonts w:hint="eastAsia"/>
          <w:color w:val="000000" w:themeColor="text1"/>
          <w:shd w:val="clear" w:fill="FFAFAA"/>
          <w14:textFill>
            <w14:solidFill>
              <w14:schemeClr w14:val="tx1"/>
            </w14:solidFill>
          </w14:textFill>
        </w:rPr>
        <w:t>.</w:t>
      </w:r>
      <w:bookmarkEnd w:id="579"/>
      <w:r>
        <w:rPr>
          <w:rFonts w:hint="eastAsia"/>
          <w:color w:val="000000" w:themeColor="text1"/>
          <w14:textFill>
            <w14:solidFill>
              <w14:schemeClr w14:val="tx1"/>
            </w14:solidFill>
          </w14:textFill>
        </w:rPr>
        <w:t>）、淡竹叶（Lophatherum gracile）等。草本层盖度较高，通常为30%</w:t>
      </w:r>
      <w:bookmarkStart w:id="580" w:name="hmcheck_f0711ccdaeac49ffa352fae9cacd1827"/>
      <w:r>
        <w:rPr>
          <w:rFonts w:hint="eastAsia"/>
          <w:color w:val="000000" w:themeColor="text1"/>
          <w:shd w:val="clear" w:fill="FFAFAA"/>
          <w14:textFill>
            <w14:solidFill>
              <w14:schemeClr w14:val="tx1"/>
            </w14:solidFill>
          </w14:textFill>
        </w:rPr>
        <w:t>-</w:t>
      </w:r>
      <w:bookmarkEnd w:id="580"/>
      <w:r>
        <w:rPr>
          <w:rFonts w:hint="eastAsia"/>
          <w:color w:val="000000" w:themeColor="text1"/>
          <w14:textFill>
            <w14:solidFill>
              <w14:schemeClr w14:val="tx1"/>
            </w14:solidFill>
          </w14:textFill>
        </w:rPr>
        <w:t>50%，具有较强的水土保持能力。</w:t>
      </w:r>
    </w:p>
    <w:p w14:paraId="7A84890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②湿地松林：湿地松（</w:t>
      </w:r>
      <w:r>
        <w:rPr>
          <w:i/>
          <w:iCs/>
          <w:color w:val="000000" w:themeColor="text1"/>
          <w14:textFill>
            <w14:solidFill>
              <w14:schemeClr w14:val="tx1"/>
            </w14:solidFill>
          </w14:textFill>
        </w:rPr>
        <w:t>Pinus elliottii</w:t>
      </w:r>
      <w:r>
        <w:rPr>
          <w:rFonts w:hint="eastAsia"/>
          <w:color w:val="000000" w:themeColor="text1"/>
          <w14:textFill>
            <w14:solidFill>
              <w14:schemeClr w14:val="tx1"/>
            </w14:solidFill>
          </w14:textFill>
        </w:rPr>
        <w:t>）主要分布于K</w:t>
      </w:r>
      <w:r>
        <w:rPr>
          <w:color w:val="000000" w:themeColor="text1"/>
          <w14:textFill>
            <w14:solidFill>
              <w14:schemeClr w14:val="tx1"/>
            </w14:solidFill>
          </w14:textFill>
        </w:rPr>
        <w:t>4+</w:t>
      </w:r>
      <w:bookmarkStart w:id="581" w:name="hmcheck_766fc1afd3a14261888fa287c6c54740"/>
      <w:r>
        <w:rPr>
          <w:color w:val="000000" w:themeColor="text1"/>
          <w:shd w:val="clear" w:fill="FFAFAA"/>
          <w14:textFill>
            <w14:solidFill>
              <w14:schemeClr w14:val="tx1"/>
            </w14:solidFill>
          </w14:textFill>
        </w:rPr>
        <w:t>000~</w:t>
      </w:r>
      <w:bookmarkEnd w:id="581"/>
      <w:r>
        <w:rPr>
          <w:rFonts w:hint="eastAsia"/>
          <w:color w:val="000000" w:themeColor="text1"/>
          <w14:textFill>
            <w14:solidFill>
              <w14:schemeClr w14:val="tx1"/>
            </w14:solidFill>
          </w14:textFill>
        </w:rPr>
        <w:t>终点路左的丘陵、山体中下部，乔木层以湿地松为优势种，多为中幼林，少量为成熟林，高度</w:t>
      </w:r>
      <w:r>
        <w:rPr>
          <w:color w:val="000000" w:themeColor="text1"/>
          <w14:textFill>
            <w14:solidFill>
              <w14:schemeClr w14:val="tx1"/>
            </w14:solidFill>
          </w14:textFill>
        </w:rPr>
        <w:t>6.2</w:t>
      </w:r>
      <w:bookmarkStart w:id="582" w:name="hmcheck_9ae6d86d17e14b39a62c3071cebd89ae"/>
      <w:r>
        <w:rPr>
          <w:color w:val="000000" w:themeColor="text1"/>
          <w:shd w:val="clear" w:fill="FFAFAA"/>
          <w14:textFill>
            <w14:solidFill>
              <w14:schemeClr w14:val="tx1"/>
            </w14:solidFill>
          </w14:textFill>
        </w:rPr>
        <w:t>~</w:t>
      </w:r>
      <w:bookmarkEnd w:id="582"/>
      <w:r>
        <w:rPr>
          <w:color w:val="000000" w:themeColor="text1"/>
          <w14:textFill>
            <w14:solidFill>
              <w14:schemeClr w14:val="tx1"/>
            </w14:solidFill>
          </w14:textFill>
        </w:rPr>
        <w:t xml:space="preserve">11.6m </w:t>
      </w:r>
      <w:r>
        <w:rPr>
          <w:rFonts w:hint="eastAsia"/>
          <w:color w:val="000000" w:themeColor="text1"/>
          <w14:textFill>
            <w14:solidFill>
              <w14:schemeClr w14:val="tx1"/>
            </w14:solidFill>
          </w14:textFill>
        </w:rPr>
        <w:t>左右，胸径6</w:t>
      </w:r>
      <w:r>
        <w:rPr>
          <w:color w:val="000000" w:themeColor="text1"/>
          <w14:textFill>
            <w14:solidFill>
              <w14:schemeClr w14:val="tx1"/>
            </w14:solidFill>
          </w14:textFill>
        </w:rPr>
        <w:t>.3</w:t>
      </w:r>
      <w:bookmarkStart w:id="583" w:name="hmcheck_5eaf153e76364fce8cde4827e82439fd"/>
      <w:r>
        <w:rPr>
          <w:color w:val="000000" w:themeColor="text1"/>
          <w:shd w:val="clear" w:fill="FFAFAA"/>
          <w14:textFill>
            <w14:solidFill>
              <w14:schemeClr w14:val="tx1"/>
            </w14:solidFill>
          </w14:textFill>
        </w:rPr>
        <w:t>~</w:t>
      </w:r>
      <w:bookmarkEnd w:id="583"/>
      <w:r>
        <w:rPr>
          <w:color w:val="000000" w:themeColor="text1"/>
          <w14:textFill>
            <w14:solidFill>
              <w14:schemeClr w14:val="tx1"/>
            </w14:solidFill>
          </w14:textFill>
        </w:rPr>
        <w:t xml:space="preserve">12cm </w:t>
      </w:r>
      <w:r>
        <w:rPr>
          <w:rFonts w:hint="eastAsia"/>
          <w:color w:val="000000" w:themeColor="text1"/>
          <w14:textFill>
            <w14:solidFill>
              <w14:schemeClr w14:val="tx1"/>
            </w14:solidFill>
          </w14:textFill>
        </w:rPr>
        <w:t>左右；灌木层以青冈（</w:t>
      </w:r>
      <w:r>
        <w:rPr>
          <w:i/>
          <w:iCs/>
          <w:color w:val="000000" w:themeColor="text1"/>
          <w14:textFill>
            <w14:solidFill>
              <w14:schemeClr w14:val="tx1"/>
            </w14:solidFill>
          </w14:textFill>
        </w:rPr>
        <w:t>Cyclobalanopsis glauca</w:t>
      </w:r>
      <w:r>
        <w:rPr>
          <w:rFonts w:hint="eastAsia"/>
          <w:color w:val="000000" w:themeColor="text1"/>
          <w14:textFill>
            <w14:solidFill>
              <w14:schemeClr w14:val="tx1"/>
            </w14:solidFill>
          </w14:textFill>
        </w:rPr>
        <w:t>）、檵木（</w:t>
      </w:r>
      <w:bookmarkStart w:id="584" w:name="hmcheck_2f957705109a4904b9d012e204c8599f"/>
      <w:r>
        <w:rPr>
          <w:i/>
          <w:iCs/>
          <w:color w:val="000000" w:themeColor="text1"/>
          <w:shd w:val="clear" w:fill="FFAFAA"/>
          <w14:textFill>
            <w14:solidFill>
              <w14:schemeClr w14:val="tx1"/>
            </w14:solidFill>
          </w14:textFill>
        </w:rPr>
        <w:t>Loropetalumchinense</w:t>
      </w:r>
      <w:bookmarkEnd w:id="584"/>
      <w:r>
        <w:rPr>
          <w:rFonts w:hint="eastAsia"/>
          <w:color w:val="000000" w:themeColor="text1"/>
          <w14:textFill>
            <w14:solidFill>
              <w14:schemeClr w14:val="tx1"/>
            </w14:solidFill>
          </w14:textFill>
        </w:rPr>
        <w:t>）为优势种，伴生桃金娘（</w:t>
      </w:r>
      <w:r>
        <w:rPr>
          <w:i/>
          <w:iCs/>
          <w:color w:val="000000" w:themeColor="text1"/>
          <w14:textFill>
            <w14:solidFill>
              <w14:schemeClr w14:val="tx1"/>
            </w14:solidFill>
          </w14:textFill>
        </w:rPr>
        <w:t>Rhodomyrtus tomentosa</w:t>
      </w:r>
      <w:r>
        <w:rPr>
          <w:rFonts w:hint="eastAsia"/>
          <w:color w:val="000000" w:themeColor="text1"/>
          <w14:textFill>
            <w14:solidFill>
              <w14:schemeClr w14:val="tx1"/>
            </w14:solidFill>
          </w14:textFill>
        </w:rPr>
        <w:t>）、胡枝子（</w:t>
      </w:r>
      <w:r>
        <w:rPr>
          <w:i/>
          <w:iCs/>
          <w:color w:val="000000" w:themeColor="text1"/>
          <w14:textFill>
            <w14:solidFill>
              <w14:schemeClr w14:val="tx1"/>
            </w14:solidFill>
          </w14:textFill>
        </w:rPr>
        <w:t>Lespedeza bicolor</w:t>
      </w:r>
      <w:r>
        <w:rPr>
          <w:rFonts w:hint="eastAsia"/>
          <w:color w:val="000000" w:themeColor="text1"/>
          <w14:textFill>
            <w14:solidFill>
              <w14:schemeClr w14:val="tx1"/>
            </w14:solidFill>
          </w14:textFill>
        </w:rPr>
        <w:t>）、黄栀子（</w:t>
      </w:r>
      <w:r>
        <w:rPr>
          <w:i/>
          <w:iCs/>
          <w:color w:val="000000" w:themeColor="text1"/>
          <w14:textFill>
            <w14:solidFill>
              <w14:schemeClr w14:val="tx1"/>
            </w14:solidFill>
          </w14:textFill>
        </w:rPr>
        <w:t>Lespedeza bicolor</w:t>
      </w:r>
      <w:r>
        <w:rPr>
          <w:rFonts w:hint="eastAsia"/>
          <w:color w:val="000000" w:themeColor="text1"/>
          <w14:textFill>
            <w14:solidFill>
              <w14:schemeClr w14:val="tx1"/>
            </w14:solidFill>
          </w14:textFill>
        </w:rPr>
        <w:t>）、小叶石楠（</w:t>
      </w:r>
      <w:r>
        <w:rPr>
          <w:i/>
          <w:iCs/>
          <w:color w:val="000000" w:themeColor="text1"/>
          <w14:textFill>
            <w14:solidFill>
              <w14:schemeClr w14:val="tx1"/>
            </w14:solidFill>
          </w14:textFill>
        </w:rPr>
        <w:t>Photinia parvifolia</w:t>
      </w:r>
      <w:r>
        <w:rPr>
          <w:rFonts w:hint="eastAsia"/>
          <w:color w:val="000000" w:themeColor="text1"/>
          <w14:textFill>
            <w14:solidFill>
              <w14:schemeClr w14:val="tx1"/>
            </w14:solidFill>
          </w14:textFill>
        </w:rPr>
        <w:t>）等；草本层以芒萁（</w:t>
      </w:r>
      <w:r>
        <w:rPr>
          <w:i/>
          <w:iCs/>
          <w:color w:val="000000" w:themeColor="text1"/>
          <w14:textFill>
            <w14:solidFill>
              <w14:schemeClr w14:val="tx1"/>
            </w14:solidFill>
          </w14:textFill>
        </w:rPr>
        <w:t>Dicranopteris dichotoma</w:t>
      </w:r>
      <w:r>
        <w:rPr>
          <w:rFonts w:hint="eastAsia"/>
          <w:color w:val="000000" w:themeColor="text1"/>
          <w14:textFill>
            <w14:solidFill>
              <w14:schemeClr w14:val="tx1"/>
            </w14:solidFill>
          </w14:textFill>
        </w:rPr>
        <w:t>）为优势种，伴生鬼针草（</w:t>
      </w:r>
      <w:r>
        <w:rPr>
          <w:i/>
          <w:iCs/>
          <w:color w:val="000000" w:themeColor="text1"/>
          <w14:textFill>
            <w14:solidFill>
              <w14:schemeClr w14:val="tx1"/>
            </w14:solidFill>
          </w14:textFill>
        </w:rPr>
        <w:t>Bidens pilosa</w:t>
      </w:r>
      <w:r>
        <w:rPr>
          <w:rFonts w:hint="eastAsia"/>
          <w:color w:val="000000" w:themeColor="text1"/>
          <w14:textFill>
            <w14:solidFill>
              <w14:schemeClr w14:val="tx1"/>
            </w14:solidFill>
          </w14:textFill>
        </w:rPr>
        <w:t>）、海金沙（</w:t>
      </w:r>
      <w:bookmarkStart w:id="585" w:name="hmcheck_256ea8d7f83b4592af327263c8c04bdd"/>
      <w:r>
        <w:rPr>
          <w:i/>
          <w:iCs/>
          <w:color w:val="000000" w:themeColor="text1"/>
          <w:shd w:val="clear" w:fill="FFAFAA"/>
          <w14:textFill>
            <w14:solidFill>
              <w14:schemeClr w14:val="tx1"/>
            </w14:solidFill>
          </w14:textFill>
        </w:rPr>
        <w:t>Lygodium</w:t>
      </w:r>
      <w:bookmarkEnd w:id="585"/>
      <w:r>
        <w:rPr>
          <w:i/>
          <w:iCs/>
          <w:color w:val="000000" w:themeColor="text1"/>
          <w14:textFill>
            <w14:solidFill>
              <w14:schemeClr w14:val="tx1"/>
            </w14:solidFill>
          </w14:textFill>
        </w:rPr>
        <w:t xml:space="preserve"> japonicum</w:t>
      </w:r>
      <w:r>
        <w:rPr>
          <w:rFonts w:hint="eastAsia"/>
          <w:color w:val="000000" w:themeColor="text1"/>
          <w14:textFill>
            <w14:solidFill>
              <w14:schemeClr w14:val="tx1"/>
            </w14:solidFill>
          </w14:textFill>
        </w:rPr>
        <w:t>）、五节芒（</w:t>
      </w:r>
      <w:r>
        <w:rPr>
          <w:i/>
          <w:iCs/>
          <w:color w:val="000000" w:themeColor="text1"/>
          <w14:textFill>
            <w14:solidFill>
              <w14:schemeClr w14:val="tx1"/>
            </w14:solidFill>
          </w14:textFill>
        </w:rPr>
        <w:t xml:space="preserve">Miscanthus </w:t>
      </w:r>
      <w:bookmarkStart w:id="586" w:name="hmcheck_984d054b290049c7848567c64e0cc5f5"/>
      <w:r>
        <w:rPr>
          <w:i/>
          <w:iCs/>
          <w:color w:val="000000" w:themeColor="text1"/>
          <w:shd w:val="clear" w:fill="FFAFAA"/>
          <w14:textFill>
            <w14:solidFill>
              <w14:schemeClr w14:val="tx1"/>
            </w14:solidFill>
          </w14:textFill>
        </w:rPr>
        <w:t>floridulus</w:t>
      </w:r>
      <w:bookmarkEnd w:id="586"/>
      <w:r>
        <w:rPr>
          <w:rFonts w:hint="eastAsia"/>
          <w:color w:val="000000" w:themeColor="text1"/>
          <w14:textFill>
            <w14:solidFill>
              <w14:schemeClr w14:val="tx1"/>
            </w14:solidFill>
          </w14:textFill>
        </w:rPr>
        <w:t>）、野古草（</w:t>
      </w:r>
      <w:r>
        <w:rPr>
          <w:i/>
          <w:iCs/>
          <w:color w:val="000000" w:themeColor="text1"/>
          <w14:textFill>
            <w14:solidFill>
              <w14:schemeClr w14:val="tx1"/>
            </w14:solidFill>
          </w14:textFill>
        </w:rPr>
        <w:t>Arundinella hirta</w:t>
      </w:r>
      <w:r>
        <w:rPr>
          <w:rFonts w:hint="eastAsia"/>
          <w:color w:val="000000" w:themeColor="text1"/>
          <w14:textFill>
            <w14:solidFill>
              <w14:schemeClr w14:val="tx1"/>
            </w14:solidFill>
          </w14:textFill>
        </w:rPr>
        <w:t>）、地桃花（</w:t>
      </w:r>
      <w:bookmarkStart w:id="587" w:name="hmcheck_3672979aa89549bfb619a51ac6ddfadb"/>
      <w:r>
        <w:rPr>
          <w:color w:val="000000" w:themeColor="text1"/>
          <w:shd w:val="clear" w:fill="FFAFAA"/>
          <w14:textFill>
            <w14:solidFill>
              <w14:schemeClr w14:val="tx1"/>
            </w14:solidFill>
          </w14:textFill>
        </w:rPr>
        <w:t>Urena</w:t>
      </w:r>
      <w:bookmarkEnd w:id="587"/>
      <w:r>
        <w:rPr>
          <w:color w:val="000000" w:themeColor="text1"/>
          <w14:textFill>
            <w14:solidFill>
              <w14:schemeClr w14:val="tx1"/>
            </w14:solidFill>
          </w14:textFill>
        </w:rPr>
        <w:t xml:space="preserve"> lobata</w:t>
      </w:r>
      <w:r>
        <w:rPr>
          <w:rFonts w:hint="eastAsia"/>
          <w:color w:val="000000" w:themeColor="text1"/>
          <w14:textFill>
            <w14:solidFill>
              <w14:schemeClr w14:val="tx1"/>
            </w14:solidFill>
          </w14:textFill>
        </w:rPr>
        <w:t>）等。</w:t>
      </w:r>
    </w:p>
    <w:p w14:paraId="38ED6977">
      <w:pPr>
        <w:ind w:firstLine="480"/>
        <w:rPr>
          <w:color w:val="000000" w:themeColor="text1"/>
          <w14:textFill>
            <w14:solidFill>
              <w14:schemeClr w14:val="tx1"/>
            </w14:solidFill>
          </w14:textFill>
        </w:rPr>
      </w:pPr>
      <w:r>
        <w:rPr>
          <w:color w:val="000000" w:themeColor="text1"/>
          <w14:textFill>
            <w14:solidFill>
              <w14:schemeClr w14:val="tx1"/>
            </w14:solidFill>
          </w14:textFill>
        </w:rPr>
        <w:t>（2）</w:t>
      </w:r>
      <w:r>
        <w:rPr>
          <w:rFonts w:hint="eastAsia"/>
          <w:color w:val="000000" w:themeColor="text1"/>
          <w14:textFill>
            <w14:solidFill>
              <w14:schemeClr w14:val="tx1"/>
            </w14:solidFill>
          </w14:textFill>
        </w:rPr>
        <w:t>阔叶林</w:t>
      </w:r>
    </w:p>
    <w:p w14:paraId="5F7DCE7E">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color w:val="000000" w:themeColor="text1"/>
          <w14:textFill>
            <w14:solidFill>
              <w14:schemeClr w14:val="tx1"/>
            </w14:solidFill>
          </w14:textFill>
        </w:rPr>
        <w:t>台湾相思树林：根据实地调查，评价区范围内的相思树林主要分布在起点</w:t>
      </w:r>
      <w:bookmarkStart w:id="588" w:name="hmcheck_f8034ae296924226be09a70f27a9404b"/>
      <w:r>
        <w:rPr>
          <w:color w:val="000000" w:themeColor="text1"/>
          <w:shd w:val="clear" w:fill="FFAFAA"/>
          <w14:textFill>
            <w14:solidFill>
              <w14:schemeClr w14:val="tx1"/>
            </w14:solidFill>
          </w14:textFill>
        </w:rPr>
        <w:t>~</w:t>
      </w:r>
      <w:bookmarkEnd w:id="588"/>
      <w:r>
        <w:rPr>
          <w:color w:val="000000" w:themeColor="text1"/>
          <w14:textFill>
            <w14:solidFill>
              <w14:schemeClr w14:val="tx1"/>
            </w14:solidFill>
          </w14:textFill>
        </w:rPr>
        <w:t>K1+360段两侧低海拔丘陵。相思树群系通常具有明显的垂直分层结构，包括乔木层、灌木层和草本层。</w:t>
      </w:r>
      <w:r>
        <w:rPr>
          <w:b/>
          <w:bCs/>
          <w:color w:val="000000" w:themeColor="text1"/>
          <w14:textFill>
            <w14:solidFill>
              <w14:schemeClr w14:val="tx1"/>
            </w14:solidFill>
          </w14:textFill>
        </w:rPr>
        <w:t>乔木层</w:t>
      </w:r>
      <w:r>
        <w:rPr>
          <w:color w:val="000000" w:themeColor="text1"/>
          <w14:textFill>
            <w14:solidFill>
              <w14:schemeClr w14:val="tx1"/>
            </w14:solidFill>
          </w14:textFill>
        </w:rPr>
        <w:t>：高度6</w:t>
      </w:r>
      <w:bookmarkStart w:id="589" w:name="hmcheck_abd53247a783421f8e2ce4e7f7c4dadd"/>
      <w:r>
        <w:rPr>
          <w:color w:val="000000" w:themeColor="text1"/>
          <w:shd w:val="clear" w:fill="FFAFAA"/>
          <w14:textFill>
            <w14:solidFill>
              <w14:schemeClr w14:val="tx1"/>
            </w14:solidFill>
          </w14:textFill>
        </w:rPr>
        <w:t>~</w:t>
      </w:r>
      <w:bookmarkEnd w:id="589"/>
      <w:r>
        <w:rPr>
          <w:color w:val="000000" w:themeColor="text1"/>
          <w14:textFill>
            <w14:solidFill>
              <w14:schemeClr w14:val="tx1"/>
            </w14:solidFill>
          </w14:textFill>
        </w:rPr>
        <w:t>15m，树冠呈伞形，枝叶茂密，具有较强的</w:t>
      </w:r>
      <w:bookmarkStart w:id="590" w:name="hmcheck_0a75ea6bc2924aef80f2e2c41eececcc"/>
      <w:r>
        <w:rPr>
          <w:color w:val="000000" w:themeColor="text1"/>
          <w:shd w:val="clear" w:fill="FFAFAA"/>
          <w14:textFill>
            <w14:solidFill>
              <w14:schemeClr w14:val="tx1"/>
            </w14:solidFill>
          </w14:textFill>
        </w:rPr>
        <w:t>遮荫</w:t>
      </w:r>
      <w:bookmarkEnd w:id="590"/>
      <w:r>
        <w:rPr>
          <w:color w:val="000000" w:themeColor="text1"/>
          <w14:textFill>
            <w14:solidFill>
              <w14:schemeClr w14:val="tx1"/>
            </w14:solidFill>
          </w14:textFill>
        </w:rPr>
        <w:t>能力，群落郁闭度约0.6~0.8。乔木层以台湾相思（</w:t>
      </w:r>
      <w:bookmarkStart w:id="591" w:name="hmcheck_4da9a6180f5844df866b167395294a6c"/>
      <w:r>
        <w:rPr>
          <w:i/>
          <w:iCs/>
          <w:color w:val="000000" w:themeColor="text1"/>
          <w:shd w:val="clear" w:fill="FFAFAA"/>
          <w14:textFill>
            <w14:solidFill>
              <w14:schemeClr w14:val="tx1"/>
            </w14:solidFill>
          </w14:textFill>
        </w:rPr>
        <w:t>Acaciaconfusa</w:t>
      </w:r>
      <w:bookmarkEnd w:id="591"/>
      <w:r>
        <w:rPr>
          <w:color w:val="000000" w:themeColor="text1"/>
          <w14:textFill>
            <w14:solidFill>
              <w14:schemeClr w14:val="tx1"/>
            </w14:solidFill>
          </w14:textFill>
        </w:rPr>
        <w:t>）为优势种，平均胸径约6</w:t>
      </w:r>
      <w:bookmarkStart w:id="592" w:name="hmcheck_aee4d0a40160446fb5721f097698b720"/>
      <w:r>
        <w:rPr>
          <w:color w:val="000000" w:themeColor="text1"/>
          <w:shd w:val="clear" w:fill="FFAFAA"/>
          <w14:textFill>
            <w14:solidFill>
              <w14:schemeClr w14:val="tx1"/>
            </w14:solidFill>
          </w14:textFill>
        </w:rPr>
        <w:t>~</w:t>
      </w:r>
      <w:bookmarkEnd w:id="592"/>
      <w:r>
        <w:rPr>
          <w:color w:val="000000" w:themeColor="text1"/>
          <w14:textFill>
            <w14:solidFill>
              <w14:schemeClr w14:val="tx1"/>
            </w14:solidFill>
          </w14:textFill>
        </w:rPr>
        <w:t>13cm，伴生种包括朴树（</w:t>
      </w:r>
      <w:bookmarkStart w:id="593" w:name="hmcheck_bbc03942a56b45ff9a2a11e0fb5858d1"/>
      <w:r>
        <w:rPr>
          <w:i/>
          <w:iCs/>
          <w:color w:val="000000" w:themeColor="text1"/>
          <w:shd w:val="clear" w:fill="FFAFAA"/>
          <w14:textFill>
            <w14:solidFill>
              <w14:schemeClr w14:val="tx1"/>
            </w14:solidFill>
          </w14:textFill>
        </w:rPr>
        <w:t>Celtissinensis</w:t>
      </w:r>
      <w:bookmarkEnd w:id="593"/>
      <w:r>
        <w:rPr>
          <w:color w:val="000000" w:themeColor="text1"/>
          <w14:textFill>
            <w14:solidFill>
              <w14:schemeClr w14:val="tx1"/>
            </w14:solidFill>
          </w14:textFill>
        </w:rPr>
        <w:t>）、木麻黄（</w:t>
      </w:r>
      <w:r>
        <w:rPr>
          <w:i/>
          <w:iCs/>
          <w:color w:val="000000" w:themeColor="text1"/>
          <w14:textFill>
            <w14:solidFill>
              <w14:schemeClr w14:val="tx1"/>
            </w14:solidFill>
          </w14:textFill>
        </w:rPr>
        <w:t>Casuarinaequisetifolia</w:t>
      </w:r>
      <w:r>
        <w:rPr>
          <w:color w:val="000000" w:themeColor="text1"/>
          <w14:textFill>
            <w14:solidFill>
              <w14:schemeClr w14:val="tx1"/>
            </w14:solidFill>
          </w14:textFill>
        </w:rPr>
        <w:t>）等。</w:t>
      </w:r>
      <w:r>
        <w:rPr>
          <w:b/>
          <w:bCs/>
          <w:color w:val="000000" w:themeColor="text1"/>
          <w14:textFill>
            <w14:solidFill>
              <w14:schemeClr w14:val="tx1"/>
            </w14:solidFill>
          </w14:textFill>
        </w:rPr>
        <w:t>灌木层</w:t>
      </w:r>
      <w:r>
        <w:rPr>
          <w:color w:val="000000" w:themeColor="text1"/>
          <w14:textFill>
            <w14:solidFill>
              <w14:schemeClr w14:val="tx1"/>
            </w14:solidFill>
          </w14:textFill>
        </w:rPr>
        <w:t>：盖度约0.3~0.4，主要物种有马缨丹（</w:t>
      </w:r>
      <w:bookmarkStart w:id="594" w:name="hmcheck_11d22768b559453f9447ab21808be835"/>
      <w:r>
        <w:rPr>
          <w:i/>
          <w:iCs/>
          <w:color w:val="000000" w:themeColor="text1"/>
          <w:shd w:val="clear" w:fill="FFAFAA"/>
          <w14:textFill>
            <w14:solidFill>
              <w14:schemeClr w14:val="tx1"/>
            </w14:solidFill>
          </w14:textFill>
        </w:rPr>
        <w:t>Lantanacamara</w:t>
      </w:r>
      <w:bookmarkEnd w:id="594"/>
      <w:r>
        <w:rPr>
          <w:color w:val="000000" w:themeColor="text1"/>
          <w14:textFill>
            <w14:solidFill>
              <w14:schemeClr w14:val="tx1"/>
            </w14:solidFill>
          </w14:textFill>
        </w:rPr>
        <w:t>）、桃金娘（</w:t>
      </w:r>
      <w:r>
        <w:rPr>
          <w:i/>
          <w:iCs/>
          <w:color w:val="000000" w:themeColor="text1"/>
          <w14:textFill>
            <w14:solidFill>
              <w14:schemeClr w14:val="tx1"/>
            </w14:solidFill>
          </w14:textFill>
        </w:rPr>
        <w:t>Rhodomyrtustomentosa</w:t>
      </w:r>
      <w:r>
        <w:rPr>
          <w:color w:val="000000" w:themeColor="text1"/>
          <w14:textFill>
            <w14:solidFill>
              <w14:schemeClr w14:val="tx1"/>
            </w14:solidFill>
          </w14:textFill>
        </w:rPr>
        <w:t>）、檵木（</w:t>
      </w:r>
      <w:bookmarkStart w:id="595" w:name="hmcheck_6f8833c383554cfb99e622ba0889a91b"/>
      <w:r>
        <w:rPr>
          <w:i/>
          <w:iCs/>
          <w:color w:val="000000" w:themeColor="text1"/>
          <w:shd w:val="clear" w:fill="FFAFAA"/>
          <w14:textFill>
            <w14:solidFill>
              <w14:schemeClr w14:val="tx1"/>
            </w14:solidFill>
          </w14:textFill>
        </w:rPr>
        <w:t>Loropetalumchinense</w:t>
      </w:r>
      <w:bookmarkEnd w:id="595"/>
      <w:r>
        <w:rPr>
          <w:color w:val="000000" w:themeColor="text1"/>
          <w14:textFill>
            <w14:solidFill>
              <w14:schemeClr w14:val="tx1"/>
            </w14:solidFill>
          </w14:textFill>
        </w:rPr>
        <w:t>）、朴树幼树、山黄麻（</w:t>
      </w:r>
      <w:bookmarkStart w:id="596" w:name="hmcheck_59493a797a054db6bb0e2f5327168a2b"/>
      <w:r>
        <w:rPr>
          <w:i/>
          <w:iCs/>
          <w:color w:val="000000" w:themeColor="text1"/>
          <w:shd w:val="clear" w:fill="FFAFAA"/>
          <w14:textFill>
            <w14:solidFill>
              <w14:schemeClr w14:val="tx1"/>
            </w14:solidFill>
          </w14:textFill>
        </w:rPr>
        <w:t>Trematomentosa</w:t>
      </w:r>
      <w:bookmarkEnd w:id="596"/>
      <w:r>
        <w:rPr>
          <w:color w:val="000000" w:themeColor="text1"/>
          <w14:textFill>
            <w14:solidFill>
              <w14:schemeClr w14:val="tx1"/>
            </w14:solidFill>
          </w14:textFill>
        </w:rPr>
        <w:t>）、两面针（</w:t>
      </w:r>
      <w:bookmarkStart w:id="597" w:name="hmcheck_bf88e0b1330c4ea5979df558d6ee381e"/>
      <w:r>
        <w:rPr>
          <w:i/>
          <w:iCs/>
          <w:color w:val="000000" w:themeColor="text1"/>
          <w:shd w:val="clear" w:fill="FFAFAA"/>
          <w14:textFill>
            <w14:solidFill>
              <w14:schemeClr w14:val="tx1"/>
            </w14:solidFill>
          </w14:textFill>
        </w:rPr>
        <w:t>Zanthoxylumnitidum</w:t>
      </w:r>
      <w:bookmarkEnd w:id="597"/>
      <w:r>
        <w:rPr>
          <w:color w:val="000000" w:themeColor="text1"/>
          <w14:textFill>
            <w14:solidFill>
              <w14:schemeClr w14:val="tx1"/>
            </w14:solidFill>
          </w14:textFill>
        </w:rPr>
        <w:t>）等。灌木层物种多样性较高，多为耐旱、耐贫瘠的乡土植物。</w:t>
      </w:r>
      <w:r>
        <w:rPr>
          <w:b/>
          <w:bCs/>
          <w:color w:val="000000" w:themeColor="text1"/>
          <w14:textFill>
            <w14:solidFill>
              <w14:schemeClr w14:val="tx1"/>
            </w14:solidFill>
          </w14:textFill>
        </w:rPr>
        <w:t>草本层</w:t>
      </w:r>
      <w:r>
        <w:rPr>
          <w:color w:val="000000" w:themeColor="text1"/>
          <w14:textFill>
            <w14:solidFill>
              <w14:schemeClr w14:val="tx1"/>
            </w14:solidFill>
          </w14:textFill>
        </w:rPr>
        <w:t>：草本层盖度较高，通常为</w:t>
      </w:r>
      <w:bookmarkStart w:id="598" w:name="hmcheck_5a1b37acecce4c9489f294dae1cca00f"/>
      <w:r>
        <w:rPr>
          <w:color w:val="000000" w:themeColor="text1"/>
          <w:shd w:val="clear" w:fill="FFAFAA"/>
          <w14:textFill>
            <w14:solidFill>
              <w14:schemeClr w14:val="tx1"/>
            </w14:solidFill>
          </w14:textFill>
        </w:rPr>
        <w:t>30-50%</w:t>
      </w:r>
      <w:bookmarkEnd w:id="598"/>
      <w:r>
        <w:rPr>
          <w:color w:val="000000" w:themeColor="text1"/>
          <w14:textFill>
            <w14:solidFill>
              <w14:schemeClr w14:val="tx1"/>
            </w14:solidFill>
          </w14:textFill>
        </w:rPr>
        <w:t>，以耐旱、耐贫瘠的禾本科植物为主。主要种类包括狗尾草（</w:t>
      </w:r>
      <w:bookmarkStart w:id="599" w:name="hmcheck_bf8189f62f75495fa74b1d7ad040fceb"/>
      <w:r>
        <w:rPr>
          <w:i/>
          <w:iCs/>
          <w:color w:val="000000" w:themeColor="text1"/>
          <w:shd w:val="clear" w:fill="FFAFAA"/>
          <w14:textFill>
            <w14:solidFill>
              <w14:schemeClr w14:val="tx1"/>
            </w14:solidFill>
          </w14:textFill>
        </w:rPr>
        <w:t>Setariaviridis</w:t>
      </w:r>
      <w:bookmarkEnd w:id="599"/>
      <w:r>
        <w:rPr>
          <w:color w:val="000000" w:themeColor="text1"/>
          <w14:textFill>
            <w14:solidFill>
              <w14:schemeClr w14:val="tx1"/>
            </w14:solidFill>
          </w14:textFill>
        </w:rPr>
        <w:t>）、狗牙根（</w:t>
      </w:r>
      <w:bookmarkStart w:id="600" w:name="hmcheck_0e613a09c13a4ee8bd8de50607ec958b"/>
      <w:r>
        <w:rPr>
          <w:i/>
          <w:iCs/>
          <w:color w:val="000000" w:themeColor="text1"/>
          <w:shd w:val="clear" w:fill="FFAFAA"/>
          <w14:textFill>
            <w14:solidFill>
              <w14:schemeClr w14:val="tx1"/>
            </w14:solidFill>
          </w14:textFill>
        </w:rPr>
        <w:t>Cynodondactylon</w:t>
      </w:r>
      <w:bookmarkEnd w:id="600"/>
      <w:r>
        <w:rPr>
          <w:color w:val="000000" w:themeColor="text1"/>
          <w14:textFill>
            <w14:solidFill>
              <w14:schemeClr w14:val="tx1"/>
            </w14:solidFill>
          </w14:textFill>
        </w:rPr>
        <w:t>）、白茅（</w:t>
      </w:r>
      <w:bookmarkStart w:id="601" w:name="hmcheck_f653a88fc7de4f7cbbedf607461c77a4"/>
      <w:r>
        <w:rPr>
          <w:i/>
          <w:iCs/>
          <w:color w:val="000000" w:themeColor="text1"/>
          <w:shd w:val="clear" w:fill="FFAFAA"/>
          <w14:textFill>
            <w14:solidFill>
              <w14:schemeClr w14:val="tx1"/>
            </w14:solidFill>
          </w14:textFill>
        </w:rPr>
        <w:t>Imperatacylindrica</w:t>
      </w:r>
      <w:bookmarkEnd w:id="601"/>
      <w:r>
        <w:rPr>
          <w:color w:val="000000" w:themeColor="text1"/>
          <w14:textFill>
            <w14:solidFill>
              <w14:schemeClr w14:val="tx1"/>
            </w14:solidFill>
          </w14:textFill>
        </w:rPr>
        <w:t>）、假臭草（</w:t>
      </w:r>
      <w:bookmarkStart w:id="602" w:name="hmcheck_1487ef142d50482daa372ef3905aa902"/>
      <w:r>
        <w:rPr>
          <w:i/>
          <w:iCs/>
          <w:color w:val="000000" w:themeColor="text1"/>
          <w:shd w:val="clear" w:fill="FFAFAA"/>
          <w14:textFill>
            <w14:solidFill>
              <w14:schemeClr w14:val="tx1"/>
            </w14:solidFill>
          </w14:textFill>
        </w:rPr>
        <w:t>Praxelisclematidea</w:t>
      </w:r>
      <w:bookmarkEnd w:id="602"/>
      <w:r>
        <w:rPr>
          <w:color w:val="000000" w:themeColor="text1"/>
          <w14:textFill>
            <w14:solidFill>
              <w14:schemeClr w14:val="tx1"/>
            </w14:solidFill>
          </w14:textFill>
        </w:rPr>
        <w:t>）、鬼针草（</w:t>
      </w:r>
      <w:bookmarkStart w:id="603" w:name="hmcheck_d4284cac63984282921d8bd6ddb086ae"/>
      <w:r>
        <w:rPr>
          <w:i/>
          <w:iCs/>
          <w:color w:val="000000" w:themeColor="text1"/>
          <w:shd w:val="clear" w:fill="FFAFAA"/>
          <w14:textFill>
            <w14:solidFill>
              <w14:schemeClr w14:val="tx1"/>
            </w14:solidFill>
          </w14:textFill>
        </w:rPr>
        <w:t>Bidenspilosa</w:t>
      </w:r>
      <w:bookmarkEnd w:id="603"/>
      <w:r>
        <w:rPr>
          <w:color w:val="000000" w:themeColor="text1"/>
          <w14:textFill>
            <w14:solidFill>
              <w14:schemeClr w14:val="tx1"/>
            </w14:solidFill>
          </w14:textFill>
        </w:rPr>
        <w:t>）、淡竹叶（</w:t>
      </w:r>
      <w:bookmarkStart w:id="604" w:name="hmcheck_44351a868d154af59256bc3cd8fdd3d5"/>
      <w:r>
        <w:rPr>
          <w:i/>
          <w:iCs/>
          <w:color w:val="000000" w:themeColor="text1"/>
          <w:shd w:val="clear" w:fill="FFAFAA"/>
          <w14:textFill>
            <w14:solidFill>
              <w14:schemeClr w14:val="tx1"/>
            </w14:solidFill>
          </w14:textFill>
        </w:rPr>
        <w:t>Lophatherumgracile</w:t>
      </w:r>
      <w:bookmarkEnd w:id="604"/>
      <w:r>
        <w:rPr>
          <w:color w:val="000000" w:themeColor="text1"/>
          <w14:textFill>
            <w14:solidFill>
              <w14:schemeClr w14:val="tx1"/>
            </w14:solidFill>
          </w14:textFill>
        </w:rPr>
        <w:t>）、白花鬼针草（</w:t>
      </w:r>
      <w:bookmarkStart w:id="605" w:name="hmcheck_df750b1cfba44982a8e83df998f6d658"/>
      <w:r>
        <w:rPr>
          <w:i/>
          <w:iCs/>
          <w:color w:val="000000" w:themeColor="text1"/>
          <w:shd w:val="clear" w:fill="FFAFAA"/>
          <w14:textFill>
            <w14:solidFill>
              <w14:schemeClr w14:val="tx1"/>
            </w14:solidFill>
          </w14:textFill>
        </w:rPr>
        <w:t>Bidensalba</w:t>
      </w:r>
      <w:bookmarkEnd w:id="605"/>
      <w:r>
        <w:rPr>
          <w:color w:val="000000" w:themeColor="text1"/>
          <w14:textFill>
            <w14:solidFill>
              <w14:schemeClr w14:val="tx1"/>
            </w14:solidFill>
          </w14:textFill>
        </w:rPr>
        <w:t>）等。草本层物种丰富，反映了群落的次生性和较强的恢复能力。</w:t>
      </w:r>
    </w:p>
    <w:p w14:paraId="6BF1F9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台湾相思树林具有较强的适应性，耐干旱、耐贫瘠，能在低海拔丘陵地区形成稳定的群落结构。群落垂直分层明显，乔木层</w:t>
      </w:r>
      <w:bookmarkStart w:id="606" w:name="hmcheck_aa762f0233cd45f082aed03fe2e12ea9"/>
      <w:r>
        <w:rPr>
          <w:rFonts w:hint="eastAsia"/>
          <w:color w:val="000000" w:themeColor="text1"/>
          <w:shd w:val="clear" w:fill="FFAFAA"/>
          <w14:textFill>
            <w14:solidFill>
              <w14:schemeClr w14:val="tx1"/>
            </w14:solidFill>
          </w14:textFill>
        </w:rPr>
        <w:t>遮荫</w:t>
      </w:r>
      <w:bookmarkEnd w:id="606"/>
      <w:r>
        <w:rPr>
          <w:rFonts w:hint="eastAsia"/>
          <w:color w:val="000000" w:themeColor="text1"/>
          <w14:textFill>
            <w14:solidFill>
              <w14:schemeClr w14:val="tx1"/>
            </w14:solidFill>
          </w14:textFill>
        </w:rPr>
        <w:t>能力强，为灌木层和草本层提供了适宜的生长环境。相思树根系发达，具有固氮能力，能改善土壤肥力，促进群落演替。</w:t>
      </w:r>
    </w:p>
    <w:p w14:paraId="5DA5275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②巨桉群系：巨桉群系：巨桉（Eucalyptus grandis）是速生用材树种之一，评价范围内主要分布在山坡坡中以上区域（集中在K0+260~K0+420段南侧山包及主线终点西侧的山坡上）。该群系多为人工种植，具有明显的乔木层和灌木层结构。乔木层：以巨桉为绝对优势种，多形成人工纯林，群落郁闭度为0.4~0.5，平均高度约13.6 m。巨桉树干通直，树冠稀疏，林下透光性较好，为灌木层和草本层的生长提供了条件。灌木层：盖度为</w:t>
      </w:r>
      <w:bookmarkStart w:id="607" w:name="hmcheck_1cc8478ac6a84c6f9c3d8ced6496f2e0"/>
      <w:r>
        <w:rPr>
          <w:rFonts w:hint="eastAsia"/>
          <w:color w:val="000000" w:themeColor="text1"/>
          <w:shd w:val="clear" w:fill="FFAFAA"/>
          <w14:textFill>
            <w14:solidFill>
              <w14:schemeClr w14:val="tx1"/>
            </w14:solidFill>
          </w14:textFill>
        </w:rPr>
        <w:t>10~30%</w:t>
      </w:r>
      <w:bookmarkEnd w:id="607"/>
      <w:r>
        <w:rPr>
          <w:rFonts w:hint="eastAsia"/>
          <w:color w:val="000000" w:themeColor="text1"/>
          <w14:textFill>
            <w14:solidFill>
              <w14:schemeClr w14:val="tx1"/>
            </w14:solidFill>
          </w14:textFill>
        </w:rPr>
        <w:t xml:space="preserve">，主要物种包括相思树（Acacia confusa）幼林、青冈（Cyclobalanopsis glauca）、石栎（Lithocarpus </w:t>
      </w:r>
      <w:bookmarkStart w:id="608" w:name="hmcheck_f8a3c4fbf30740cc93a8d76c067ff148"/>
      <w:r>
        <w:rPr>
          <w:rFonts w:hint="eastAsia"/>
          <w:color w:val="000000" w:themeColor="text1"/>
          <w:shd w:val="clear" w:fill="FFAFAA"/>
          <w14:textFill>
            <w14:solidFill>
              <w14:schemeClr w14:val="tx1"/>
            </w14:solidFill>
          </w14:textFill>
        </w:rPr>
        <w:t>glaber</w:t>
      </w:r>
      <w:bookmarkEnd w:id="608"/>
      <w:r>
        <w:rPr>
          <w:rFonts w:hint="eastAsia"/>
          <w:color w:val="000000" w:themeColor="text1"/>
          <w14:textFill>
            <w14:solidFill>
              <w14:schemeClr w14:val="tx1"/>
            </w14:solidFill>
          </w14:textFill>
        </w:rPr>
        <w:t>）、野牡丹（</w:t>
      </w:r>
      <w:bookmarkStart w:id="609" w:name="hmcheck_84a34411d7074f92a9454b2858d2d8c4"/>
      <w:r>
        <w:rPr>
          <w:rFonts w:hint="eastAsia"/>
          <w:color w:val="000000" w:themeColor="text1"/>
          <w:shd w:val="clear" w:fill="FFAFAA"/>
          <w14:textFill>
            <w14:solidFill>
              <w14:schemeClr w14:val="tx1"/>
            </w14:solidFill>
          </w14:textFill>
        </w:rPr>
        <w:t>Melastoma</w:t>
      </w:r>
      <w:bookmarkEnd w:id="609"/>
      <w:r>
        <w:rPr>
          <w:rFonts w:hint="eastAsia"/>
          <w:color w:val="000000" w:themeColor="text1"/>
          <w14:textFill>
            <w14:solidFill>
              <w14:schemeClr w14:val="tx1"/>
            </w14:solidFill>
          </w14:textFill>
        </w:rPr>
        <w:t xml:space="preserve"> candidum）、毛冬青（Ilex pubescens）、黄栀子（Gardenia jasminoides）等。这些灌木多为耐荫、耐贫瘠的乡土物种，适应性强，能够在巨桉林下形成稳定的次生植被层。草本层：以耐荫、耐旱的草本植物为主，常见物种包括五节芒（Miscanthus </w:t>
      </w:r>
      <w:bookmarkStart w:id="610" w:name="hmcheck_0b0dcdd9f67b484fa78025b4ea9d29cd"/>
      <w:r>
        <w:rPr>
          <w:rFonts w:hint="eastAsia"/>
          <w:color w:val="000000" w:themeColor="text1"/>
          <w:shd w:val="clear" w:fill="FFAFAA"/>
          <w14:textFill>
            <w14:solidFill>
              <w14:schemeClr w14:val="tx1"/>
            </w14:solidFill>
          </w14:textFill>
        </w:rPr>
        <w:t>floridulus</w:t>
      </w:r>
      <w:bookmarkEnd w:id="610"/>
      <w:r>
        <w:rPr>
          <w:rFonts w:hint="eastAsia"/>
          <w:color w:val="000000" w:themeColor="text1"/>
          <w14:textFill>
            <w14:solidFill>
              <w14:schemeClr w14:val="tx1"/>
            </w14:solidFill>
          </w14:textFill>
        </w:rPr>
        <w:t>）、芒萁（Dicranopteris pedata）、菝葜（Smilax china）、淡竹叶（Lophatherum gracile）、常春藤（Hedera spp</w:t>
      </w:r>
      <w:bookmarkStart w:id="611" w:name="hmcheck_697906a1e738408d9f898262b577efaa"/>
      <w:r>
        <w:rPr>
          <w:rFonts w:hint="eastAsia"/>
          <w:color w:val="000000" w:themeColor="text1"/>
          <w:shd w:val="clear" w:fill="FFAFAA"/>
          <w14:textFill>
            <w14:solidFill>
              <w14:schemeClr w14:val="tx1"/>
            </w14:solidFill>
          </w14:textFill>
        </w:rPr>
        <w:t>.</w:t>
      </w:r>
      <w:bookmarkEnd w:id="611"/>
      <w:r>
        <w:rPr>
          <w:rFonts w:hint="eastAsia"/>
          <w:color w:val="000000" w:themeColor="text1"/>
          <w14:textFill>
            <w14:solidFill>
              <w14:schemeClr w14:val="tx1"/>
            </w14:solidFill>
          </w14:textFill>
        </w:rPr>
        <w:t>）等。草本层盖度较高，通常为30%</w:t>
      </w:r>
      <w:bookmarkStart w:id="612" w:name="hmcheck_9a158a1c966745c8ad9503ac84aae178"/>
      <w:r>
        <w:rPr>
          <w:rFonts w:hint="eastAsia"/>
          <w:color w:val="000000" w:themeColor="text1"/>
          <w:shd w:val="clear" w:fill="FFAFAA"/>
          <w14:textFill>
            <w14:solidFill>
              <w14:schemeClr w14:val="tx1"/>
            </w14:solidFill>
          </w14:textFill>
        </w:rPr>
        <w:t>-</w:t>
      </w:r>
      <w:bookmarkEnd w:id="612"/>
      <w:r>
        <w:rPr>
          <w:rFonts w:hint="eastAsia"/>
          <w:color w:val="000000" w:themeColor="text1"/>
          <w14:textFill>
            <w14:solidFill>
              <w14:schemeClr w14:val="tx1"/>
            </w14:solidFill>
          </w14:textFill>
        </w:rPr>
        <w:t>50%，具有较强的水土保持能力。</w:t>
      </w:r>
    </w:p>
    <w:p w14:paraId="7E8E0AC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）灌草丛</w:t>
      </w:r>
    </w:p>
    <w:p w14:paraId="15C3289A">
      <w:pPr>
        <w:ind w:firstLine="480"/>
        <w:rPr>
          <w:rFonts w:ascii="Segoe UI" w:hAnsi="Segoe UI" w:cs="Segoe UI"/>
          <w:color w:val="000000" w:themeColor="text1"/>
          <w:kern w:val="0"/>
          <w:szCs w:val="24"/>
          <w14:textFill>
            <w14:solidFill>
              <w14:schemeClr w14:val="tx1"/>
            </w14:solidFill>
          </w14:textFill>
        </w:rPr>
      </w:pPr>
      <w:r>
        <w:rPr>
          <w:rFonts w:hint="eastAsia"/>
          <w:color w:val="000000" w:themeColor="text1"/>
          <w14:textFill>
            <w14:solidFill>
              <w14:schemeClr w14:val="tx1"/>
            </w14:solidFill>
          </w14:textFill>
        </w:rPr>
        <w:t>评价区分布的灌丛属于亚热带地区丘陵山地的一种灌木植被类型，一般为亚热带常绿阔叶林遭受破坏后的次生植被类型，由于受人为的不断影响，成为一种常见的植被类型。</w:t>
      </w:r>
      <w:r>
        <w:rPr>
          <w:b/>
          <w:bCs/>
          <w:color w:val="000000" w:themeColor="text1"/>
          <w14:textFill>
            <w14:solidFill>
              <w14:schemeClr w14:val="tx1"/>
            </w14:solidFill>
          </w14:textFill>
        </w:rPr>
        <w:t>灌丛层</w:t>
      </w:r>
      <w:r>
        <w:rPr>
          <w:color w:val="000000" w:themeColor="text1"/>
          <w14:textFill>
            <w14:solidFill>
              <w14:schemeClr w14:val="tx1"/>
            </w14:solidFill>
          </w14:textFill>
        </w:rPr>
        <w:t xml:space="preserve">：以多年生灌木为主要建群种，常见物种包括山胡椒（Litsea cubeba）、胡枝子（Lespedeza bicolor）、油茶（Camellia oleifera）、青冈（Cyclobalanopsis glauca）、白栎（Quercus fabri）、茅栗（Castanea </w:t>
      </w:r>
      <w:bookmarkStart w:id="613" w:name="hmcheck_b1511405e53d4c87aa8c43d92abb013b"/>
      <w:r>
        <w:rPr>
          <w:color w:val="000000" w:themeColor="text1"/>
          <w:shd w:val="clear" w:fill="FFAFAA"/>
          <w14:textFill>
            <w14:solidFill>
              <w14:schemeClr w14:val="tx1"/>
            </w14:solidFill>
          </w14:textFill>
        </w:rPr>
        <w:t>seguinii</w:t>
      </w:r>
      <w:bookmarkEnd w:id="613"/>
      <w:r>
        <w:rPr>
          <w:color w:val="000000" w:themeColor="text1"/>
          <w14:textFill>
            <w14:solidFill>
              <w14:schemeClr w14:val="tx1"/>
            </w14:solidFill>
          </w14:textFill>
        </w:rPr>
        <w:t xml:space="preserve">）、野漆（Toxicodendron succedaneum）、盐肤木（Rhus chinensis）、鹅掌柴（Schefflera </w:t>
      </w:r>
      <w:bookmarkStart w:id="614" w:name="hmcheck_a0c1d3b8682c4a4992a7ef31e8b32bb8"/>
      <w:r>
        <w:rPr>
          <w:color w:val="000000" w:themeColor="text1"/>
          <w:shd w:val="clear" w:fill="FFAFAA"/>
          <w14:textFill>
            <w14:solidFill>
              <w14:schemeClr w14:val="tx1"/>
            </w14:solidFill>
          </w14:textFill>
        </w:rPr>
        <w:t>heptaphylla</w:t>
      </w:r>
      <w:bookmarkEnd w:id="614"/>
      <w:r>
        <w:rPr>
          <w:color w:val="000000" w:themeColor="text1"/>
          <w14:textFill>
            <w14:solidFill>
              <w14:schemeClr w14:val="tx1"/>
            </w14:solidFill>
          </w14:textFill>
        </w:rPr>
        <w:t>）以及杜鹃科（Ericaceae）植物等。这些灌木多具有耐旱、耐贫瘠的特性，适应性强，能够在退化土地上形成稳定的群落结构。</w:t>
      </w:r>
      <w:r>
        <w:rPr>
          <w:b/>
          <w:bCs/>
          <w:color w:val="000000" w:themeColor="text1"/>
          <w14:textFill>
            <w14:solidFill>
              <w14:schemeClr w14:val="tx1"/>
            </w14:solidFill>
          </w14:textFill>
        </w:rPr>
        <w:t>草丛层</w:t>
      </w:r>
      <w:r>
        <w:rPr>
          <w:color w:val="000000" w:themeColor="text1"/>
          <w14:textFill>
            <w14:solidFill>
              <w14:schemeClr w14:val="tx1"/>
            </w14:solidFill>
          </w14:textFill>
        </w:rPr>
        <w:t xml:space="preserve">：以多年生草本植物为主，常见物种包括五节芒（Miscanthus </w:t>
      </w:r>
      <w:bookmarkStart w:id="615" w:name="hmcheck_185ab423e17442478e19ca521625e2ac"/>
      <w:r>
        <w:rPr>
          <w:color w:val="000000" w:themeColor="text1"/>
          <w:shd w:val="clear" w:fill="FFAFAA"/>
          <w14:textFill>
            <w14:solidFill>
              <w14:schemeClr w14:val="tx1"/>
            </w14:solidFill>
          </w14:textFill>
        </w:rPr>
        <w:t>floridulus</w:t>
      </w:r>
      <w:bookmarkEnd w:id="615"/>
      <w:r>
        <w:rPr>
          <w:color w:val="000000" w:themeColor="text1"/>
          <w14:textFill>
            <w14:solidFill>
              <w14:schemeClr w14:val="tx1"/>
            </w14:solidFill>
          </w14:textFill>
        </w:rPr>
        <w:t>）、芒萁（Dicranopteris pedata）、野古草（Arundinella hirta）、狗脊（Woodwardia japonica）以及多种蕨类植物。草丛层盖度较高，通常为50%</w:t>
      </w:r>
      <w:bookmarkStart w:id="616" w:name="hmcheck_ebe4fd997ffd485782b910472492bcad"/>
      <w:r>
        <w:rPr>
          <w:color w:val="000000" w:themeColor="text1"/>
          <w:shd w:val="clear" w:fill="FFAFAA"/>
          <w14:textFill>
            <w14:solidFill>
              <w14:schemeClr w14:val="tx1"/>
            </w14:solidFill>
          </w14:textFill>
        </w:rPr>
        <w:t>-</w:t>
      </w:r>
      <w:bookmarkEnd w:id="616"/>
      <w:r>
        <w:rPr>
          <w:color w:val="000000" w:themeColor="text1"/>
          <w14:textFill>
            <w14:solidFill>
              <w14:schemeClr w14:val="tx1"/>
            </w14:solidFill>
          </w14:textFill>
        </w:rPr>
        <w:t>70%，具有较强的水土保持能力。</w:t>
      </w:r>
      <w:r>
        <w:rPr>
          <w:rFonts w:ascii="Segoe UI" w:hAnsi="Segoe UI" w:cs="Segoe UI"/>
          <w:color w:val="000000" w:themeColor="text1"/>
          <w:kern w:val="0"/>
          <w:szCs w:val="24"/>
          <w14:textFill>
            <w14:solidFill>
              <w14:schemeClr w14:val="tx1"/>
            </w14:solidFill>
          </w14:textFill>
        </w:rPr>
        <w:t>灌丛层和草丛层共同构成了群落的垂直结构，灌丛层为草本层提供了一定的</w:t>
      </w:r>
      <w:bookmarkStart w:id="617" w:name="hmcheck_5b3e02ca5933417087a20106b3799568"/>
      <w:r>
        <w:rPr>
          <w:rFonts w:ascii="Segoe UI" w:hAnsi="Segoe UI" w:cs="Segoe UI"/>
          <w:color w:val="000000" w:themeColor="text1"/>
          <w:kern w:val="0"/>
          <w:szCs w:val="24"/>
          <w:shd w:val="clear" w:fill="FFAFAA"/>
          <w14:textFill>
            <w14:solidFill>
              <w14:schemeClr w14:val="tx1"/>
            </w14:solidFill>
          </w14:textFill>
        </w:rPr>
        <w:t>遮荫</w:t>
      </w:r>
      <w:bookmarkEnd w:id="617"/>
      <w:r>
        <w:rPr>
          <w:rFonts w:ascii="Segoe UI" w:hAnsi="Segoe UI" w:cs="Segoe UI"/>
          <w:color w:val="000000" w:themeColor="text1"/>
          <w:kern w:val="0"/>
          <w:szCs w:val="24"/>
          <w14:textFill>
            <w14:solidFill>
              <w14:schemeClr w14:val="tx1"/>
            </w14:solidFill>
          </w14:textFill>
        </w:rPr>
        <w:t>和庇护，而草本层则通过密集的根系网络固土防蚀。</w:t>
      </w:r>
    </w:p>
    <w:p w14:paraId="6E4E057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 xml:space="preserve">）经济林：评价范围内，主要近距离植被为龙眼林。在项目评价范围内分布较广，从起点到终点沿线的园地、山坡广泛分布，根据调查，每100 </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 xml:space="preserve">约有龙眼 7 </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株，平均胸径 13.5  cm，树高 4.5  m，乔木层仅有龙眼；灌木层盖度8 %，主要有蓖麻、苎麻、地桃花、盐肤木、山乌桕、小蜡树等；草本层盖度20 %，主要有白花鬼针草、芭蕉、牛筋草、肿柄菊、假臭草、类芦、白花鬼针草、空心莲子草等等；层间植物主要有葎草、杠板归。</w:t>
      </w:r>
    </w:p>
    <w:p w14:paraId="5AE4D853">
      <w:pPr>
        <w:ind w:firstLine="480"/>
        <w:rPr>
          <w:rFonts w:cs="Times New Roman"/>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）农田耕作植被</w:t>
      </w:r>
    </w:p>
    <w:p w14:paraId="628A7E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根据实地调查，评价区范围内，分布着较大面积的</w:t>
      </w:r>
      <w:bookmarkStart w:id="618" w:name="hmcheck_df71f076fb304669873a51547186ba2a"/>
      <w:r>
        <w:rPr>
          <w:rFonts w:hint="eastAsia"/>
          <w:color w:val="000000" w:themeColor="text1"/>
          <w:shd w:val="clear" w:fill="FFAFAA"/>
          <w14:textFill>
            <w14:solidFill>
              <w14:schemeClr w14:val="tx1"/>
            </w14:solidFill>
          </w14:textFill>
        </w:rPr>
        <w:t>农田耕地</w:t>
      </w:r>
      <w:bookmarkEnd w:id="618"/>
      <w:r>
        <w:rPr>
          <w:rFonts w:hint="eastAsia"/>
          <w:color w:val="000000" w:themeColor="text1"/>
          <w14:textFill>
            <w14:solidFill>
              <w14:schemeClr w14:val="tx1"/>
            </w14:solidFill>
          </w14:textFill>
        </w:rPr>
        <w:t>。主要种植萝卜、花生，以及各式蔬菜和瓜果类等。</w:t>
      </w:r>
    </w:p>
    <w:p w14:paraId="6EA8FFA0">
      <w:pPr>
        <w:pStyle w:val="118"/>
        <w:rPr>
          <w:color w:val="000000" w:themeColor="text1"/>
          <w14:textFill>
            <w14:solidFill>
              <w14:schemeClr w14:val="tx1"/>
            </w14:solidFill>
          </w14:textFill>
        </w:rPr>
      </w:pPr>
      <w:r>
        <w:rPr>
          <w:color w:val="000000" w:themeColor="text1"/>
          <w14:textFill>
            <w14:solidFill>
              <w14:schemeClr w14:val="tx1"/>
            </w14:solidFill>
          </w14:textFill>
        </w:rPr>
        <w:t>古树名木</w:t>
      </w:r>
    </w:p>
    <w:p w14:paraId="380C6AF4">
      <w:pPr>
        <w:ind w:firstLine="480"/>
        <w:rPr>
          <w:color w:val="000000" w:themeColor="text1"/>
          <w14:textFill>
            <w14:solidFill>
              <w14:schemeClr w14:val="tx1"/>
            </w14:solidFill>
          </w14:textFill>
        </w:rPr>
      </w:pPr>
      <w:r>
        <w:rPr>
          <w:rFonts w:hint="eastAsia"/>
          <w:bCs/>
          <w:color w:val="000000" w:themeColor="text1"/>
          <w14:textFill>
            <w14:solidFill>
              <w14:schemeClr w14:val="tx1"/>
            </w14:solidFill>
          </w14:textFill>
        </w:rPr>
        <w:t>根据调查，线路两侧3</w:t>
      </w:r>
      <w:r>
        <w:rPr>
          <w:bCs/>
          <w:color w:val="000000" w:themeColor="text1"/>
          <w14:textFill>
            <w14:solidFill>
              <w14:schemeClr w14:val="tx1"/>
            </w14:solidFill>
          </w14:textFill>
        </w:rPr>
        <w:t>00</w:t>
      </w:r>
      <w:r>
        <w:rPr>
          <w:rFonts w:hint="eastAsia"/>
          <w:bCs/>
          <w:color w:val="000000" w:themeColor="text1"/>
          <w14:textFill>
            <w14:solidFill>
              <w14:schemeClr w14:val="tx1"/>
            </w14:solidFill>
          </w14:textFill>
        </w:rPr>
        <w:t>m评价范围内</w:t>
      </w:r>
      <w:r>
        <w:rPr>
          <w:rFonts w:hint="eastAsia"/>
          <w:color w:val="000000" w:themeColor="text1"/>
          <w14:textFill>
            <w14:solidFill>
              <w14:schemeClr w14:val="tx1"/>
            </w14:solidFill>
          </w14:textFill>
        </w:rPr>
        <w:t>有</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株古树，项目占地红线内没有挂牌的名木古树和野生珍贵树木，线路与沿线名木古树位置关系详见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_Ref192540333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025A91BC">
      <w:pPr>
        <w:pStyle w:val="87"/>
        <w:spacing w:before="120"/>
        <w:rPr>
          <w:color w:val="000000" w:themeColor="text1"/>
          <w14:textFill>
            <w14:solidFill>
              <w14:schemeClr w14:val="tx1"/>
            </w14:solidFill>
          </w14:textFill>
        </w:rPr>
      </w:pPr>
      <w:r>
        <w:rPr>
          <w:rFonts w:hint="eastAsia"/>
          <w:color w:val="000000" w:themeColor="text1"/>
          <w14:textFill>
            <w14:solidFill>
              <w14:schemeClr w14:val="tx1"/>
            </w14:solidFill>
          </w14:textFill>
        </w:rPr>
        <w:t>古树现状调查情况表</w:t>
      </w:r>
    </w:p>
    <w:tbl>
      <w:tblPr>
        <w:tblStyle w:val="152"/>
        <w:tblW w:w="4923"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31"/>
        <w:gridCol w:w="990"/>
        <w:gridCol w:w="1270"/>
        <w:gridCol w:w="3920"/>
        <w:gridCol w:w="1047"/>
        <w:gridCol w:w="1276"/>
      </w:tblGrid>
      <w:tr w14:paraId="5CA1B24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Align w:val="center"/>
          </w:tcPr>
          <w:p w14:paraId="25D6F5D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54" w:type="pct"/>
            <w:vAlign w:val="center"/>
          </w:tcPr>
          <w:p w14:paraId="01FB692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w:t>
            </w:r>
          </w:p>
        </w:tc>
        <w:tc>
          <w:tcPr>
            <w:tcW w:w="711" w:type="pct"/>
            <w:vAlign w:val="center"/>
          </w:tcPr>
          <w:p w14:paraId="2014259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名木/古树</w:t>
            </w:r>
          </w:p>
        </w:tc>
        <w:tc>
          <w:tcPr>
            <w:tcW w:w="2194" w:type="pct"/>
            <w:vAlign w:val="center"/>
          </w:tcPr>
          <w:p w14:paraId="575E233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现状</w:t>
            </w:r>
          </w:p>
        </w:tc>
        <w:tc>
          <w:tcPr>
            <w:tcW w:w="586" w:type="pct"/>
            <w:vAlign w:val="center"/>
          </w:tcPr>
          <w:p w14:paraId="2D59D25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位置关系</w:t>
            </w:r>
          </w:p>
        </w:tc>
        <w:tc>
          <w:tcPr>
            <w:tcW w:w="714" w:type="pct"/>
            <w:vAlign w:val="center"/>
          </w:tcPr>
          <w:p w14:paraId="73D4A5B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现状生长情况</w:t>
            </w:r>
          </w:p>
        </w:tc>
      </w:tr>
      <w:tr w14:paraId="7B95CF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Merge w:val="restart"/>
            <w:vAlign w:val="center"/>
          </w:tcPr>
          <w:p w14:paraId="0FB594A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554" w:type="pct"/>
            <w:vMerge w:val="restart"/>
            <w:vAlign w:val="center"/>
          </w:tcPr>
          <w:p w14:paraId="20C0966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K2+260~</w:t>
            </w:r>
          </w:p>
          <w:p w14:paraId="75B3D23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K2+300</w:t>
            </w:r>
            <w:r>
              <w:rPr>
                <w:rFonts w:hint="eastAsia"/>
                <w:color w:val="000000" w:themeColor="text1"/>
                <w14:textFill>
                  <w14:solidFill>
                    <w14:schemeClr w14:val="tx1"/>
                  </w14:solidFill>
                </w14:textFill>
              </w:rPr>
              <w:t>路左</w:t>
            </w:r>
          </w:p>
        </w:tc>
        <w:tc>
          <w:tcPr>
            <w:tcW w:w="711" w:type="pct"/>
            <w:vAlign w:val="center"/>
          </w:tcPr>
          <w:p w14:paraId="52784EA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龙眼（桂圆）</w:t>
            </w:r>
          </w:p>
        </w:tc>
        <w:tc>
          <w:tcPr>
            <w:tcW w:w="2194" w:type="pct"/>
            <w:vAlign w:val="center"/>
          </w:tcPr>
          <w:p w14:paraId="05357AAF">
            <w:pPr>
              <w:pStyle w:val="105"/>
              <w:jc w:val="center"/>
              <w:rPr>
                <w:color w:val="000000" w:themeColor="text1"/>
                <w14:textFill>
                  <w14:solidFill>
                    <w14:schemeClr w14:val="tx1"/>
                  </w14:solidFill>
                </w14:textFill>
              </w:rPr>
            </w:pPr>
          </w:p>
        </w:tc>
        <w:tc>
          <w:tcPr>
            <w:tcW w:w="586" w:type="pct"/>
            <w:vAlign w:val="center"/>
          </w:tcPr>
          <w:p w14:paraId="3A5F73B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color w:val="000000" w:themeColor="text1"/>
                <w14:textFill>
                  <w14:solidFill>
                    <w14:schemeClr w14:val="tx1"/>
                  </w14:solidFill>
                </w14:textFill>
              </w:rPr>
              <w:t>222</w:t>
            </w:r>
            <w:r>
              <w:rPr>
                <w:rFonts w:hint="eastAsia"/>
                <w:color w:val="000000" w:themeColor="text1"/>
                <w14:textFill>
                  <w14:solidFill>
                    <w14:schemeClr w14:val="tx1"/>
                  </w14:solidFill>
                </w14:textFill>
              </w:rPr>
              <w:t>m</w:t>
            </w:r>
          </w:p>
        </w:tc>
        <w:tc>
          <w:tcPr>
            <w:tcW w:w="714" w:type="pct"/>
            <w:vAlign w:val="center"/>
          </w:tcPr>
          <w:p w14:paraId="2490ECFD">
            <w:pPr>
              <w:pStyle w:val="105"/>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枯死</w:t>
            </w:r>
          </w:p>
        </w:tc>
      </w:tr>
      <w:tr w14:paraId="040FB2D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Merge w:val="continue"/>
            <w:vAlign w:val="center"/>
          </w:tcPr>
          <w:p w14:paraId="6705027C">
            <w:pPr>
              <w:pStyle w:val="105"/>
              <w:jc w:val="center"/>
              <w:rPr>
                <w:color w:val="000000" w:themeColor="text1"/>
                <w14:textFill>
                  <w14:solidFill>
                    <w14:schemeClr w14:val="tx1"/>
                  </w14:solidFill>
                </w14:textFill>
              </w:rPr>
            </w:pPr>
          </w:p>
        </w:tc>
        <w:tc>
          <w:tcPr>
            <w:tcW w:w="554" w:type="pct"/>
            <w:vMerge w:val="continue"/>
            <w:vAlign w:val="center"/>
          </w:tcPr>
          <w:p w14:paraId="6E63E26E">
            <w:pPr>
              <w:pStyle w:val="105"/>
              <w:jc w:val="center"/>
              <w:rPr>
                <w:color w:val="000000" w:themeColor="text1"/>
                <w14:textFill>
                  <w14:solidFill>
                    <w14:schemeClr w14:val="tx1"/>
                  </w14:solidFill>
                </w14:textFill>
              </w:rPr>
            </w:pPr>
          </w:p>
        </w:tc>
        <w:tc>
          <w:tcPr>
            <w:tcW w:w="711" w:type="pct"/>
            <w:vAlign w:val="center"/>
          </w:tcPr>
          <w:p w14:paraId="7E8E5BE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龙眼（桂圆）</w:t>
            </w:r>
          </w:p>
        </w:tc>
        <w:tc>
          <w:tcPr>
            <w:tcW w:w="2194" w:type="pct"/>
            <w:vAlign w:val="center"/>
          </w:tcPr>
          <w:p w14:paraId="256D23DB">
            <w:pPr>
              <w:pStyle w:val="105"/>
              <w:jc w:val="center"/>
              <w:rPr>
                <w:color w:val="000000" w:themeColor="text1"/>
                <w14:textFill>
                  <w14:solidFill>
                    <w14:schemeClr w14:val="tx1"/>
                  </w14:solidFill>
                </w14:textFill>
              </w:rPr>
            </w:pPr>
          </w:p>
        </w:tc>
        <w:tc>
          <w:tcPr>
            <w:tcW w:w="586" w:type="pct"/>
            <w:vAlign w:val="center"/>
          </w:tcPr>
          <w:p w14:paraId="3A40DFE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color w:val="000000" w:themeColor="text1"/>
                <w14:textFill>
                  <w14:solidFill>
                    <w14:schemeClr w14:val="tx1"/>
                  </w14:solidFill>
                </w14:textFill>
              </w:rPr>
              <w:t>222</w:t>
            </w:r>
            <w:r>
              <w:rPr>
                <w:rFonts w:hint="eastAsia"/>
                <w:color w:val="000000" w:themeColor="text1"/>
                <w14:textFill>
                  <w14:solidFill>
                    <w14:schemeClr w14:val="tx1"/>
                  </w14:solidFill>
                </w14:textFill>
              </w:rPr>
              <w:t>m</w:t>
            </w:r>
          </w:p>
        </w:tc>
        <w:tc>
          <w:tcPr>
            <w:tcW w:w="714" w:type="pct"/>
            <w:vAlign w:val="center"/>
          </w:tcPr>
          <w:p w14:paraId="3B4EA62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正常</w:t>
            </w:r>
          </w:p>
        </w:tc>
      </w:tr>
      <w:tr w14:paraId="63A2C0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Merge w:val="continue"/>
            <w:vAlign w:val="center"/>
          </w:tcPr>
          <w:p w14:paraId="380E4996">
            <w:pPr>
              <w:pStyle w:val="105"/>
              <w:jc w:val="center"/>
              <w:rPr>
                <w:color w:val="000000" w:themeColor="text1"/>
                <w14:textFill>
                  <w14:solidFill>
                    <w14:schemeClr w14:val="tx1"/>
                  </w14:solidFill>
                </w14:textFill>
              </w:rPr>
            </w:pPr>
          </w:p>
        </w:tc>
        <w:tc>
          <w:tcPr>
            <w:tcW w:w="554" w:type="pct"/>
            <w:vMerge w:val="continue"/>
            <w:vAlign w:val="center"/>
          </w:tcPr>
          <w:p w14:paraId="13F6518B">
            <w:pPr>
              <w:pStyle w:val="105"/>
              <w:jc w:val="center"/>
              <w:rPr>
                <w:color w:val="000000" w:themeColor="text1"/>
                <w14:textFill>
                  <w14:solidFill>
                    <w14:schemeClr w14:val="tx1"/>
                  </w14:solidFill>
                </w14:textFill>
              </w:rPr>
            </w:pPr>
          </w:p>
        </w:tc>
        <w:tc>
          <w:tcPr>
            <w:tcW w:w="711" w:type="pct"/>
            <w:vAlign w:val="center"/>
          </w:tcPr>
          <w:p w14:paraId="26847BC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榕树（榕）</w:t>
            </w:r>
          </w:p>
        </w:tc>
        <w:tc>
          <w:tcPr>
            <w:tcW w:w="2194" w:type="pct"/>
            <w:vAlign w:val="center"/>
          </w:tcPr>
          <w:p w14:paraId="213FD68A">
            <w:pPr>
              <w:pStyle w:val="105"/>
              <w:jc w:val="center"/>
              <w:rPr>
                <w:color w:val="000000" w:themeColor="text1"/>
                <w14:textFill>
                  <w14:solidFill>
                    <w14:schemeClr w14:val="tx1"/>
                  </w14:solidFill>
                </w14:textFill>
              </w:rPr>
            </w:pPr>
          </w:p>
        </w:tc>
        <w:tc>
          <w:tcPr>
            <w:tcW w:w="586" w:type="pct"/>
            <w:vAlign w:val="center"/>
          </w:tcPr>
          <w:p w14:paraId="2E86CE0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color w:val="000000" w:themeColor="text1"/>
                <w14:textFill>
                  <w14:solidFill>
                    <w14:schemeClr w14:val="tx1"/>
                  </w14:solidFill>
                </w14:textFill>
              </w:rPr>
              <w:t>252</w:t>
            </w:r>
            <w:r>
              <w:rPr>
                <w:rFonts w:hint="eastAsia"/>
                <w:color w:val="000000" w:themeColor="text1"/>
                <w14:textFill>
                  <w14:solidFill>
                    <w14:schemeClr w14:val="tx1"/>
                  </w14:solidFill>
                </w14:textFill>
              </w:rPr>
              <w:t>m</w:t>
            </w:r>
          </w:p>
        </w:tc>
        <w:tc>
          <w:tcPr>
            <w:tcW w:w="714" w:type="pct"/>
            <w:vAlign w:val="center"/>
          </w:tcPr>
          <w:p w14:paraId="4AAF4CE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正常</w:t>
            </w:r>
          </w:p>
        </w:tc>
      </w:tr>
      <w:tr w14:paraId="497A99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Align w:val="center"/>
          </w:tcPr>
          <w:p w14:paraId="28F881B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554" w:type="pct"/>
            <w:vAlign w:val="center"/>
          </w:tcPr>
          <w:p w14:paraId="3DB7C74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K3+480</w:t>
            </w:r>
            <w:r>
              <w:rPr>
                <w:rFonts w:hint="eastAsia"/>
                <w:color w:val="000000" w:themeColor="text1"/>
                <w14:textFill>
                  <w14:solidFill>
                    <w14:schemeClr w14:val="tx1"/>
                  </w14:solidFill>
                </w14:textFill>
              </w:rPr>
              <w:t>路左</w:t>
            </w:r>
          </w:p>
        </w:tc>
        <w:tc>
          <w:tcPr>
            <w:tcW w:w="711" w:type="pct"/>
            <w:vAlign w:val="center"/>
          </w:tcPr>
          <w:p w14:paraId="5D88DEC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秋枫（茄冬）</w:t>
            </w:r>
          </w:p>
        </w:tc>
        <w:tc>
          <w:tcPr>
            <w:tcW w:w="2194" w:type="pct"/>
            <w:vAlign w:val="center"/>
          </w:tcPr>
          <w:p w14:paraId="6FC7BC95">
            <w:pPr>
              <w:pStyle w:val="105"/>
              <w:jc w:val="center"/>
              <w:rPr>
                <w:color w:val="000000" w:themeColor="text1"/>
                <w14:textFill>
                  <w14:solidFill>
                    <w14:schemeClr w14:val="tx1"/>
                  </w14:solidFill>
                </w14:textFill>
              </w:rPr>
            </w:pPr>
          </w:p>
        </w:tc>
        <w:tc>
          <w:tcPr>
            <w:tcW w:w="586" w:type="pct"/>
            <w:vAlign w:val="center"/>
          </w:tcPr>
          <w:p w14:paraId="5285954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S</w:t>
            </w:r>
            <w:r>
              <w:rPr>
                <w:color w:val="000000" w:themeColor="text1"/>
                <w14:textFill>
                  <w14:solidFill>
                    <w14:schemeClr w14:val="tx1"/>
                  </w14:solidFill>
                </w14:textFill>
              </w:rPr>
              <w:t>151</w:t>
            </w:r>
            <w:r>
              <w:rPr>
                <w:rFonts w:hint="eastAsia"/>
                <w:color w:val="000000" w:themeColor="text1"/>
                <w14:textFill>
                  <w14:solidFill>
                    <w14:schemeClr w14:val="tx1"/>
                  </w14:solidFill>
                </w14:textFill>
              </w:rPr>
              <w:t>m</w:t>
            </w:r>
          </w:p>
        </w:tc>
        <w:tc>
          <w:tcPr>
            <w:tcW w:w="714" w:type="pct"/>
            <w:vAlign w:val="center"/>
          </w:tcPr>
          <w:p w14:paraId="660C15C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正常</w:t>
            </w:r>
          </w:p>
        </w:tc>
      </w:tr>
      <w:tr w14:paraId="4EF353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Align w:val="center"/>
          </w:tcPr>
          <w:p w14:paraId="3906CE5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554" w:type="pct"/>
            <w:vAlign w:val="center"/>
          </w:tcPr>
          <w:p w14:paraId="13ACDC8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K3+960</w:t>
            </w:r>
            <w:r>
              <w:rPr>
                <w:rFonts w:hint="eastAsia"/>
                <w:color w:val="000000" w:themeColor="text1"/>
                <w14:textFill>
                  <w14:solidFill>
                    <w14:schemeClr w14:val="tx1"/>
                  </w14:solidFill>
                </w14:textFill>
              </w:rPr>
              <w:t>路右</w:t>
            </w:r>
          </w:p>
        </w:tc>
        <w:tc>
          <w:tcPr>
            <w:tcW w:w="711" w:type="pct"/>
            <w:vAlign w:val="center"/>
          </w:tcPr>
          <w:p w14:paraId="19B4E1D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榕树（榕）</w:t>
            </w:r>
          </w:p>
        </w:tc>
        <w:tc>
          <w:tcPr>
            <w:tcW w:w="2194" w:type="pct"/>
            <w:vAlign w:val="center"/>
          </w:tcPr>
          <w:p w14:paraId="0EF81D8F">
            <w:pPr>
              <w:pStyle w:val="105"/>
              <w:jc w:val="center"/>
              <w:rPr>
                <w:color w:val="000000" w:themeColor="text1"/>
                <w14:textFill>
                  <w14:solidFill>
                    <w14:schemeClr w14:val="tx1"/>
                  </w14:solidFill>
                </w14:textFill>
              </w:rPr>
            </w:pPr>
          </w:p>
        </w:tc>
        <w:tc>
          <w:tcPr>
            <w:tcW w:w="586" w:type="pct"/>
            <w:vAlign w:val="center"/>
          </w:tcPr>
          <w:p w14:paraId="289EAD0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E 255</w:t>
            </w:r>
            <w:r>
              <w:rPr>
                <w:rFonts w:hint="eastAsia"/>
                <w:color w:val="000000" w:themeColor="text1"/>
                <w14:textFill>
                  <w14:solidFill>
                    <w14:schemeClr w14:val="tx1"/>
                  </w14:solidFill>
                </w14:textFill>
              </w:rPr>
              <w:t>m</w:t>
            </w:r>
          </w:p>
        </w:tc>
        <w:tc>
          <w:tcPr>
            <w:tcW w:w="714" w:type="pct"/>
            <w:vAlign w:val="center"/>
          </w:tcPr>
          <w:p w14:paraId="038AED5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正常</w:t>
            </w:r>
          </w:p>
        </w:tc>
      </w:tr>
      <w:tr w14:paraId="49CE2BA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Align w:val="center"/>
          </w:tcPr>
          <w:p w14:paraId="108F8E4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54" w:type="pct"/>
            <w:vAlign w:val="center"/>
          </w:tcPr>
          <w:p w14:paraId="2B0E53E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K5+000</w:t>
            </w:r>
            <w:r>
              <w:rPr>
                <w:rFonts w:hint="eastAsia"/>
                <w:color w:val="000000" w:themeColor="text1"/>
                <w14:textFill>
                  <w14:solidFill>
                    <w14:schemeClr w14:val="tx1"/>
                  </w14:solidFill>
                </w14:textFill>
              </w:rPr>
              <w:t>路右</w:t>
            </w:r>
          </w:p>
        </w:tc>
        <w:tc>
          <w:tcPr>
            <w:tcW w:w="711" w:type="pct"/>
            <w:vAlign w:val="center"/>
          </w:tcPr>
          <w:p w14:paraId="2648F29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秋枫（茄冬）</w:t>
            </w:r>
          </w:p>
        </w:tc>
        <w:tc>
          <w:tcPr>
            <w:tcW w:w="2194" w:type="pct"/>
            <w:vAlign w:val="center"/>
          </w:tcPr>
          <w:p w14:paraId="617410C0">
            <w:pPr>
              <w:pStyle w:val="105"/>
              <w:jc w:val="center"/>
              <w:rPr>
                <w:color w:val="000000" w:themeColor="text1"/>
                <w14:textFill>
                  <w14:solidFill>
                    <w14:schemeClr w14:val="tx1"/>
                  </w14:solidFill>
                </w14:textFill>
              </w:rPr>
            </w:pPr>
          </w:p>
        </w:tc>
        <w:tc>
          <w:tcPr>
            <w:tcW w:w="586" w:type="pct"/>
            <w:vAlign w:val="center"/>
          </w:tcPr>
          <w:p w14:paraId="6E3B652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E90</w:t>
            </w:r>
            <w:r>
              <w:rPr>
                <w:rFonts w:hint="eastAsia"/>
                <w:color w:val="000000" w:themeColor="text1"/>
                <w14:textFill>
                  <w14:solidFill>
                    <w14:schemeClr w14:val="tx1"/>
                  </w14:solidFill>
                </w14:textFill>
              </w:rPr>
              <w:t>m</w:t>
            </w:r>
          </w:p>
        </w:tc>
        <w:tc>
          <w:tcPr>
            <w:tcW w:w="714" w:type="pct"/>
            <w:vAlign w:val="center"/>
          </w:tcPr>
          <w:p w14:paraId="1795FEE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正常</w:t>
            </w:r>
          </w:p>
        </w:tc>
      </w:tr>
      <w:tr w14:paraId="35229C3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Align w:val="center"/>
          </w:tcPr>
          <w:p w14:paraId="7A0C2C9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54" w:type="pct"/>
            <w:vAlign w:val="center"/>
          </w:tcPr>
          <w:p w14:paraId="04B4086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终点北侧</w:t>
            </w:r>
          </w:p>
        </w:tc>
        <w:tc>
          <w:tcPr>
            <w:tcW w:w="711" w:type="pct"/>
            <w:vAlign w:val="center"/>
          </w:tcPr>
          <w:p w14:paraId="2785F17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荔枝</w:t>
            </w:r>
          </w:p>
        </w:tc>
        <w:tc>
          <w:tcPr>
            <w:tcW w:w="2194" w:type="pct"/>
            <w:vAlign w:val="center"/>
          </w:tcPr>
          <w:p w14:paraId="33D14770">
            <w:pPr>
              <w:pStyle w:val="105"/>
              <w:jc w:val="center"/>
              <w:rPr>
                <w:color w:val="000000" w:themeColor="text1"/>
                <w14:textFill>
                  <w14:solidFill>
                    <w14:schemeClr w14:val="tx1"/>
                  </w14:solidFill>
                </w14:textFill>
              </w:rPr>
            </w:pPr>
          </w:p>
        </w:tc>
        <w:tc>
          <w:tcPr>
            <w:tcW w:w="586" w:type="pct"/>
            <w:vAlign w:val="center"/>
          </w:tcPr>
          <w:p w14:paraId="52BDB70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217</w:t>
            </w:r>
            <w:r>
              <w:rPr>
                <w:rFonts w:hint="eastAsia"/>
                <w:color w:val="000000" w:themeColor="text1"/>
                <w14:textFill>
                  <w14:solidFill>
                    <w14:schemeClr w14:val="tx1"/>
                  </w14:solidFill>
                </w14:textFill>
              </w:rPr>
              <w:t>m</w:t>
            </w:r>
          </w:p>
        </w:tc>
        <w:tc>
          <w:tcPr>
            <w:tcW w:w="714" w:type="pct"/>
            <w:vAlign w:val="center"/>
          </w:tcPr>
          <w:p w14:paraId="730540B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正常</w:t>
            </w:r>
          </w:p>
        </w:tc>
      </w:tr>
      <w:tr w14:paraId="740D41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41" w:type="pct"/>
            <w:vAlign w:val="center"/>
          </w:tcPr>
          <w:p w14:paraId="787625E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54" w:type="pct"/>
            <w:vAlign w:val="center"/>
          </w:tcPr>
          <w:p w14:paraId="7321690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终点西侧</w:t>
            </w:r>
          </w:p>
        </w:tc>
        <w:tc>
          <w:tcPr>
            <w:tcW w:w="711" w:type="pct"/>
            <w:vAlign w:val="center"/>
          </w:tcPr>
          <w:p w14:paraId="378C4CE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ab/>
            </w:r>
            <w:r>
              <w:rPr>
                <w:rFonts w:hint="eastAsia"/>
                <w:color w:val="000000" w:themeColor="text1"/>
                <w14:textFill>
                  <w14:solidFill>
                    <w14:schemeClr w14:val="tx1"/>
                  </w14:solidFill>
                </w14:textFill>
              </w:rPr>
              <w:t>秋枫（茄冬）</w:t>
            </w:r>
          </w:p>
        </w:tc>
        <w:tc>
          <w:tcPr>
            <w:tcW w:w="2194" w:type="pct"/>
            <w:vAlign w:val="center"/>
          </w:tcPr>
          <w:p w14:paraId="7D39DA35">
            <w:pPr>
              <w:pStyle w:val="105"/>
              <w:jc w:val="center"/>
              <w:rPr>
                <w:color w:val="000000" w:themeColor="text1"/>
                <w14:textFill>
                  <w14:solidFill>
                    <w14:schemeClr w14:val="tx1"/>
                  </w14:solidFill>
                </w14:textFill>
              </w:rPr>
            </w:pPr>
          </w:p>
        </w:tc>
        <w:tc>
          <w:tcPr>
            <w:tcW w:w="586" w:type="pct"/>
            <w:vAlign w:val="center"/>
          </w:tcPr>
          <w:p w14:paraId="6674553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N</w:t>
            </w:r>
            <w:r>
              <w:rPr>
                <w:color w:val="000000" w:themeColor="text1"/>
                <w14:textFill>
                  <w14:solidFill>
                    <w14:schemeClr w14:val="tx1"/>
                  </w14:solidFill>
                </w14:textFill>
              </w:rPr>
              <w:t>W293</w:t>
            </w:r>
            <w:r>
              <w:rPr>
                <w:rFonts w:hint="eastAsia"/>
                <w:color w:val="000000" w:themeColor="text1"/>
                <w14:textFill>
                  <w14:solidFill>
                    <w14:schemeClr w14:val="tx1"/>
                  </w14:solidFill>
                </w14:textFill>
              </w:rPr>
              <w:t>m</w:t>
            </w:r>
          </w:p>
        </w:tc>
        <w:tc>
          <w:tcPr>
            <w:tcW w:w="714" w:type="pct"/>
            <w:vAlign w:val="center"/>
          </w:tcPr>
          <w:p w14:paraId="5089BF7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正常</w:t>
            </w:r>
          </w:p>
        </w:tc>
      </w:tr>
    </w:tbl>
    <w:p w14:paraId="7932B850">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动物资源现状调查</w:t>
      </w:r>
    </w:p>
    <w:p w14:paraId="37ED15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地位于福清区中西部城镇，评价区属于中亚热带海洋性季风气候和中亚热带森林生态系统。根据实地调查，本项目周边评价区内，受当地居民的开垦和生产生活活动的影响，现状区位生境中活动的野生脊椎动物以鸟类最多，其他的野生脊椎动物的物种多样性及种群数量相对较小。</w:t>
      </w:r>
    </w:p>
    <w:p w14:paraId="0C2659E1">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1）两栖类群落：据调查，项目评价区的两栖动物群落生态类型主要有陆栖静水型、陆栖流水型和树栖型群落。陆栖静水型分布在项目影响评价区等湿地及周边居民区、农田，主要有黑眶蟾蜍、沼水蛙、泽陆蛙、小弧斑姬蛙、饰纹姬蛙等；陆栖流水型分布在项目沿线河流湿地的溪流中，主要有大绿臭蛙、花臭蛙等；树栖型分布在项目影响评价区等阴湿地带，主要有中国树蟾中国雨蛙、斑腿树蛙、大树蛙等。</w:t>
      </w:r>
    </w:p>
    <w:p w14:paraId="0E4D3101">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（2）爬行类群落</w:t>
      </w:r>
    </w:p>
    <w:p w14:paraId="1CE0F8F2">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项目评价区的爬行类共有2 目5 科14 种，未见国家或福建省重点保护野生动物，多疣壁虎、中国石龙子、银环蛇等属于列入《三有名录》物种。</w:t>
      </w:r>
    </w:p>
    <w:p w14:paraId="6621CC4D">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①水生爬行动物群落：分布在评价区的库塘等湿地附近，有赤链华游蛇等。</w:t>
      </w:r>
    </w:p>
    <w:p w14:paraId="4885E971">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②灌丛草地爬行动物类群：分布于评价区的灌草丛、石堆等处，主要有中国石龙子、蓝尾石龙子、北草蜥等爬行动物。</w:t>
      </w:r>
    </w:p>
    <w:p w14:paraId="6A6BF3A9">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③林缘山地爬行动物类群：分布于评价区库塘沿岸的林缘灌丛草地中，主要爬行动物有竹叶青、繁花林蛇、滑鼠蛇等。</w:t>
      </w:r>
    </w:p>
    <w:p w14:paraId="425F5D3E">
      <w:pPr>
        <w:ind w:firstLine="480"/>
        <w:rPr>
          <w:rFonts w:cs="Times New Roman"/>
          <w:color w:val="000000" w:themeColor="text1"/>
          <w14:textFill>
            <w14:solidFill>
              <w14:schemeClr w14:val="tx1"/>
            </w14:solidFill>
          </w14:textFill>
        </w:rPr>
      </w:pPr>
      <w:r>
        <w:rPr>
          <w:rFonts w:hint="eastAsia" w:cs="Times New Roman"/>
          <w:color w:val="000000" w:themeColor="text1"/>
          <w14:textFill>
            <w14:solidFill>
              <w14:schemeClr w14:val="tx1"/>
            </w14:solidFill>
          </w14:textFill>
        </w:rPr>
        <w:t xml:space="preserve">④居民点爬行动物类群：分布于评价区周边居民住宅点的多疣壁虎等。 </w:t>
      </w:r>
    </w:p>
    <w:p w14:paraId="5EE146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（3）鸟类群落 </w:t>
      </w:r>
    </w:p>
    <w:p w14:paraId="0027E8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根据调查并结合相关资料统计，评价区主要鸟类群落为涉禽、游禽及部分攀禽、猛禽等。鸟类代表种类为䴙䴘类、黑鸢等猛禽类、鹎类、秧鸡类等。分布于评价区的鸟类群落主要有以下几个类群。 </w:t>
      </w:r>
    </w:p>
    <w:p w14:paraId="4A1266D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①涉禽该鸟类群主要分布于评价区水库及沿岸。其代表种类有：鹭类、秧鸡类等。 </w:t>
      </w:r>
    </w:p>
    <w:p w14:paraId="13388A7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②游禽该鸟类群主要分布于评价区水库水面等地带。其代表种有小䴙䴘、凤头䴙䴘、斑嘴鸭等。</w:t>
      </w:r>
      <w:r>
        <w:rPr>
          <w:color w:val="000000" w:themeColor="text1"/>
          <w14:textFill>
            <w14:solidFill>
              <w14:schemeClr w14:val="tx1"/>
            </w14:solidFill>
          </w14:textFill>
        </w:rPr>
        <w:t xml:space="preserve"> </w:t>
      </w:r>
    </w:p>
    <w:p w14:paraId="492BB2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③攀禽该鸟类群主要分布于评价区水库水面等地带。其代表种有普通翠鸟等。 </w:t>
      </w:r>
    </w:p>
    <w:p w14:paraId="0E0706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④鸣禽该鸟类群主要分布于评价区林缘地带及周边居民点等。其代表种有：白头鹎、栗背短脚鹎、麻雀、鹊鸲等。 </w:t>
      </w:r>
    </w:p>
    <w:p w14:paraId="771190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⑤猛禽该鸟类群主要分布于评价区水库、周边山地森林和林缘地带，见于林缘开阔地带和水库上空盘旋翱翔，其代表种有黑鸢。 </w:t>
      </w:r>
    </w:p>
    <w:p w14:paraId="778147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（4）哺乳动物群落 </w:t>
      </w:r>
    </w:p>
    <w:p w14:paraId="46F13C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评价区陆生哺乳动物分布少，以栖息于堤岸、附近村庄鼠类和翼手目种类为优势种，主要有臭鼩、普通伏翼、褐家鼠等。此外在影响评价区林缘附近还分布有黄鼬、华南兔等哺乳类。</w:t>
      </w:r>
    </w:p>
    <w:p w14:paraId="492B987F">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外来入侵物种</w:t>
      </w:r>
    </w:p>
    <w:p w14:paraId="1E30453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在对项目影响评价区实地调查中，农田、村庄路边等区域可见入侵植物，根据《重点管理外来入侵物种名录》（农业农村部自然资源部生态环境部住房和城乡建设部海关总署国家林草局公告第 567 号）公布的名单，项目评价区调查到入侵植物有土荆芥、刺苋、垂序商陆、落葵薯、五爪金龙、马缨丹、假臭草、钻叶紫菀、三叶鬼针草、白花鬼针草（三叶鬼针草分类单元下的变种）等 11种。影响评价区外来入侵物种大多已形成归化种，局部地域有一定数量的外来入侵有害生物分布，外来入侵物种在一定程度上危害和挤占本土物种的生长，目前尚未大面积扩散，危害程度属于较低。</w:t>
      </w:r>
    </w:p>
    <w:p w14:paraId="30E11A23">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生态敏感区调查</w:t>
      </w:r>
    </w:p>
    <w:p w14:paraId="2275EA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评价范围内不涉及</w:t>
      </w:r>
      <w:r>
        <w:rPr>
          <w:color w:val="000000" w:themeColor="text1"/>
          <w:lang w:val="zh-CN"/>
          <w14:textFill>
            <w14:solidFill>
              <w14:schemeClr w14:val="tx1"/>
            </w14:solidFill>
          </w14:textFill>
        </w:rPr>
        <w:t>自然保护区、风景名胜区、世界文化和自然遗产地、</w:t>
      </w:r>
      <w:r>
        <w:rPr>
          <w:rFonts w:hint="eastAsia"/>
          <w:color w:val="000000" w:themeColor="text1"/>
          <w:spacing w:val="-2"/>
          <w14:textFill>
            <w14:solidFill>
              <w14:schemeClr w14:val="tx1"/>
            </w14:solidFill>
          </w14:textFill>
        </w:rPr>
        <w:t>生态保护红线等敏感区，但线路</w:t>
      </w:r>
      <w:r>
        <w:rPr>
          <w:rFonts w:hint="eastAsia"/>
          <w:color w:val="000000" w:themeColor="text1"/>
          <w14:textFill>
            <w14:solidFill>
              <w14:schemeClr w14:val="tx1"/>
            </w14:solidFill>
          </w14:textFill>
        </w:rPr>
        <w:t>占地涉及国家二级生态公益林（</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），公路不涉及重要湿地，但涉及一般湿地；项目占地红线内没有挂牌的名木古树和野生珍贵树木，也无其他国家和省级重点保护的野生植物，亦无明显的重点保护野生动物栖息地。</w:t>
      </w:r>
    </w:p>
    <w:p w14:paraId="175CB9EF">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生态公益林</w:t>
      </w:r>
    </w:p>
    <w:p w14:paraId="1792163A">
      <w:pPr>
        <w:ind w:firstLine="480"/>
        <w:rPr>
          <w:color w:val="000000" w:themeColor="text1"/>
          <w14:textFill>
            <w14:solidFill>
              <w14:schemeClr w14:val="tx1"/>
            </w14:solidFill>
          </w14:textFill>
        </w:rPr>
      </w:pPr>
      <w:bookmarkStart w:id="619" w:name="_Hlk66086977"/>
      <w:r>
        <w:rPr>
          <w:rFonts w:hint="eastAsia"/>
          <w:color w:val="000000" w:themeColor="text1"/>
          <w14:textFill>
            <w14:solidFill>
              <w14:schemeClr w14:val="tx1"/>
            </w14:solidFill>
          </w14:textFill>
        </w:rPr>
        <w:t>根据收集资料及叠图分析</w:t>
      </w: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评价范围内生态公益林面积</w:t>
      </w:r>
      <w:r>
        <w:rPr>
          <w:color w:val="000000" w:themeColor="text1"/>
          <w14:textFill>
            <w14:solidFill>
              <w14:schemeClr w14:val="tx1"/>
            </w14:solidFill>
          </w14:textFill>
        </w:rPr>
        <w:t>7.6294</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_Ref78385385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表4.3-4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），公路主体占地范围内涉及占用生态公益林</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项目已取得林地预审意见。线路与</w:t>
      </w:r>
      <w:r>
        <w:rPr>
          <w:color w:val="000000" w:themeColor="text1"/>
          <w14:textFill>
            <w14:solidFill>
              <w14:schemeClr w14:val="tx1"/>
            </w14:solidFill>
          </w14:textFill>
        </w:rPr>
        <w:t>生态公益林</w:t>
      </w:r>
      <w:r>
        <w:rPr>
          <w:rFonts w:hint="eastAsia"/>
          <w:color w:val="000000" w:themeColor="text1"/>
          <w14:textFill>
            <w14:solidFill>
              <w14:schemeClr w14:val="tx1"/>
            </w14:solidFill>
          </w14:textFill>
        </w:rPr>
        <w:t>位置关系图详见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_Ref78385385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表4.3-4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2092FB78">
      <w:pPr>
        <w:pStyle w:val="87"/>
        <w:spacing w:before="120"/>
        <w:ind w:left="480" w:firstLine="480"/>
        <w:rPr>
          <w:color w:val="000000" w:themeColor="text1"/>
          <w14:textFill>
            <w14:solidFill>
              <w14:schemeClr w14:val="tx1"/>
            </w14:solidFill>
          </w14:textFill>
        </w:rPr>
      </w:pPr>
      <w:bookmarkStart w:id="620" w:name="_Ref78385385"/>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评价范围及占地范围涉及</w:t>
      </w:r>
      <w:r>
        <w:rPr>
          <w:color w:val="000000" w:themeColor="text1"/>
          <w14:textFill>
            <w14:solidFill>
              <w14:schemeClr w14:val="tx1"/>
            </w14:solidFill>
          </w14:textFill>
        </w:rPr>
        <w:t>生态公益林的情况表</w:t>
      </w:r>
      <w:bookmarkEnd w:id="620"/>
    </w:p>
    <w:tbl>
      <w:tblPr>
        <w:tblStyle w:val="2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055"/>
        <w:gridCol w:w="799"/>
        <w:gridCol w:w="552"/>
        <w:gridCol w:w="1069"/>
        <w:gridCol w:w="815"/>
        <w:gridCol w:w="891"/>
        <w:gridCol w:w="889"/>
        <w:gridCol w:w="739"/>
        <w:gridCol w:w="1134"/>
        <w:gridCol w:w="1131"/>
      </w:tblGrid>
      <w:tr w14:paraId="1C71908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00" w:hRule="atLeast"/>
          <w:tblHeader/>
          <w:jc w:val="center"/>
        </w:trPr>
        <w:tc>
          <w:tcPr>
            <w:tcW w:w="581" w:type="pct"/>
            <w:vMerge w:val="restart"/>
            <w:noWrap/>
            <w:vAlign w:val="center"/>
          </w:tcPr>
          <w:p w14:paraId="3BC2667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地区</w:t>
            </w:r>
          </w:p>
        </w:tc>
        <w:tc>
          <w:tcPr>
            <w:tcW w:w="2274" w:type="pct"/>
            <w:gridSpan w:val="5"/>
            <w:vAlign w:val="center"/>
          </w:tcPr>
          <w:p w14:paraId="6490EA8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评价范围公益林（</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c>
          <w:tcPr>
            <w:tcW w:w="2145" w:type="pct"/>
            <w:gridSpan w:val="4"/>
            <w:vAlign w:val="center"/>
          </w:tcPr>
          <w:p w14:paraId="4199BD4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占地范围公益林（</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tc>
      </w:tr>
      <w:tr w14:paraId="58B98AC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581" w:type="pct"/>
            <w:vMerge w:val="continue"/>
            <w:vAlign w:val="center"/>
          </w:tcPr>
          <w:p w14:paraId="10B203FC">
            <w:pPr>
              <w:pStyle w:val="105"/>
              <w:jc w:val="center"/>
              <w:rPr>
                <w:color w:val="000000" w:themeColor="text1"/>
                <w14:textFill>
                  <w14:solidFill>
                    <w14:schemeClr w14:val="tx1"/>
                  </w14:solidFill>
                </w14:textFill>
              </w:rPr>
            </w:pPr>
          </w:p>
        </w:tc>
        <w:tc>
          <w:tcPr>
            <w:tcW w:w="441" w:type="pct"/>
            <w:vAlign w:val="center"/>
          </w:tcPr>
          <w:p w14:paraId="7080BAA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tc>
        <w:tc>
          <w:tcPr>
            <w:tcW w:w="304" w:type="pct"/>
            <w:vAlign w:val="center"/>
          </w:tcPr>
          <w:p w14:paraId="4C4E881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等级</w:t>
            </w:r>
          </w:p>
        </w:tc>
        <w:tc>
          <w:tcPr>
            <w:tcW w:w="589" w:type="pct"/>
            <w:vAlign w:val="center"/>
          </w:tcPr>
          <w:p w14:paraId="0A00290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生态公益林功能</w:t>
            </w:r>
          </w:p>
        </w:tc>
        <w:tc>
          <w:tcPr>
            <w:tcW w:w="449" w:type="pct"/>
            <w:vAlign w:val="center"/>
          </w:tcPr>
          <w:p w14:paraId="27BC7FB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对应</w:t>
            </w:r>
          </w:p>
          <w:p w14:paraId="12A2024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w:t>
            </w:r>
          </w:p>
        </w:tc>
        <w:tc>
          <w:tcPr>
            <w:tcW w:w="490" w:type="pct"/>
            <w:vAlign w:val="center"/>
          </w:tcPr>
          <w:p w14:paraId="6DA72B6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植被</w:t>
            </w:r>
          </w:p>
        </w:tc>
        <w:tc>
          <w:tcPr>
            <w:tcW w:w="490" w:type="pct"/>
            <w:vAlign w:val="center"/>
          </w:tcPr>
          <w:p w14:paraId="02C2191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tc>
        <w:tc>
          <w:tcPr>
            <w:tcW w:w="407" w:type="pct"/>
            <w:vAlign w:val="center"/>
          </w:tcPr>
          <w:p w14:paraId="4DC43C1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等级</w:t>
            </w:r>
          </w:p>
        </w:tc>
        <w:tc>
          <w:tcPr>
            <w:tcW w:w="625" w:type="pct"/>
            <w:vAlign w:val="center"/>
          </w:tcPr>
          <w:p w14:paraId="7D024F6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生态公益林功能</w:t>
            </w:r>
          </w:p>
        </w:tc>
        <w:tc>
          <w:tcPr>
            <w:tcW w:w="623" w:type="pct"/>
            <w:vAlign w:val="center"/>
          </w:tcPr>
          <w:p w14:paraId="7CA29D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对应</w:t>
            </w:r>
          </w:p>
          <w:p w14:paraId="6392BE0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w:t>
            </w:r>
          </w:p>
        </w:tc>
      </w:tr>
      <w:tr w14:paraId="325762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581" w:type="pct"/>
            <w:noWrap/>
            <w:vAlign w:val="center"/>
          </w:tcPr>
          <w:p w14:paraId="5AAB6C8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牌边村</w:t>
            </w:r>
          </w:p>
        </w:tc>
        <w:tc>
          <w:tcPr>
            <w:tcW w:w="441" w:type="pct"/>
            <w:vAlign w:val="center"/>
          </w:tcPr>
          <w:p w14:paraId="1628200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1.2453</w:t>
            </w:r>
          </w:p>
        </w:tc>
        <w:tc>
          <w:tcPr>
            <w:tcW w:w="304" w:type="pct"/>
            <w:vAlign w:val="center"/>
          </w:tcPr>
          <w:p w14:paraId="6C704FC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国家二级</w:t>
            </w:r>
          </w:p>
        </w:tc>
        <w:tc>
          <w:tcPr>
            <w:tcW w:w="589" w:type="pct"/>
            <w:vAlign w:val="center"/>
          </w:tcPr>
          <w:p w14:paraId="025ABD8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西部水源涵养林区</w:t>
            </w:r>
          </w:p>
        </w:tc>
        <w:tc>
          <w:tcPr>
            <w:tcW w:w="449" w:type="pct"/>
            <w:vMerge w:val="restart"/>
            <w:vAlign w:val="center"/>
          </w:tcPr>
          <w:p w14:paraId="313D671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K</w:t>
            </w:r>
            <w:r>
              <w:rPr>
                <w:color w:val="000000" w:themeColor="text1"/>
                <w14:textFill>
                  <w14:solidFill>
                    <w14:schemeClr w14:val="tx1"/>
                  </w14:solidFill>
                </w14:textFill>
              </w:rPr>
              <w:t>0+260~</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0+336</w:t>
            </w:r>
          </w:p>
        </w:tc>
        <w:tc>
          <w:tcPr>
            <w:tcW w:w="490" w:type="pct"/>
            <w:vAlign w:val="center"/>
          </w:tcPr>
          <w:p w14:paraId="1E460A8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相思树</w:t>
            </w:r>
          </w:p>
        </w:tc>
        <w:tc>
          <w:tcPr>
            <w:tcW w:w="490" w:type="pct"/>
            <w:vAlign w:val="center"/>
          </w:tcPr>
          <w:p w14:paraId="7B37986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0.5538</w:t>
            </w:r>
          </w:p>
        </w:tc>
        <w:tc>
          <w:tcPr>
            <w:tcW w:w="407" w:type="pct"/>
            <w:vAlign w:val="center"/>
          </w:tcPr>
          <w:p w14:paraId="6989191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国家二级</w:t>
            </w:r>
          </w:p>
        </w:tc>
        <w:tc>
          <w:tcPr>
            <w:tcW w:w="625" w:type="pct"/>
            <w:vAlign w:val="center"/>
          </w:tcPr>
          <w:p w14:paraId="7E3429F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西部水源涵养林区</w:t>
            </w:r>
          </w:p>
        </w:tc>
        <w:tc>
          <w:tcPr>
            <w:tcW w:w="623" w:type="pct"/>
            <w:vAlign w:val="center"/>
          </w:tcPr>
          <w:p w14:paraId="6C129A6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K</w:t>
            </w:r>
            <w:r>
              <w:rPr>
                <w:color w:val="000000" w:themeColor="text1"/>
                <w14:textFill>
                  <w14:solidFill>
                    <w14:schemeClr w14:val="tx1"/>
                  </w14:solidFill>
                </w14:textFill>
              </w:rPr>
              <w:t>0+260~</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0+336</w:t>
            </w:r>
          </w:p>
        </w:tc>
      </w:tr>
      <w:tr w14:paraId="7A5679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581" w:type="pct"/>
            <w:noWrap/>
            <w:vAlign w:val="center"/>
          </w:tcPr>
          <w:p w14:paraId="49DB83A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牌边村</w:t>
            </w:r>
          </w:p>
        </w:tc>
        <w:tc>
          <w:tcPr>
            <w:tcW w:w="441" w:type="pct"/>
            <w:vAlign w:val="center"/>
          </w:tcPr>
          <w:p w14:paraId="04C1C0E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6.2867</w:t>
            </w:r>
          </w:p>
        </w:tc>
        <w:tc>
          <w:tcPr>
            <w:tcW w:w="304" w:type="pct"/>
            <w:vAlign w:val="center"/>
          </w:tcPr>
          <w:p w14:paraId="64218E8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国家二级</w:t>
            </w:r>
          </w:p>
        </w:tc>
        <w:tc>
          <w:tcPr>
            <w:tcW w:w="589" w:type="pct"/>
            <w:vAlign w:val="center"/>
          </w:tcPr>
          <w:p w14:paraId="611C4FB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南部沿海防护林保育区</w:t>
            </w:r>
          </w:p>
        </w:tc>
        <w:tc>
          <w:tcPr>
            <w:tcW w:w="449" w:type="pct"/>
            <w:vMerge w:val="continue"/>
            <w:vAlign w:val="center"/>
          </w:tcPr>
          <w:p w14:paraId="55B38D56">
            <w:pPr>
              <w:pStyle w:val="105"/>
              <w:jc w:val="center"/>
              <w:rPr>
                <w:color w:val="000000" w:themeColor="text1"/>
                <w14:textFill>
                  <w14:solidFill>
                    <w14:schemeClr w14:val="tx1"/>
                  </w14:solidFill>
                </w14:textFill>
              </w:rPr>
            </w:pPr>
          </w:p>
        </w:tc>
        <w:tc>
          <w:tcPr>
            <w:tcW w:w="490" w:type="pct"/>
            <w:vAlign w:val="center"/>
          </w:tcPr>
          <w:p w14:paraId="625E737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相思树</w:t>
            </w:r>
          </w:p>
        </w:tc>
        <w:tc>
          <w:tcPr>
            <w:tcW w:w="490" w:type="pct"/>
            <w:vAlign w:val="center"/>
          </w:tcPr>
          <w:p w14:paraId="2A0738C8">
            <w:pPr>
              <w:pStyle w:val="105"/>
              <w:jc w:val="center"/>
              <w:rPr>
                <w:color w:val="000000" w:themeColor="text1"/>
                <w14:textFill>
                  <w14:solidFill>
                    <w14:schemeClr w14:val="tx1"/>
                  </w14:solidFill>
                </w14:textFill>
              </w:rPr>
            </w:pPr>
          </w:p>
        </w:tc>
        <w:tc>
          <w:tcPr>
            <w:tcW w:w="407" w:type="pct"/>
            <w:vAlign w:val="center"/>
          </w:tcPr>
          <w:p w14:paraId="5B64A781">
            <w:pPr>
              <w:pStyle w:val="105"/>
              <w:jc w:val="center"/>
              <w:rPr>
                <w:color w:val="000000" w:themeColor="text1"/>
                <w14:textFill>
                  <w14:solidFill>
                    <w14:schemeClr w14:val="tx1"/>
                  </w14:solidFill>
                </w14:textFill>
              </w:rPr>
            </w:pPr>
          </w:p>
        </w:tc>
        <w:tc>
          <w:tcPr>
            <w:tcW w:w="625" w:type="pct"/>
            <w:vAlign w:val="center"/>
          </w:tcPr>
          <w:p w14:paraId="33046235">
            <w:pPr>
              <w:pStyle w:val="105"/>
              <w:jc w:val="center"/>
              <w:rPr>
                <w:color w:val="000000" w:themeColor="text1"/>
                <w14:textFill>
                  <w14:solidFill>
                    <w14:schemeClr w14:val="tx1"/>
                  </w14:solidFill>
                </w14:textFill>
              </w:rPr>
            </w:pPr>
          </w:p>
        </w:tc>
        <w:tc>
          <w:tcPr>
            <w:tcW w:w="623" w:type="pct"/>
            <w:vAlign w:val="center"/>
          </w:tcPr>
          <w:p w14:paraId="7ACAF8D6">
            <w:pPr>
              <w:pStyle w:val="105"/>
              <w:jc w:val="center"/>
              <w:rPr>
                <w:color w:val="000000" w:themeColor="text1"/>
                <w14:textFill>
                  <w14:solidFill>
                    <w14:schemeClr w14:val="tx1"/>
                  </w14:solidFill>
                </w14:textFill>
              </w:rPr>
            </w:pPr>
          </w:p>
        </w:tc>
      </w:tr>
      <w:tr w14:paraId="2AA66A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581" w:type="pct"/>
            <w:noWrap/>
            <w:vAlign w:val="center"/>
          </w:tcPr>
          <w:p w14:paraId="52B18D4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黄柏寺林场</w:t>
            </w:r>
          </w:p>
        </w:tc>
        <w:tc>
          <w:tcPr>
            <w:tcW w:w="441" w:type="pct"/>
            <w:vAlign w:val="center"/>
          </w:tcPr>
          <w:p w14:paraId="0DAC9CE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0.0975</w:t>
            </w:r>
          </w:p>
        </w:tc>
        <w:tc>
          <w:tcPr>
            <w:tcW w:w="304" w:type="pct"/>
            <w:vAlign w:val="center"/>
          </w:tcPr>
          <w:p w14:paraId="055E28C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国家二级</w:t>
            </w:r>
          </w:p>
        </w:tc>
        <w:tc>
          <w:tcPr>
            <w:tcW w:w="589" w:type="pct"/>
            <w:vAlign w:val="center"/>
          </w:tcPr>
          <w:p w14:paraId="33386BE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西部水源涵养林区</w:t>
            </w:r>
          </w:p>
        </w:tc>
        <w:tc>
          <w:tcPr>
            <w:tcW w:w="449" w:type="pct"/>
            <w:vAlign w:val="center"/>
          </w:tcPr>
          <w:p w14:paraId="4670BC0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终点N</w:t>
            </w:r>
            <w:r>
              <w:rPr>
                <w:color w:val="000000" w:themeColor="text1"/>
                <w14:textFill>
                  <w14:solidFill>
                    <w14:schemeClr w14:val="tx1"/>
                  </w14:solidFill>
                </w14:textFill>
              </w:rPr>
              <w:t>W</w:t>
            </w:r>
            <w:r>
              <w:rPr>
                <w:rFonts w:hint="eastAsia"/>
                <w:color w:val="000000" w:themeColor="text1"/>
                <w14:textFill>
                  <w14:solidFill>
                    <w14:schemeClr w14:val="tx1"/>
                  </w14:solidFill>
                </w14:textFill>
              </w:rPr>
              <w:t>侧</w:t>
            </w:r>
          </w:p>
        </w:tc>
        <w:tc>
          <w:tcPr>
            <w:tcW w:w="490" w:type="pct"/>
            <w:vAlign w:val="center"/>
          </w:tcPr>
          <w:p w14:paraId="7F6BD9B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灌草地</w:t>
            </w:r>
          </w:p>
        </w:tc>
        <w:tc>
          <w:tcPr>
            <w:tcW w:w="490" w:type="pct"/>
            <w:vAlign w:val="center"/>
          </w:tcPr>
          <w:p w14:paraId="5253C4AE">
            <w:pPr>
              <w:pStyle w:val="105"/>
              <w:jc w:val="center"/>
              <w:rPr>
                <w:color w:val="000000" w:themeColor="text1"/>
                <w14:textFill>
                  <w14:solidFill>
                    <w14:schemeClr w14:val="tx1"/>
                  </w14:solidFill>
                </w14:textFill>
              </w:rPr>
            </w:pPr>
          </w:p>
        </w:tc>
        <w:tc>
          <w:tcPr>
            <w:tcW w:w="407" w:type="pct"/>
            <w:vAlign w:val="center"/>
          </w:tcPr>
          <w:p w14:paraId="7A0B1672">
            <w:pPr>
              <w:pStyle w:val="105"/>
              <w:jc w:val="center"/>
              <w:rPr>
                <w:color w:val="000000" w:themeColor="text1"/>
                <w14:textFill>
                  <w14:solidFill>
                    <w14:schemeClr w14:val="tx1"/>
                  </w14:solidFill>
                </w14:textFill>
              </w:rPr>
            </w:pPr>
          </w:p>
        </w:tc>
        <w:tc>
          <w:tcPr>
            <w:tcW w:w="625" w:type="pct"/>
            <w:vAlign w:val="center"/>
          </w:tcPr>
          <w:p w14:paraId="0F51B844">
            <w:pPr>
              <w:pStyle w:val="105"/>
              <w:jc w:val="center"/>
              <w:rPr>
                <w:color w:val="000000" w:themeColor="text1"/>
                <w14:textFill>
                  <w14:solidFill>
                    <w14:schemeClr w14:val="tx1"/>
                  </w14:solidFill>
                </w14:textFill>
              </w:rPr>
            </w:pPr>
          </w:p>
        </w:tc>
        <w:tc>
          <w:tcPr>
            <w:tcW w:w="623" w:type="pct"/>
            <w:vAlign w:val="center"/>
          </w:tcPr>
          <w:p w14:paraId="345D2380">
            <w:pPr>
              <w:pStyle w:val="105"/>
              <w:jc w:val="center"/>
              <w:rPr>
                <w:color w:val="000000" w:themeColor="text1"/>
                <w14:textFill>
                  <w14:solidFill>
                    <w14:schemeClr w14:val="tx1"/>
                  </w14:solidFill>
                </w14:textFill>
              </w:rPr>
            </w:pPr>
          </w:p>
        </w:tc>
      </w:tr>
      <w:tr w14:paraId="06EA10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581" w:type="pct"/>
            <w:noWrap/>
            <w:vAlign w:val="center"/>
          </w:tcPr>
          <w:p w14:paraId="025E23D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441" w:type="pct"/>
            <w:vAlign w:val="center"/>
          </w:tcPr>
          <w:p w14:paraId="519A635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7.6294</w:t>
            </w:r>
          </w:p>
        </w:tc>
        <w:tc>
          <w:tcPr>
            <w:tcW w:w="304" w:type="pct"/>
            <w:vAlign w:val="center"/>
          </w:tcPr>
          <w:p w14:paraId="0EA39DBE">
            <w:pPr>
              <w:pStyle w:val="105"/>
              <w:jc w:val="center"/>
              <w:rPr>
                <w:color w:val="000000" w:themeColor="text1"/>
                <w14:textFill>
                  <w14:solidFill>
                    <w14:schemeClr w14:val="tx1"/>
                  </w14:solidFill>
                </w14:textFill>
              </w:rPr>
            </w:pPr>
          </w:p>
        </w:tc>
        <w:tc>
          <w:tcPr>
            <w:tcW w:w="589" w:type="pct"/>
            <w:vAlign w:val="center"/>
          </w:tcPr>
          <w:p w14:paraId="1C758C39">
            <w:pPr>
              <w:pStyle w:val="105"/>
              <w:jc w:val="center"/>
              <w:rPr>
                <w:color w:val="000000" w:themeColor="text1"/>
                <w14:textFill>
                  <w14:solidFill>
                    <w14:schemeClr w14:val="tx1"/>
                  </w14:solidFill>
                </w14:textFill>
              </w:rPr>
            </w:pPr>
          </w:p>
        </w:tc>
        <w:tc>
          <w:tcPr>
            <w:tcW w:w="449" w:type="pct"/>
            <w:vAlign w:val="center"/>
          </w:tcPr>
          <w:p w14:paraId="67230FBC">
            <w:pPr>
              <w:pStyle w:val="105"/>
              <w:jc w:val="center"/>
              <w:rPr>
                <w:color w:val="000000" w:themeColor="text1"/>
                <w14:textFill>
                  <w14:solidFill>
                    <w14:schemeClr w14:val="tx1"/>
                  </w14:solidFill>
                </w14:textFill>
              </w:rPr>
            </w:pPr>
          </w:p>
        </w:tc>
        <w:tc>
          <w:tcPr>
            <w:tcW w:w="490" w:type="pct"/>
            <w:vAlign w:val="center"/>
          </w:tcPr>
          <w:p w14:paraId="74F0A505">
            <w:pPr>
              <w:pStyle w:val="105"/>
              <w:jc w:val="center"/>
              <w:rPr>
                <w:color w:val="000000" w:themeColor="text1"/>
                <w14:textFill>
                  <w14:solidFill>
                    <w14:schemeClr w14:val="tx1"/>
                  </w14:solidFill>
                </w14:textFill>
              </w:rPr>
            </w:pPr>
          </w:p>
        </w:tc>
        <w:tc>
          <w:tcPr>
            <w:tcW w:w="490" w:type="pct"/>
            <w:vAlign w:val="center"/>
          </w:tcPr>
          <w:p w14:paraId="38332F5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0.5538</w:t>
            </w:r>
          </w:p>
        </w:tc>
        <w:tc>
          <w:tcPr>
            <w:tcW w:w="407" w:type="pct"/>
            <w:vAlign w:val="center"/>
          </w:tcPr>
          <w:p w14:paraId="15203E25">
            <w:pPr>
              <w:pStyle w:val="105"/>
              <w:jc w:val="center"/>
              <w:rPr>
                <w:color w:val="000000" w:themeColor="text1"/>
                <w14:textFill>
                  <w14:solidFill>
                    <w14:schemeClr w14:val="tx1"/>
                  </w14:solidFill>
                </w14:textFill>
              </w:rPr>
            </w:pPr>
          </w:p>
        </w:tc>
        <w:tc>
          <w:tcPr>
            <w:tcW w:w="625" w:type="pct"/>
            <w:vAlign w:val="center"/>
          </w:tcPr>
          <w:p w14:paraId="707AD463">
            <w:pPr>
              <w:pStyle w:val="105"/>
              <w:jc w:val="center"/>
              <w:rPr>
                <w:color w:val="000000" w:themeColor="text1"/>
                <w14:textFill>
                  <w14:solidFill>
                    <w14:schemeClr w14:val="tx1"/>
                  </w14:solidFill>
                </w14:textFill>
              </w:rPr>
            </w:pPr>
          </w:p>
        </w:tc>
        <w:tc>
          <w:tcPr>
            <w:tcW w:w="623" w:type="pct"/>
            <w:vAlign w:val="center"/>
          </w:tcPr>
          <w:p w14:paraId="4B9B2828">
            <w:pPr>
              <w:pStyle w:val="105"/>
              <w:jc w:val="center"/>
              <w:rPr>
                <w:color w:val="000000" w:themeColor="text1"/>
                <w14:textFill>
                  <w14:solidFill>
                    <w14:schemeClr w14:val="tx1"/>
                  </w14:solidFill>
                </w14:textFill>
              </w:rPr>
            </w:pPr>
          </w:p>
        </w:tc>
      </w:tr>
      <w:bookmarkEnd w:id="619"/>
    </w:tbl>
    <w:p w14:paraId="5F19ED4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一般湿地</w:t>
      </w:r>
    </w:p>
    <w:p w14:paraId="0183C8A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r>
        <w:rPr>
          <w:rFonts w:cs="Times New Roman"/>
          <w:color w:val="000000" w:themeColor="text1"/>
          <w:kern w:val="0"/>
          <w:szCs w:val="24"/>
          <w:lang w:val="zh-CN"/>
          <w14:textFill>
            <w14:solidFill>
              <w14:schemeClr w14:val="tx1"/>
            </w14:solidFill>
          </w14:textFill>
        </w:rPr>
        <w:t>黄檗山万福寺旅游公路项目对福清市一般湿地生态功能影响评价报告》</w:t>
      </w:r>
      <w:r>
        <w:rPr>
          <w:rFonts w:hint="eastAsia" w:cs="Times New Roman"/>
          <w:color w:val="000000" w:themeColor="text1"/>
          <w:kern w:val="0"/>
          <w:szCs w:val="24"/>
          <w:lang w:val="zh-CN"/>
          <w14:textFill>
            <w14:solidFill>
              <w14:schemeClr w14:val="tx1"/>
            </w14:solidFill>
          </w14:textFill>
        </w:rPr>
        <w:t>及现场调查，本项目</w:t>
      </w:r>
      <w:r>
        <w:rPr>
          <w:rFonts w:cs="Times New Roman"/>
          <w:color w:val="000000" w:themeColor="text1"/>
          <w:kern w:val="0"/>
          <w:szCs w:val="24"/>
          <w:lang w:val="zh-CN"/>
          <w14:textFill>
            <w14:solidFill>
              <w14:schemeClr w14:val="tx1"/>
            </w14:solidFill>
          </w14:textFill>
        </w:rPr>
        <w:t>涉及占用一般湿地面积9060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（其中：一般湿地名录面积697</w:t>
      </w:r>
      <w:r>
        <w:rPr>
          <w:rFonts w:hint="eastAsia" w:cs="Times New Roman"/>
          <w:color w:val="000000" w:themeColor="text1"/>
          <w:kern w:val="0"/>
          <w:szCs w:val="24"/>
          <w:lang w:val="zh-CN"/>
          <w14:textFill>
            <w14:solidFill>
              <w14:schemeClr w14:val="tx1"/>
            </w14:solidFill>
          </w14:textFill>
        </w:rPr>
        <w:t xml:space="preserve"> 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），类型为沟渠、河流水面、坑塘水面和内陆滩涂</w:t>
      </w:r>
      <w:r>
        <w:rPr>
          <w:rFonts w:hint="eastAsia"/>
          <w:color w:val="000000" w:themeColor="text1"/>
          <w14:textFill>
            <w14:solidFill>
              <w14:schemeClr w14:val="tx1"/>
            </w14:solidFill>
          </w14:textFill>
        </w:rPr>
        <w:t>，详见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_Ref192516652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，未占用国家重要湿地。</w:t>
      </w:r>
    </w:p>
    <w:p w14:paraId="296DF9B4">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（1）湿地植被群落现状</w:t>
      </w:r>
    </w:p>
    <w:p w14:paraId="5953E3A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区域一般湿地及两侧分布有维管束植物75 科183 属226 种，其中蕨类植物6 科6 属7 种，裸子植物3 科3 属3 种，被子植物66 科174 属216 种（双子叶植物55 科132 属162 种，单子叶植物11 科42 属54 种）。湿地植被类型有龙眼群落、草丛等 2 个类型，有龙眼群落、水稻草丛、白花鬼针草草丛、水蓼草丛、丁香蓼草丛、水龙草丛、短叶水蜈蚣草丛等7 个群系。</w:t>
      </w:r>
    </w:p>
    <w:p w14:paraId="332067B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①龙眼群落：主要分布在河道两侧的园地，群落较破碎，每100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约有龙眼7株，平均胸径13.5cm，树高4.5m，乔木层仅有龙眼；灌木层盖度8%，主要有蓖麻、苎麻、地桃花、盐肤木等；草本层盖度20%，主要有白花鬼针草、芭蕉、青葙、牛筋草等；层间植物主要有葎草、杠板归。</w:t>
      </w:r>
    </w:p>
    <w:p w14:paraId="0F8B13F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②水稻草丛：一年生草本，生于水稻田，广布于亚洲和美洲的热带和亚热带地区。水稻在本项目迳江河段岸边常见，多成片分布。</w:t>
      </w:r>
    </w:p>
    <w:p w14:paraId="7056BC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③白花鬼针草草丛：一年生草本，生于村旁、路边及荒地中，广布于亚洲和美洲的热带和亚热带地区。白花鬼针草在本项目迳江河段岸边常见，多呈小片状分布。</w:t>
      </w:r>
    </w:p>
    <w:p w14:paraId="351211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④水蓼草丛：一年生草本，生于河岸边，广布于亚洲和美洲的热带和亚热带地区。水蓼在本项目迳江河段岸边常见，多呈小片状分布。</w:t>
      </w:r>
    </w:p>
    <w:p w14:paraId="652E2D4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⑤丁香蓼草丛：一年生草本，生于河岸边，广布于亚洲和美洲的热带和亚热带地区。丁香蓼在本项目迳江河段岸边常见，多呈小片状分布。</w:t>
      </w:r>
    </w:p>
    <w:p w14:paraId="4A23A9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⑥水龙草丛：一年生草本，生于河岸边，广布于亚洲和美洲的热带和亚热带地区。水龙在本项目迳江河段岸边常见，多呈小片状分布</w:t>
      </w:r>
    </w:p>
    <w:p w14:paraId="075F49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⑦短叶水蜈蚣草丛：一年生草本，生于河岸边，广布于亚洲和美洲的热带和亚热带地区。水蓼在本项目迳江河段岸边常见，多呈小片状分布。</w:t>
      </w:r>
    </w:p>
    <w:p w14:paraId="0D3077E6">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（2）湿地动物群落</w:t>
      </w:r>
    </w:p>
    <w:p w14:paraId="642129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主要包括两栖类群落、爬行类群落、鸟类群落、哺乳动物群落等，详见4</w:t>
      </w:r>
      <w:r>
        <w:rPr>
          <w:color w:val="000000" w:themeColor="text1"/>
          <w14:textFill>
            <w14:solidFill>
              <w14:schemeClr w14:val="tx1"/>
            </w14:solidFill>
          </w14:textFill>
        </w:rPr>
        <w:t>.3.4</w:t>
      </w:r>
      <w:r>
        <w:rPr>
          <w:rFonts w:hint="eastAsia"/>
          <w:color w:val="000000" w:themeColor="text1"/>
          <w14:textFill>
            <w14:solidFill>
              <w14:schemeClr w14:val="tx1"/>
            </w14:solidFill>
          </w14:textFill>
        </w:rPr>
        <w:t>章节。</w:t>
      </w:r>
    </w:p>
    <w:p w14:paraId="09F5F32B">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（3）水生生物群落</w:t>
      </w:r>
    </w:p>
    <w:p w14:paraId="3637978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根据《黄檗山万福寺旅游公路项目对福清市一般湿地生态功能影响评价报告》调查，线路沿线水生生物群落现状如下：</w:t>
      </w:r>
    </w:p>
    <w:p w14:paraId="6E9A52C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浮游植物：评价区湿地浮游植物的平均群密度约为16014.33×103个细胞数/L，其中蓝藻类约占78.3%，隐藻类约占11.4%，绿藻类约占7.0%，硅藻类约占总平均密度的3.3%，甲藻类约占0.02%。其中优势种主要有尖尾蓝隐藻、隐球藻和铜绿微囊藻，三者约占浮游植物总平均密度的82%。</w:t>
      </w:r>
    </w:p>
    <w:p w14:paraId="63C2480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此外，卷曲鱼腥藻、不定腔球藻、网状空星藻和远距直链藻等的数量也相对较多。</w:t>
      </w:r>
    </w:p>
    <w:p w14:paraId="1CDE5A5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浮游动物：评价区湿地浮游动物种群密度的平均值约为4340.7个/L，其中原生动物约占98.5%，轮虫约占0.8%，桡足类约占0.6%，枝角类约占0.08%。优势种主要有绿急游虫、陀螺侠盗虫、树状聚缩虫、瓶累枝虫和大弹跳虫等，它们约占总平均密度的96.7%。</w:t>
      </w:r>
    </w:p>
    <w:p w14:paraId="29FC149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底栖动物：评价区共有底栖动物6类37种，其中环节动物寡毛类10种、软体动物腹足类2种、瓣鳃类5种、节肢动物虾类9种、蟹类5种、水生昆虫类6种。主要有水生昆虫类的花翅前突摇蚊、短触多足摇蚊；寡毛类的霍甫水丝蚓、苏氏尾鳃蚓；瓣鳃类的湖沼股蛤；腹足类的中国圆田螺、静水椎实螺；蟹类的铲肢华南溪蟹；虾类的罗氏沼虾等。</w:t>
      </w:r>
    </w:p>
    <w:p w14:paraId="0FF3793B">
      <w:pPr>
        <w:pStyle w:val="120"/>
        <w:rPr>
          <w:color w:val="000000" w:themeColor="text1"/>
          <w14:textFill>
            <w14:solidFill>
              <w14:schemeClr w14:val="tx1"/>
            </w14:solidFill>
          </w14:textFill>
        </w:rPr>
      </w:pPr>
      <w:r>
        <w:rPr>
          <w:color w:val="000000" w:themeColor="text1"/>
          <w14:textFill>
            <w14:solidFill>
              <w14:schemeClr w14:val="tx1"/>
            </w14:solidFill>
          </w14:textFill>
        </w:rPr>
        <w:t>施工临时占地植被调查</w:t>
      </w:r>
    </w:p>
    <w:p w14:paraId="47C661F5">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本项目施工临时占地主要有施工场地和施工便道等。</w:t>
      </w:r>
    </w:p>
    <w:p w14:paraId="233A24A2">
      <w:pPr>
        <w:ind w:firstLine="480"/>
        <w:rPr>
          <w:color w:val="000000" w:themeColor="text1"/>
          <w14:textFill>
            <w14:solidFill>
              <w14:schemeClr w14:val="tx1"/>
            </w14:solidFill>
          </w14:textFill>
        </w:rPr>
      </w:pPr>
      <w:r>
        <w:rPr>
          <w:color w:val="000000" w:themeColor="text1"/>
          <w14:textFill>
            <w14:solidFill>
              <w14:schemeClr w14:val="tx1"/>
            </w14:solidFill>
          </w14:textFill>
        </w:rPr>
        <w:t>（1）施工场地</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项目共设2处</w:t>
      </w:r>
      <w:r>
        <w:rPr>
          <w:rFonts w:hint="eastAsia"/>
          <w:color w:val="000000" w:themeColor="text1"/>
          <w14:textFill>
            <w14:solidFill>
              <w14:schemeClr w14:val="tx1"/>
            </w14:solidFill>
          </w14:textFill>
        </w:rPr>
        <w:t>施工场地及</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处表土堆场。</w:t>
      </w:r>
    </w:p>
    <w:p w14:paraId="5124BB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）施工便道：</w:t>
      </w:r>
      <w:r>
        <w:rPr>
          <w:color w:val="000000" w:themeColor="text1"/>
          <w14:textFill>
            <w14:solidFill>
              <w14:schemeClr w14:val="tx1"/>
            </w14:solidFill>
          </w14:textFill>
        </w:rPr>
        <w:t>1#表土堆场</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表土</w:t>
      </w:r>
      <w:r>
        <w:rPr>
          <w:color w:val="000000" w:themeColor="text1"/>
          <w14:textFill>
            <w14:solidFill>
              <w14:schemeClr w14:val="tx1"/>
            </w14:solidFill>
          </w14:textFill>
        </w:rPr>
        <w:t>堆场现有</w:t>
      </w:r>
      <w:r>
        <w:rPr>
          <w:rFonts w:hint="eastAsia"/>
          <w:color w:val="000000" w:themeColor="text1"/>
          <w14:textFill>
            <w14:solidFill>
              <w14:schemeClr w14:val="tx1"/>
            </w14:solidFill>
          </w14:textFill>
        </w:rPr>
        <w:t>机耕</w:t>
      </w:r>
      <w:r>
        <w:rPr>
          <w:color w:val="000000" w:themeColor="text1"/>
          <w14:textFill>
            <w14:solidFill>
              <w14:schemeClr w14:val="tx1"/>
            </w14:solidFill>
          </w14:textFill>
        </w:rPr>
        <w:t>道路不能满足运输需求。为方便车辆进出，</w:t>
      </w:r>
      <w:r>
        <w:rPr>
          <w:rFonts w:hint="eastAsia"/>
          <w:color w:val="000000" w:themeColor="text1"/>
          <w14:textFill>
            <w14:solidFill>
              <w14:schemeClr w14:val="tx1"/>
            </w14:solidFill>
          </w14:textFill>
        </w:rPr>
        <w:t>需对现有机耕</w:t>
      </w:r>
      <w:r>
        <w:rPr>
          <w:color w:val="000000" w:themeColor="text1"/>
          <w14:textFill>
            <w14:solidFill>
              <w14:schemeClr w14:val="tx1"/>
            </w14:solidFill>
          </w14:textFill>
        </w:rPr>
        <w:t>道路</w:t>
      </w:r>
      <w:r>
        <w:rPr>
          <w:rFonts w:hint="eastAsia"/>
          <w:color w:val="000000" w:themeColor="text1"/>
          <w14:textFill>
            <w14:solidFill>
              <w14:schemeClr w14:val="tx1"/>
            </w14:solidFill>
          </w14:textFill>
        </w:rPr>
        <w:t>拓宽</w:t>
      </w:r>
      <w:r>
        <w:rPr>
          <w:color w:val="000000" w:themeColor="text1"/>
          <w14:textFill>
            <w14:solidFill>
              <w14:schemeClr w14:val="tx1"/>
            </w14:solidFill>
          </w14:textFill>
        </w:rPr>
        <w:t>，总长度370m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路基宽度4.5m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采用碎石路面，总占地面积</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.085hm²。</w:t>
      </w:r>
      <w:r>
        <w:rPr>
          <w:rFonts w:hint="eastAsia"/>
          <w:color w:val="000000" w:themeColor="text1"/>
          <w14:textFill>
            <w14:solidFill>
              <w14:schemeClr w14:val="tx1"/>
            </w14:solidFill>
          </w14:textFill>
        </w:rPr>
        <w:t>占地类型为耕地、园地等，耕地主要为当地常见经济作物、萝卜，园地主要占用植被主要为龙眼林等。</w:t>
      </w:r>
    </w:p>
    <w:p w14:paraId="204543EF">
      <w:pPr>
        <w:pStyle w:val="87"/>
        <w:spacing w:before="120"/>
        <w:rPr>
          <w:color w:val="000000" w:themeColor="text1"/>
          <w14:textFill>
            <w14:solidFill>
              <w14:schemeClr w14:val="tx1"/>
            </w14:solidFill>
          </w14:textFill>
        </w:rPr>
      </w:pPr>
      <w:bookmarkStart w:id="621" w:name="3.5.2评价区植被现状调查"/>
      <w:bookmarkEnd w:id="621"/>
      <w:bookmarkStart w:id="622" w:name="3.5.4水土保持现状调查"/>
      <w:bookmarkEnd w:id="622"/>
      <w:bookmarkStart w:id="623" w:name="3.5.3野生动物资源调查"/>
      <w:bookmarkEnd w:id="623"/>
      <w:bookmarkStart w:id="624" w:name="_Ref80781519"/>
      <w:r>
        <w:rPr>
          <w:rFonts w:hint="eastAsia"/>
          <w:color w:val="000000" w:themeColor="text1"/>
          <w14:textFill>
            <w14:solidFill>
              <w14:schemeClr w14:val="tx1"/>
            </w14:solidFill>
          </w14:textFill>
        </w:rPr>
        <w:t>施工场地和表土堆场</w:t>
      </w:r>
      <w:bookmarkEnd w:id="624"/>
      <w:r>
        <w:rPr>
          <w:rFonts w:hint="eastAsia"/>
          <w:color w:val="000000" w:themeColor="text1"/>
          <w14:textFill>
            <w14:solidFill>
              <w14:schemeClr w14:val="tx1"/>
            </w14:solidFill>
          </w14:textFill>
        </w:rPr>
        <w:t>植被现状一览表</w:t>
      </w:r>
    </w:p>
    <w:tbl>
      <w:tblPr>
        <w:tblStyle w:val="14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1447"/>
        <w:gridCol w:w="1035"/>
        <w:gridCol w:w="1011"/>
        <w:gridCol w:w="1674"/>
        <w:gridCol w:w="3398"/>
      </w:tblGrid>
      <w:tr w14:paraId="651A6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0" w:type="pct"/>
            <w:vAlign w:val="center"/>
          </w:tcPr>
          <w:p w14:paraId="0A1B8966">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项目</w:t>
            </w:r>
          </w:p>
        </w:tc>
        <w:tc>
          <w:tcPr>
            <w:tcW w:w="779" w:type="pct"/>
            <w:vAlign w:val="center"/>
          </w:tcPr>
          <w:p w14:paraId="7946C219">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位置</w:t>
            </w:r>
          </w:p>
        </w:tc>
        <w:tc>
          <w:tcPr>
            <w:tcW w:w="557" w:type="pct"/>
            <w:vAlign w:val="center"/>
          </w:tcPr>
          <w:p w14:paraId="213EC5B6">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面积（hm</w:t>
            </w:r>
            <w:r>
              <w:rPr>
                <w:snapToGrid w:val="0"/>
                <w:color w:val="000000" w:themeColor="text1"/>
                <w:vertAlign w:val="superscript"/>
                <w14:textFill>
                  <w14:solidFill>
                    <w14:schemeClr w14:val="tx1"/>
                  </w14:solidFill>
                </w14:textFill>
              </w:rPr>
              <w:t>2</w:t>
            </w:r>
            <w:r>
              <w:rPr>
                <w:snapToGrid w:val="0"/>
                <w:color w:val="000000" w:themeColor="text1"/>
                <w14:textFill>
                  <w14:solidFill>
                    <w14:schemeClr w14:val="tx1"/>
                  </w14:solidFill>
                </w14:textFill>
              </w:rPr>
              <w:t>）</w:t>
            </w:r>
          </w:p>
        </w:tc>
        <w:tc>
          <w:tcPr>
            <w:tcW w:w="544" w:type="pct"/>
            <w:vAlign w:val="center"/>
          </w:tcPr>
          <w:p w14:paraId="3223E4CD">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用地类型现状</w:t>
            </w:r>
          </w:p>
        </w:tc>
        <w:tc>
          <w:tcPr>
            <w:tcW w:w="901" w:type="pct"/>
            <w:vAlign w:val="center"/>
          </w:tcPr>
          <w:p w14:paraId="2B45FDDB">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用途</w:t>
            </w:r>
          </w:p>
        </w:tc>
        <w:tc>
          <w:tcPr>
            <w:tcW w:w="1829" w:type="pct"/>
            <w:vAlign w:val="center"/>
          </w:tcPr>
          <w:p w14:paraId="7C543095">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现状</w:t>
            </w:r>
          </w:p>
        </w:tc>
      </w:tr>
      <w:tr w14:paraId="6F776E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0" w:type="pct"/>
            <w:vAlign w:val="center"/>
          </w:tcPr>
          <w:p w14:paraId="676670E2">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施工场地</w:t>
            </w:r>
          </w:p>
        </w:tc>
        <w:tc>
          <w:tcPr>
            <w:tcW w:w="779" w:type="pct"/>
            <w:vAlign w:val="center"/>
          </w:tcPr>
          <w:p w14:paraId="0F327631">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K1+900</w:t>
            </w:r>
            <w:r>
              <w:rPr>
                <w:rFonts w:hint="eastAsia"/>
                <w:snapToGrid w:val="0"/>
                <w:color w:val="000000" w:themeColor="text1"/>
                <w14:textFill>
                  <w14:solidFill>
                    <w14:schemeClr w14:val="tx1"/>
                  </w14:solidFill>
                </w14:textFill>
              </w:rPr>
              <w:t>路右</w:t>
            </w:r>
          </w:p>
        </w:tc>
        <w:tc>
          <w:tcPr>
            <w:tcW w:w="557" w:type="pct"/>
            <w:vAlign w:val="center"/>
          </w:tcPr>
          <w:p w14:paraId="08A58E98">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0.70</w:t>
            </w:r>
          </w:p>
        </w:tc>
        <w:tc>
          <w:tcPr>
            <w:tcW w:w="544" w:type="pct"/>
            <w:vAlign w:val="center"/>
          </w:tcPr>
          <w:p w14:paraId="67C6167F">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其他草地和其他林地</w:t>
            </w:r>
          </w:p>
        </w:tc>
        <w:tc>
          <w:tcPr>
            <w:tcW w:w="901" w:type="pct"/>
            <w:vAlign w:val="center"/>
          </w:tcPr>
          <w:p w14:paraId="680D506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钢筋加工场、预制场、存梁区、材料堆场、小型构件预制场、临时办公值班房等</w:t>
            </w:r>
          </w:p>
        </w:tc>
        <w:tc>
          <w:tcPr>
            <w:tcW w:w="1829" w:type="pct"/>
            <w:vAlign w:val="center"/>
          </w:tcPr>
          <w:p w14:paraId="13F77B25">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现状为杂草地和一般林地（稀疏桉树），不涉及基本农田、生态公益林、生态保护红线等生态敏感区。南侧</w:t>
            </w:r>
            <w:r>
              <w:rPr>
                <w:snapToGrid w:val="0"/>
                <w:color w:val="000000" w:themeColor="text1"/>
                <w14:textFill>
                  <w14:solidFill>
                    <w14:schemeClr w14:val="tx1"/>
                  </w14:solidFill>
                </w14:textFill>
              </w:rPr>
              <w:t>5</w:t>
            </w:r>
            <w:r>
              <w:rPr>
                <w:rFonts w:hint="eastAsia"/>
                <w:snapToGrid w:val="0"/>
                <w:color w:val="000000" w:themeColor="text1"/>
                <w14:textFill>
                  <w14:solidFill>
                    <w14:schemeClr w14:val="tx1"/>
                  </w14:solidFill>
                </w14:textFill>
              </w:rPr>
              <w:t>m临近基本农田。</w:t>
            </w:r>
          </w:p>
          <w:p w14:paraId="1ECB97AB">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植被：稀疏桉树及灌草丛。</w:t>
            </w:r>
          </w:p>
        </w:tc>
      </w:tr>
      <w:tr w14:paraId="7FCB18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0" w:type="pct"/>
            <w:vAlign w:val="center"/>
          </w:tcPr>
          <w:p w14:paraId="3A402DEB">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2#</w:t>
            </w:r>
            <w:r>
              <w:rPr>
                <w:rFonts w:hint="eastAsia"/>
                <w:snapToGrid w:val="0"/>
                <w:color w:val="000000" w:themeColor="text1"/>
                <w14:textFill>
                  <w14:solidFill>
                    <w14:schemeClr w14:val="tx1"/>
                  </w14:solidFill>
                </w14:textFill>
              </w:rPr>
              <w:t>施工场地</w:t>
            </w:r>
          </w:p>
        </w:tc>
        <w:tc>
          <w:tcPr>
            <w:tcW w:w="779" w:type="pct"/>
            <w:vAlign w:val="center"/>
          </w:tcPr>
          <w:p w14:paraId="4F8DF47A">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K4+480</w:t>
            </w:r>
            <w:r>
              <w:rPr>
                <w:rFonts w:hint="eastAsia"/>
                <w:snapToGrid w:val="0"/>
                <w:color w:val="000000" w:themeColor="text1"/>
                <w14:textFill>
                  <w14:solidFill>
                    <w14:schemeClr w14:val="tx1"/>
                  </w14:solidFill>
                </w14:textFill>
              </w:rPr>
              <w:t>路左</w:t>
            </w:r>
          </w:p>
        </w:tc>
        <w:tc>
          <w:tcPr>
            <w:tcW w:w="557" w:type="pct"/>
            <w:vAlign w:val="center"/>
          </w:tcPr>
          <w:p w14:paraId="0BC3B90D">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0.35</w:t>
            </w:r>
          </w:p>
        </w:tc>
        <w:tc>
          <w:tcPr>
            <w:tcW w:w="544" w:type="pct"/>
            <w:vAlign w:val="center"/>
          </w:tcPr>
          <w:p w14:paraId="444F89D5">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一般林地和其他林地</w:t>
            </w:r>
          </w:p>
        </w:tc>
        <w:tc>
          <w:tcPr>
            <w:tcW w:w="901" w:type="pct"/>
            <w:vAlign w:val="center"/>
          </w:tcPr>
          <w:p w14:paraId="32E5BAE3">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施工材料存放点</w:t>
            </w:r>
            <w:r>
              <w:rPr>
                <w:rFonts w:hint="eastAsia"/>
                <w:snapToGrid w:val="0"/>
                <w:color w:val="000000" w:themeColor="text1"/>
                <w14:textFill>
                  <w14:solidFill>
                    <w14:schemeClr w14:val="tx1"/>
                  </w14:solidFill>
                </w14:textFill>
              </w:rPr>
              <w:t>、水稳</w:t>
            </w:r>
            <w:bookmarkStart w:id="625" w:name="hmcheck_70536fda17074e02866100db1e9d6ee5"/>
            <w:r>
              <w:rPr>
                <w:rFonts w:hint="eastAsia"/>
                <w:snapToGrid w:val="0"/>
                <w:color w:val="000000" w:themeColor="text1"/>
                <w:shd w:val="clear" w:fill="FFAFAA"/>
                <w14:textFill>
                  <w14:solidFill>
                    <w14:schemeClr w14:val="tx1"/>
                  </w14:solidFill>
                </w14:textFill>
              </w:rPr>
              <w:t>拌合站</w:t>
            </w:r>
            <w:bookmarkEnd w:id="625"/>
            <w:r>
              <w:rPr>
                <w:rFonts w:hint="eastAsia"/>
                <w:snapToGrid w:val="0"/>
                <w:color w:val="000000" w:themeColor="text1"/>
                <w14:textFill>
                  <w14:solidFill>
                    <w14:schemeClr w14:val="tx1"/>
                  </w14:solidFill>
                </w14:textFill>
              </w:rPr>
              <w:t>等</w:t>
            </w:r>
          </w:p>
        </w:tc>
        <w:tc>
          <w:tcPr>
            <w:tcW w:w="1829" w:type="pct"/>
            <w:vAlign w:val="center"/>
          </w:tcPr>
          <w:p w14:paraId="152D0ECB">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现状为湿地松和景观树种植基地，不涉及基本农田、生态公益林、生态保护红线等生态敏感区。</w:t>
            </w:r>
          </w:p>
          <w:p w14:paraId="2B2699F2">
            <w:pPr>
              <w:pStyle w:val="105"/>
              <w:jc w:val="left"/>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植被：</w:t>
            </w:r>
            <w:r>
              <w:rPr>
                <w:rFonts w:hint="eastAsia"/>
                <w:snapToGrid w:val="0"/>
                <w:color w:val="000000" w:themeColor="text1"/>
                <w14:textFill>
                  <w14:solidFill>
                    <w14:schemeClr w14:val="tx1"/>
                  </w14:solidFill>
                </w14:textFill>
              </w:rPr>
              <w:t>主要为湿地松和景观树种，灌草丛灌木层、檵木、桃金娘、芒萁、白花鬼针草、淡竹叶、小飞蓬。</w:t>
            </w:r>
          </w:p>
        </w:tc>
      </w:tr>
      <w:tr w14:paraId="03FBCF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0" w:type="pct"/>
            <w:vAlign w:val="center"/>
          </w:tcPr>
          <w:p w14:paraId="11166C7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1</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表土堆场</w:t>
            </w:r>
          </w:p>
        </w:tc>
        <w:tc>
          <w:tcPr>
            <w:tcW w:w="779" w:type="pct"/>
            <w:vAlign w:val="center"/>
          </w:tcPr>
          <w:p w14:paraId="28204336">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K0+660 右侧100m</w:t>
            </w:r>
          </w:p>
        </w:tc>
        <w:tc>
          <w:tcPr>
            <w:tcW w:w="557" w:type="pct"/>
            <w:vAlign w:val="center"/>
          </w:tcPr>
          <w:p w14:paraId="1D79F3EE">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0.52</w:t>
            </w:r>
          </w:p>
        </w:tc>
        <w:tc>
          <w:tcPr>
            <w:tcW w:w="544" w:type="pct"/>
            <w:vAlign w:val="center"/>
          </w:tcPr>
          <w:p w14:paraId="0E8B58F8">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园地（</w:t>
            </w:r>
            <w:r>
              <w:rPr>
                <w:rFonts w:hint="eastAsia"/>
                <w:snapToGrid w:val="0"/>
                <w:color w:val="000000" w:themeColor="text1"/>
                <w14:textFill>
                  <w14:solidFill>
                    <w14:schemeClr w14:val="tx1"/>
                  </w14:solidFill>
                </w14:textFill>
              </w:rPr>
              <w:t>龙眼林</w:t>
            </w:r>
            <w:r>
              <w:rPr>
                <w:snapToGrid w:val="0"/>
                <w:color w:val="000000" w:themeColor="text1"/>
                <w14:textFill>
                  <w14:solidFill>
                    <w14:schemeClr w14:val="tx1"/>
                  </w14:solidFill>
                </w14:textFill>
              </w:rPr>
              <w:t>）</w:t>
            </w:r>
          </w:p>
        </w:tc>
        <w:tc>
          <w:tcPr>
            <w:tcW w:w="901" w:type="pct"/>
            <w:vAlign w:val="center"/>
          </w:tcPr>
          <w:p w14:paraId="46F6DFA4">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表土堆放</w:t>
            </w:r>
          </w:p>
        </w:tc>
        <w:tc>
          <w:tcPr>
            <w:tcW w:w="1829" w:type="pct"/>
            <w:vAlign w:val="center"/>
          </w:tcPr>
          <w:p w14:paraId="17812783">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现状为龙眼林，不涉及基本农田、生态公益林、生态保护红线等生态敏感区。</w:t>
            </w:r>
          </w:p>
          <w:p w14:paraId="736B5ED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植被：龙眼林。</w:t>
            </w:r>
          </w:p>
        </w:tc>
      </w:tr>
      <w:tr w14:paraId="4424DA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0" w:type="pct"/>
            <w:vAlign w:val="center"/>
          </w:tcPr>
          <w:p w14:paraId="264E8128">
            <w:pPr>
              <w:pStyle w:val="105"/>
              <w:jc w:val="center"/>
              <w:rPr>
                <w:snapToGrid w:val="0"/>
                <w:color w:val="000000" w:themeColor="text1"/>
                <w:highlight w:val="yellow"/>
                <w14:textFill>
                  <w14:solidFill>
                    <w14:schemeClr w14:val="tx1"/>
                  </w14:solidFill>
                </w14:textFill>
              </w:rPr>
            </w:pPr>
            <w:r>
              <w:rPr>
                <w:snapToGrid w:val="0"/>
                <w:color w:val="000000" w:themeColor="text1"/>
                <w14:textFill>
                  <w14:solidFill>
                    <w14:schemeClr w14:val="tx1"/>
                  </w14:solidFill>
                </w14:textFill>
              </w:rPr>
              <w:t>2#</w:t>
            </w:r>
            <w:r>
              <w:rPr>
                <w:rFonts w:hint="eastAsia"/>
                <w:snapToGrid w:val="0"/>
                <w:color w:val="000000" w:themeColor="text1"/>
                <w14:textFill>
                  <w14:solidFill>
                    <w14:schemeClr w14:val="tx1"/>
                  </w14:solidFill>
                </w14:textFill>
              </w:rPr>
              <w:t>表土堆场</w:t>
            </w:r>
          </w:p>
        </w:tc>
        <w:tc>
          <w:tcPr>
            <w:tcW w:w="779" w:type="pct"/>
            <w:vAlign w:val="center"/>
          </w:tcPr>
          <w:p w14:paraId="06FCA0C6">
            <w:pPr>
              <w:pStyle w:val="105"/>
              <w:jc w:val="center"/>
              <w:rPr>
                <w:snapToGrid w:val="0"/>
                <w:color w:val="000000" w:themeColor="text1"/>
                <w:highlight w:val="yellow"/>
                <w14:textFill>
                  <w14:solidFill>
                    <w14:schemeClr w14:val="tx1"/>
                  </w14:solidFill>
                </w14:textFill>
              </w:rPr>
            </w:pPr>
            <w:r>
              <w:rPr>
                <w:snapToGrid w:val="0"/>
                <w:color w:val="000000" w:themeColor="text1"/>
                <w14:textFill>
                  <w14:solidFill>
                    <w14:schemeClr w14:val="tx1"/>
                  </w14:solidFill>
                </w14:textFill>
              </w:rPr>
              <w:t>K3+320 右侧</w:t>
            </w:r>
          </w:p>
        </w:tc>
        <w:tc>
          <w:tcPr>
            <w:tcW w:w="557" w:type="pct"/>
            <w:vAlign w:val="center"/>
          </w:tcPr>
          <w:p w14:paraId="11FC89E3">
            <w:pPr>
              <w:pStyle w:val="105"/>
              <w:jc w:val="center"/>
              <w:rPr>
                <w:snapToGrid w:val="0"/>
                <w:color w:val="000000" w:themeColor="text1"/>
                <w:highlight w:val="yellow"/>
                <w14:textFill>
                  <w14:solidFill>
                    <w14:schemeClr w14:val="tx1"/>
                  </w14:solidFill>
                </w14:textFill>
              </w:rPr>
            </w:pPr>
            <w:r>
              <w:rPr>
                <w:snapToGrid w:val="0"/>
                <w:color w:val="000000" w:themeColor="text1"/>
                <w14:textFill>
                  <w14:solidFill>
                    <w14:schemeClr w14:val="tx1"/>
                  </w14:solidFill>
                </w14:textFill>
              </w:rPr>
              <w:t>0.28</w:t>
            </w:r>
          </w:p>
        </w:tc>
        <w:tc>
          <w:tcPr>
            <w:tcW w:w="544" w:type="pct"/>
            <w:vAlign w:val="center"/>
          </w:tcPr>
          <w:p w14:paraId="0EC9B3FE">
            <w:pPr>
              <w:pStyle w:val="105"/>
              <w:jc w:val="center"/>
              <w:rPr>
                <w:snapToGrid w:val="0"/>
                <w:color w:val="000000" w:themeColor="text1"/>
                <w:highlight w:val="yellow"/>
                <w14:textFill>
                  <w14:solidFill>
                    <w14:schemeClr w14:val="tx1"/>
                  </w14:solidFill>
                </w14:textFill>
              </w:rPr>
            </w:pPr>
            <w:r>
              <w:rPr>
                <w:rFonts w:hint="eastAsia"/>
                <w:snapToGrid w:val="0"/>
                <w:color w:val="000000" w:themeColor="text1"/>
                <w14:textFill>
                  <w14:solidFill>
                    <w14:schemeClr w14:val="tx1"/>
                  </w14:solidFill>
                </w14:textFill>
              </w:rPr>
              <w:t>荒草地</w:t>
            </w:r>
          </w:p>
        </w:tc>
        <w:tc>
          <w:tcPr>
            <w:tcW w:w="901" w:type="pct"/>
            <w:vAlign w:val="center"/>
          </w:tcPr>
          <w:p w14:paraId="1DEC80C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表土堆放</w:t>
            </w:r>
          </w:p>
        </w:tc>
        <w:tc>
          <w:tcPr>
            <w:tcW w:w="1829" w:type="pct"/>
            <w:vAlign w:val="center"/>
          </w:tcPr>
          <w:p w14:paraId="2534AC3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现状为荒草地，不涉及基本农田、生态公益林、生态保护红线等生态敏感区。</w:t>
            </w:r>
          </w:p>
          <w:p w14:paraId="7CFB97C2">
            <w:pPr>
              <w:pStyle w:val="105"/>
              <w:jc w:val="center"/>
              <w:rPr>
                <w:snapToGrid w:val="0"/>
                <w:color w:val="000000" w:themeColor="text1"/>
                <w:highlight w:val="yellow"/>
                <w14:textFill>
                  <w14:solidFill>
                    <w14:schemeClr w14:val="tx1"/>
                  </w14:solidFill>
                </w14:textFill>
              </w:rPr>
            </w:pPr>
            <w:r>
              <w:rPr>
                <w:rFonts w:hint="eastAsia"/>
                <w:snapToGrid w:val="0"/>
                <w:color w:val="000000" w:themeColor="text1"/>
                <w14:textFill>
                  <w14:solidFill>
                    <w14:schemeClr w14:val="tx1"/>
                  </w14:solidFill>
                </w14:textFill>
              </w:rPr>
              <w:t>植被为灌草丛：</w:t>
            </w:r>
            <w:r>
              <w:rPr>
                <w:snapToGrid w:val="0"/>
                <w:color w:val="000000" w:themeColor="text1"/>
                <w14:textFill>
                  <w14:solidFill>
                    <w14:schemeClr w14:val="tx1"/>
                  </w14:solidFill>
                </w14:textFill>
              </w:rPr>
              <w:t>狗尾草、白茅、假臭草、鬼针草、</w:t>
            </w:r>
            <w:r>
              <w:rPr>
                <w:rFonts w:hint="eastAsia"/>
                <w:snapToGrid w:val="0"/>
                <w:color w:val="000000" w:themeColor="text1"/>
                <w14:textFill>
                  <w14:solidFill>
                    <w14:schemeClr w14:val="tx1"/>
                  </w14:solidFill>
                </w14:textFill>
              </w:rPr>
              <w:t>肿柄菊等。</w:t>
            </w:r>
          </w:p>
        </w:tc>
      </w:tr>
      <w:tr w14:paraId="0EB8C2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90" w:type="pct"/>
            <w:vAlign w:val="center"/>
          </w:tcPr>
          <w:p w14:paraId="790FC00E">
            <w:pPr>
              <w:pStyle w:val="105"/>
              <w:jc w:val="center"/>
              <w:rPr>
                <w:snapToGrid w:val="0"/>
                <w:color w:val="000000" w:themeColor="text1"/>
                <w:highlight w:val="yellow"/>
                <w14:textFill>
                  <w14:solidFill>
                    <w14:schemeClr w14:val="tx1"/>
                  </w14:solidFill>
                </w14:textFill>
              </w:rPr>
            </w:pPr>
            <w:r>
              <w:rPr>
                <w:snapToGrid w:val="0"/>
                <w:color w:val="000000" w:themeColor="text1"/>
                <w14:textFill>
                  <w14:solidFill>
                    <w14:schemeClr w14:val="tx1"/>
                  </w14:solidFill>
                </w14:textFill>
              </w:rPr>
              <w:t>3#</w:t>
            </w:r>
            <w:r>
              <w:rPr>
                <w:rFonts w:hint="eastAsia"/>
                <w:snapToGrid w:val="0"/>
                <w:color w:val="000000" w:themeColor="text1"/>
                <w14:textFill>
                  <w14:solidFill>
                    <w14:schemeClr w14:val="tx1"/>
                  </w14:solidFill>
                </w14:textFill>
              </w:rPr>
              <w:t>表土堆场</w:t>
            </w:r>
          </w:p>
        </w:tc>
        <w:tc>
          <w:tcPr>
            <w:tcW w:w="779" w:type="pct"/>
            <w:vAlign w:val="center"/>
          </w:tcPr>
          <w:p w14:paraId="3A6AE6B1">
            <w:pPr>
              <w:pStyle w:val="105"/>
              <w:jc w:val="center"/>
              <w:rPr>
                <w:snapToGrid w:val="0"/>
                <w:color w:val="000000" w:themeColor="text1"/>
                <w:highlight w:val="yellow"/>
                <w14:textFill>
                  <w14:solidFill>
                    <w14:schemeClr w14:val="tx1"/>
                  </w14:solidFill>
                </w14:textFill>
              </w:rPr>
            </w:pPr>
            <w:r>
              <w:rPr>
                <w:snapToGrid w:val="0"/>
                <w:color w:val="000000" w:themeColor="text1"/>
                <w14:textFill>
                  <w14:solidFill>
                    <w14:schemeClr w14:val="tx1"/>
                  </w14:solidFill>
                </w14:textFill>
              </w:rPr>
              <w:t>LK0+090 右侧</w:t>
            </w:r>
          </w:p>
        </w:tc>
        <w:tc>
          <w:tcPr>
            <w:tcW w:w="557" w:type="pct"/>
            <w:vAlign w:val="center"/>
          </w:tcPr>
          <w:p w14:paraId="1A6D04C3">
            <w:pPr>
              <w:pStyle w:val="105"/>
              <w:jc w:val="center"/>
              <w:rPr>
                <w:snapToGrid w:val="0"/>
                <w:color w:val="000000" w:themeColor="text1"/>
                <w:highlight w:val="yellow"/>
                <w14:textFill>
                  <w14:solidFill>
                    <w14:schemeClr w14:val="tx1"/>
                  </w14:solidFill>
                </w14:textFill>
              </w:rPr>
            </w:pPr>
            <w:r>
              <w:rPr>
                <w:snapToGrid w:val="0"/>
                <w:color w:val="000000" w:themeColor="text1"/>
                <w14:textFill>
                  <w14:solidFill>
                    <w14:schemeClr w14:val="tx1"/>
                  </w14:solidFill>
                </w14:textFill>
              </w:rPr>
              <w:t>0.11</w:t>
            </w:r>
          </w:p>
        </w:tc>
        <w:tc>
          <w:tcPr>
            <w:tcW w:w="544" w:type="pct"/>
            <w:vAlign w:val="center"/>
          </w:tcPr>
          <w:p w14:paraId="7AE34791">
            <w:pPr>
              <w:pStyle w:val="105"/>
              <w:jc w:val="center"/>
              <w:rPr>
                <w:snapToGrid w:val="0"/>
                <w:color w:val="000000" w:themeColor="text1"/>
                <w:highlight w:val="yellow"/>
                <w14:textFill>
                  <w14:solidFill>
                    <w14:schemeClr w14:val="tx1"/>
                  </w14:solidFill>
                </w14:textFill>
              </w:rPr>
            </w:pPr>
            <w:r>
              <w:rPr>
                <w:rFonts w:hint="eastAsia"/>
                <w:snapToGrid w:val="0"/>
                <w:color w:val="000000" w:themeColor="text1"/>
                <w14:textFill>
                  <w14:solidFill>
                    <w14:schemeClr w14:val="tx1"/>
                  </w14:solidFill>
                </w14:textFill>
              </w:rPr>
              <w:t>耕地（旱地）</w:t>
            </w:r>
          </w:p>
        </w:tc>
        <w:tc>
          <w:tcPr>
            <w:tcW w:w="901" w:type="pct"/>
            <w:vAlign w:val="center"/>
          </w:tcPr>
          <w:p w14:paraId="621AF784">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表土堆放</w:t>
            </w:r>
          </w:p>
        </w:tc>
        <w:tc>
          <w:tcPr>
            <w:tcW w:w="1829" w:type="pct"/>
            <w:vAlign w:val="center"/>
          </w:tcPr>
          <w:p w14:paraId="4A5E87E1">
            <w:pPr>
              <w:pStyle w:val="105"/>
              <w:jc w:val="center"/>
              <w:rPr>
                <w:snapToGrid w:val="0"/>
                <w:color w:val="000000" w:themeColor="text1"/>
                <w:highlight w:val="yellow"/>
                <w14:textFill>
                  <w14:solidFill>
                    <w14:schemeClr w14:val="tx1"/>
                  </w14:solidFill>
                </w14:textFill>
              </w:rPr>
            </w:pPr>
            <w:r>
              <w:rPr>
                <w:rFonts w:hint="eastAsia"/>
                <w:snapToGrid w:val="0"/>
                <w:color w:val="000000" w:themeColor="text1"/>
                <w14:textFill>
                  <w14:solidFill>
                    <w14:schemeClr w14:val="tx1"/>
                  </w14:solidFill>
                </w14:textFill>
              </w:rPr>
              <w:t>现状为耕地，不涉及基本农田和生态保护红线。主要种植萝卜及时令蔬菜。</w:t>
            </w:r>
          </w:p>
        </w:tc>
      </w:tr>
    </w:tbl>
    <w:p w14:paraId="11A60FDE">
      <w:pPr>
        <w:ind w:firstLine="0" w:firstLineChars="0"/>
        <w:rPr>
          <w:color w:val="000000" w:themeColor="text1"/>
          <w14:textFill>
            <w14:solidFill>
              <w14:schemeClr w14:val="tx1"/>
            </w14:solidFill>
          </w14:textFill>
        </w:rPr>
        <w:sectPr>
          <w:footerReference r:id="rId21" w:type="default"/>
          <w:pgSz w:w="11910" w:h="16840"/>
          <w:pgMar w:top="1418" w:right="1418" w:bottom="1418" w:left="1418" w:header="851" w:footer="851" w:gutter="0"/>
          <w:cols w:space="720" w:num="1"/>
        </w:sectPr>
      </w:pPr>
      <w:r>
        <w:rPr>
          <w:color w:val="000000" w:themeColor="text1"/>
          <w14:textFill>
            <w14:solidFill>
              <w14:schemeClr w14:val="tx1"/>
            </w14:solidFill>
          </w14:textFill>
        </w:rPr>
        <w:t xml:space="preserve"> </w:t>
      </w:r>
    </w:p>
    <w:p w14:paraId="649FDE2E">
      <w:pPr>
        <w:pStyle w:val="114"/>
        <w:rPr>
          <w:color w:val="000000" w:themeColor="text1"/>
          <w14:textFill>
            <w14:solidFill>
              <w14:schemeClr w14:val="tx1"/>
            </w14:solidFill>
          </w14:textFill>
        </w:rPr>
      </w:pPr>
      <w:bookmarkStart w:id="626" w:name="4环境影响预测与评价"/>
      <w:bookmarkEnd w:id="626"/>
      <w:bookmarkStart w:id="627" w:name="_Toc24781"/>
      <w:bookmarkStart w:id="628" w:name="_Toc159405472"/>
      <w:bookmarkStart w:id="629" w:name="_Toc193912379"/>
      <w:r>
        <w:rPr>
          <w:color w:val="000000" w:themeColor="text1"/>
          <w14:textFill>
            <w14:solidFill>
              <w14:schemeClr w14:val="tx1"/>
            </w14:solidFill>
          </w14:textFill>
        </w:rPr>
        <w:t>环境影响预测与评价</w:t>
      </w:r>
      <w:bookmarkEnd w:id="627"/>
      <w:bookmarkEnd w:id="628"/>
      <w:bookmarkEnd w:id="629"/>
    </w:p>
    <w:p w14:paraId="1347515B">
      <w:pPr>
        <w:pStyle w:val="116"/>
        <w:rPr>
          <w:color w:val="000000" w:themeColor="text1"/>
          <w:sz w:val="28"/>
          <w:szCs w:val="28"/>
          <w14:textFill>
            <w14:solidFill>
              <w14:schemeClr w14:val="tx1"/>
            </w14:solidFill>
          </w14:textFill>
        </w:rPr>
      </w:pPr>
      <w:bookmarkStart w:id="630" w:name="_Toc154668043"/>
      <w:bookmarkStart w:id="631" w:name="_Toc193912380"/>
      <w:bookmarkStart w:id="632" w:name="_Toc159405473"/>
      <w:bookmarkStart w:id="633" w:name="_Toc149645946"/>
      <w:r>
        <w:rPr>
          <w:rFonts w:hint="eastAsia"/>
          <w:color w:val="000000" w:themeColor="text1"/>
          <w14:textFill>
            <w14:solidFill>
              <w14:schemeClr w14:val="tx1"/>
            </w14:solidFill>
          </w14:textFill>
        </w:rPr>
        <w:t>生态影响评价</w:t>
      </w:r>
      <w:bookmarkEnd w:id="630"/>
      <w:bookmarkEnd w:id="631"/>
      <w:bookmarkEnd w:id="632"/>
      <w:bookmarkEnd w:id="633"/>
    </w:p>
    <w:p w14:paraId="707A0E13">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施工期生态影响分析</w:t>
      </w:r>
    </w:p>
    <w:p w14:paraId="249CE13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拟建公路对生态环境的影响主要发生在施工期，主要表现在主体工程对土地的占用和分割，改变了土地利用性质，使评价范围植被覆盖率下降，林地面积减少，耕地利用压力增大；路基的填筑与开挖、土石方临时堆场等的施工，破坏了地表植被和地形、地貌，而这些变化若是路基占用部分，则其影响是不可逆的；该项目的施工、建设，在一定时段和一定区域将造成水土流失，土壤肥力和团粒结构发生改变；工程活动打破了原有的自然生态和环境，还会对评价区动植物的生长、分布、栖息和活动产生一定不利的影响。</w:t>
      </w:r>
    </w:p>
    <w:p w14:paraId="7BE0AFBC">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工程占地影响分析</w:t>
      </w:r>
    </w:p>
    <w:p w14:paraId="35AE4A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（1）主体工程占地的影响分析</w:t>
      </w:r>
    </w:p>
    <w:p w14:paraId="0C21228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本项目主体工程永久占地面积</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color w:val="000000" w:themeColor="text1"/>
          <w:spacing w:val="-7"/>
          <w:vertAlign w:val="superscript"/>
          <w14:textFill>
            <w14:solidFill>
              <w14:schemeClr w14:val="tx1"/>
            </w14:solidFill>
          </w14:textFill>
        </w:rPr>
        <w:t>2</w:t>
      </w:r>
      <w:r>
        <w:rPr>
          <w:rFonts w:hint="eastAsia"/>
          <w:color w:val="000000" w:themeColor="text1"/>
          <w14:textFill>
            <w14:solidFill>
              <w14:schemeClr w14:val="tx1"/>
            </w14:solidFill>
          </w14:textFill>
        </w:rPr>
        <w:t>，其中</w:t>
      </w:r>
      <w:r>
        <w:rPr>
          <w:color w:val="000000" w:themeColor="text1"/>
          <w:kern w:val="0"/>
          <w:szCs w:val="24"/>
          <w:lang w:val="zh-CN"/>
          <w14:textFill>
            <w14:solidFill>
              <w14:schemeClr w14:val="tx1"/>
            </w14:solidFill>
          </w14:textFill>
        </w:rPr>
        <w:t>耕地</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.424</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kern w:val="0"/>
          <w:szCs w:val="24"/>
          <w14:textFill>
            <w14:solidFill>
              <w14:schemeClr w14:val="tx1"/>
            </w14:solidFill>
          </w14:textFill>
        </w:rPr>
        <w:t>，</w:t>
      </w:r>
      <w:r>
        <w:rPr>
          <w:color w:val="000000" w:themeColor="text1"/>
          <w:kern w:val="0"/>
          <w:szCs w:val="24"/>
          <w:lang w:val="zh-CN"/>
          <w14:textFill>
            <w14:solidFill>
              <w14:schemeClr w14:val="tx1"/>
            </w14:solidFill>
          </w14:textFill>
        </w:rPr>
        <w:t>林地</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.487</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、园地</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.6056</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w:t>
      </w:r>
      <w:r>
        <w:rPr>
          <w:rFonts w:hint="eastAsia"/>
          <w:color w:val="000000" w:themeColor="text1"/>
          <w:kern w:val="0"/>
          <w:szCs w:val="24"/>
          <w:lang w:val="zh-CN"/>
          <w14:textFill>
            <w14:solidFill>
              <w14:schemeClr w14:val="tx1"/>
            </w14:solidFill>
          </w14:textFill>
        </w:rPr>
        <w:t>草地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.5844</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、其他农用地</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.052</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kern w:val="0"/>
          <w:szCs w:val="24"/>
          <w:lang w:val="zh-CN"/>
          <w14:textFill>
            <w14:solidFill>
              <w14:schemeClr w14:val="tx1"/>
            </w14:solidFill>
          </w14:textFill>
        </w:rPr>
        <w:t>建设用地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.6581</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14:textFill>
            <w14:solidFill>
              <w14:schemeClr w14:val="tx1"/>
            </w14:solidFill>
          </w14:textFill>
        </w:rPr>
        <w:t>，</w:t>
      </w:r>
      <w:r>
        <w:rPr>
          <w:color w:val="000000" w:themeColor="text1"/>
          <w:kern w:val="0"/>
          <w:szCs w:val="24"/>
          <w:lang w:val="zh-CN"/>
          <w14:textFill>
            <w14:solidFill>
              <w14:schemeClr w14:val="tx1"/>
            </w14:solidFill>
          </w14:textFill>
        </w:rPr>
        <w:t>未利用地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.8507</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。根据建设项目用地预审和</w:t>
      </w:r>
      <w:r>
        <w:rPr>
          <w:color w:val="000000" w:themeColor="text1"/>
          <w14:textFill>
            <w14:solidFill>
              <w14:schemeClr w14:val="tx1"/>
            </w14:solidFill>
          </w14:textFill>
        </w:rPr>
        <w:t>选址意见书</w:t>
      </w:r>
      <w:r>
        <w:rPr>
          <w:rFonts w:hint="eastAsia"/>
          <w:color w:val="000000" w:themeColor="text1"/>
          <w14:textFill>
            <w14:solidFill>
              <w14:schemeClr w14:val="tx1"/>
            </w14:solidFill>
          </w14:textFill>
        </w:rPr>
        <w:t>，项目不涉及生态保护红线，不占用基本农田，项目建设符合国土空间规划用地管制要求。</w:t>
      </w:r>
    </w:p>
    <w:p w14:paraId="7FBCCEEC">
      <w:pPr>
        <w:pStyle w:val="87"/>
        <w:spacing w:before="163"/>
        <w:ind w:left="48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项目建设前后评价范围内土地利用格局变化情况</w:t>
      </w:r>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270"/>
        <w:gridCol w:w="970"/>
        <w:gridCol w:w="1079"/>
        <w:gridCol w:w="972"/>
        <w:gridCol w:w="1076"/>
        <w:gridCol w:w="1439"/>
        <w:gridCol w:w="1364"/>
        <w:gridCol w:w="900"/>
      </w:tblGrid>
      <w:tr w14:paraId="2100C1A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vMerge w:val="restart"/>
            <w:noWrap/>
            <w:vAlign w:val="center"/>
          </w:tcPr>
          <w:p w14:paraId="707A5F1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占地类型</w:t>
            </w:r>
          </w:p>
        </w:tc>
        <w:tc>
          <w:tcPr>
            <w:tcW w:w="1130" w:type="pct"/>
            <w:gridSpan w:val="2"/>
            <w:vAlign w:val="center"/>
          </w:tcPr>
          <w:p w14:paraId="5901756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评价范围占地类型</w:t>
            </w:r>
          </w:p>
        </w:tc>
        <w:tc>
          <w:tcPr>
            <w:tcW w:w="1129" w:type="pct"/>
            <w:gridSpan w:val="2"/>
            <w:vAlign w:val="center"/>
          </w:tcPr>
          <w:p w14:paraId="7C36E81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工程红线占地类型</w:t>
            </w:r>
          </w:p>
        </w:tc>
        <w:tc>
          <w:tcPr>
            <w:tcW w:w="1545" w:type="pct"/>
            <w:gridSpan w:val="2"/>
            <w:noWrap/>
            <w:vAlign w:val="center"/>
          </w:tcPr>
          <w:p w14:paraId="6DF6253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征地后评价范围占地类型</w:t>
            </w:r>
          </w:p>
        </w:tc>
        <w:tc>
          <w:tcPr>
            <w:tcW w:w="496" w:type="pct"/>
            <w:vMerge w:val="restart"/>
            <w:vAlign w:val="center"/>
          </w:tcPr>
          <w:p w14:paraId="6B4760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变化量</w:t>
            </w:r>
          </w:p>
        </w:tc>
      </w:tr>
      <w:tr w14:paraId="0704524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vMerge w:val="continue"/>
            <w:noWrap/>
            <w:vAlign w:val="center"/>
          </w:tcPr>
          <w:p w14:paraId="49CF244A">
            <w:pPr>
              <w:pStyle w:val="105"/>
              <w:jc w:val="center"/>
              <w:rPr>
                <w:color w:val="000000" w:themeColor="text1"/>
                <w14:textFill>
                  <w14:solidFill>
                    <w14:schemeClr w14:val="tx1"/>
                  </w14:solidFill>
                </w14:textFill>
              </w:rPr>
            </w:pPr>
          </w:p>
        </w:tc>
        <w:tc>
          <w:tcPr>
            <w:tcW w:w="535" w:type="pct"/>
            <w:vAlign w:val="center"/>
          </w:tcPr>
          <w:p w14:paraId="15996CC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tc>
        <w:tc>
          <w:tcPr>
            <w:tcW w:w="595" w:type="pct"/>
            <w:vAlign w:val="center"/>
          </w:tcPr>
          <w:p w14:paraId="07F44D2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比例</w:t>
            </w:r>
          </w:p>
        </w:tc>
        <w:tc>
          <w:tcPr>
            <w:tcW w:w="536" w:type="pct"/>
            <w:vAlign w:val="center"/>
          </w:tcPr>
          <w:p w14:paraId="55401C4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tc>
        <w:tc>
          <w:tcPr>
            <w:tcW w:w="593" w:type="pct"/>
            <w:vAlign w:val="center"/>
          </w:tcPr>
          <w:p w14:paraId="77A67C8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比例</w:t>
            </w:r>
          </w:p>
        </w:tc>
        <w:tc>
          <w:tcPr>
            <w:tcW w:w="793" w:type="pct"/>
            <w:noWrap/>
            <w:vAlign w:val="center"/>
          </w:tcPr>
          <w:p w14:paraId="79E042C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tc>
        <w:tc>
          <w:tcPr>
            <w:tcW w:w="752" w:type="pct"/>
            <w:noWrap/>
            <w:vAlign w:val="center"/>
          </w:tcPr>
          <w:p w14:paraId="696D8C2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比例</w:t>
            </w:r>
          </w:p>
        </w:tc>
        <w:tc>
          <w:tcPr>
            <w:tcW w:w="496" w:type="pct"/>
            <w:vMerge w:val="continue"/>
            <w:vAlign w:val="center"/>
          </w:tcPr>
          <w:p w14:paraId="0679107A">
            <w:pPr>
              <w:pStyle w:val="105"/>
              <w:jc w:val="center"/>
              <w:rPr>
                <w:color w:val="000000" w:themeColor="text1"/>
                <w14:textFill>
                  <w14:solidFill>
                    <w14:schemeClr w14:val="tx1"/>
                  </w14:solidFill>
                </w14:textFill>
              </w:rPr>
            </w:pPr>
          </w:p>
        </w:tc>
      </w:tr>
      <w:tr w14:paraId="70A794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54917C0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耕地</w:t>
            </w:r>
          </w:p>
        </w:tc>
        <w:tc>
          <w:tcPr>
            <w:tcW w:w="535" w:type="pct"/>
            <w:vAlign w:val="center"/>
          </w:tcPr>
          <w:p w14:paraId="5985441F">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112.5085</w:t>
            </w:r>
          </w:p>
        </w:tc>
        <w:tc>
          <w:tcPr>
            <w:tcW w:w="595" w:type="pct"/>
            <w:vAlign w:val="center"/>
          </w:tcPr>
          <w:p w14:paraId="09413460">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29.83%</w:t>
            </w:r>
          </w:p>
        </w:tc>
        <w:tc>
          <w:tcPr>
            <w:tcW w:w="536" w:type="pct"/>
            <w:vAlign w:val="center"/>
          </w:tcPr>
          <w:p w14:paraId="37E23BA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4.424</w:t>
            </w:r>
          </w:p>
        </w:tc>
        <w:tc>
          <w:tcPr>
            <w:tcW w:w="593" w:type="pct"/>
            <w:vAlign w:val="center"/>
          </w:tcPr>
          <w:p w14:paraId="2DDAE74D">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30.17%</w:t>
            </w:r>
          </w:p>
        </w:tc>
        <w:tc>
          <w:tcPr>
            <w:tcW w:w="793" w:type="pct"/>
            <w:noWrap/>
            <w:vAlign w:val="center"/>
          </w:tcPr>
          <w:p w14:paraId="1C14AB60">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108.0845</w:t>
            </w:r>
          </w:p>
        </w:tc>
        <w:tc>
          <w:tcPr>
            <w:tcW w:w="752" w:type="pct"/>
            <w:noWrap/>
            <w:vAlign w:val="center"/>
          </w:tcPr>
          <w:p w14:paraId="79593CBF">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28.66%</w:t>
            </w:r>
          </w:p>
        </w:tc>
        <w:tc>
          <w:tcPr>
            <w:tcW w:w="496" w:type="pct"/>
            <w:vAlign w:val="center"/>
          </w:tcPr>
          <w:p w14:paraId="63ACBBB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-4.424</w:t>
            </w:r>
          </w:p>
        </w:tc>
      </w:tr>
      <w:tr w14:paraId="134833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23DC56D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园地</w:t>
            </w:r>
          </w:p>
        </w:tc>
        <w:tc>
          <w:tcPr>
            <w:tcW w:w="535" w:type="pct"/>
            <w:vAlign w:val="center"/>
          </w:tcPr>
          <w:p w14:paraId="3CDAC9D0">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59.4357</w:t>
            </w:r>
          </w:p>
        </w:tc>
        <w:tc>
          <w:tcPr>
            <w:tcW w:w="595" w:type="pct"/>
            <w:vAlign w:val="center"/>
          </w:tcPr>
          <w:p w14:paraId="0B49441A">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15.76%</w:t>
            </w:r>
          </w:p>
        </w:tc>
        <w:tc>
          <w:tcPr>
            <w:tcW w:w="536" w:type="pct"/>
            <w:vAlign w:val="center"/>
          </w:tcPr>
          <w:p w14:paraId="5CB5F9FE">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2.6056</w:t>
            </w:r>
          </w:p>
        </w:tc>
        <w:tc>
          <w:tcPr>
            <w:tcW w:w="593" w:type="pct"/>
            <w:vAlign w:val="center"/>
          </w:tcPr>
          <w:p w14:paraId="577EDBC0">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17.77%</w:t>
            </w:r>
          </w:p>
        </w:tc>
        <w:tc>
          <w:tcPr>
            <w:tcW w:w="793" w:type="pct"/>
            <w:noWrap/>
            <w:vAlign w:val="center"/>
          </w:tcPr>
          <w:p w14:paraId="2174BB27">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56.8301</w:t>
            </w:r>
          </w:p>
        </w:tc>
        <w:tc>
          <w:tcPr>
            <w:tcW w:w="752" w:type="pct"/>
            <w:noWrap/>
            <w:vAlign w:val="center"/>
          </w:tcPr>
          <w:p w14:paraId="6DDF7429">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15.07%</w:t>
            </w:r>
          </w:p>
        </w:tc>
        <w:tc>
          <w:tcPr>
            <w:tcW w:w="496" w:type="pct"/>
            <w:vAlign w:val="center"/>
          </w:tcPr>
          <w:p w14:paraId="17C2F80D">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-2.6056</w:t>
            </w:r>
          </w:p>
        </w:tc>
      </w:tr>
      <w:tr w14:paraId="0B2FAF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061B9A0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林地</w:t>
            </w:r>
          </w:p>
        </w:tc>
        <w:tc>
          <w:tcPr>
            <w:tcW w:w="535" w:type="pct"/>
            <w:vAlign w:val="center"/>
          </w:tcPr>
          <w:p w14:paraId="57AD763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105.0668</w:t>
            </w:r>
          </w:p>
        </w:tc>
        <w:tc>
          <w:tcPr>
            <w:tcW w:w="595" w:type="pct"/>
            <w:vAlign w:val="center"/>
          </w:tcPr>
          <w:p w14:paraId="2D345D23">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27.86%</w:t>
            </w:r>
          </w:p>
        </w:tc>
        <w:tc>
          <w:tcPr>
            <w:tcW w:w="536" w:type="pct"/>
            <w:vAlign w:val="center"/>
          </w:tcPr>
          <w:p w14:paraId="70F16017">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4.487</w:t>
            </w:r>
          </w:p>
        </w:tc>
        <w:tc>
          <w:tcPr>
            <w:tcW w:w="593" w:type="pct"/>
            <w:vAlign w:val="center"/>
          </w:tcPr>
          <w:p w14:paraId="5D5EA61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30.60%</w:t>
            </w:r>
          </w:p>
        </w:tc>
        <w:tc>
          <w:tcPr>
            <w:tcW w:w="793" w:type="pct"/>
            <w:noWrap/>
            <w:vAlign w:val="center"/>
          </w:tcPr>
          <w:p w14:paraId="0B6CBB47">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100.5798</w:t>
            </w:r>
          </w:p>
        </w:tc>
        <w:tc>
          <w:tcPr>
            <w:tcW w:w="752" w:type="pct"/>
            <w:noWrap/>
            <w:vAlign w:val="center"/>
          </w:tcPr>
          <w:p w14:paraId="0C68A1E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26.67%</w:t>
            </w:r>
          </w:p>
        </w:tc>
        <w:tc>
          <w:tcPr>
            <w:tcW w:w="496" w:type="pct"/>
            <w:vAlign w:val="center"/>
          </w:tcPr>
          <w:p w14:paraId="64F1DCED">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-4.487</w:t>
            </w:r>
          </w:p>
        </w:tc>
      </w:tr>
      <w:tr w14:paraId="54D6857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1963791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草地</w:t>
            </w:r>
          </w:p>
        </w:tc>
        <w:tc>
          <w:tcPr>
            <w:tcW w:w="535" w:type="pct"/>
            <w:vAlign w:val="center"/>
          </w:tcPr>
          <w:p w14:paraId="007A13B4">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6.6057</w:t>
            </w:r>
          </w:p>
        </w:tc>
        <w:tc>
          <w:tcPr>
            <w:tcW w:w="595" w:type="pct"/>
            <w:vAlign w:val="center"/>
          </w:tcPr>
          <w:p w14:paraId="33E43CE7">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1.75%</w:t>
            </w:r>
          </w:p>
        </w:tc>
        <w:tc>
          <w:tcPr>
            <w:tcW w:w="536" w:type="pct"/>
            <w:vAlign w:val="center"/>
          </w:tcPr>
          <w:p w14:paraId="1EBAAB3E">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0.5844</w:t>
            </w:r>
          </w:p>
        </w:tc>
        <w:tc>
          <w:tcPr>
            <w:tcW w:w="593" w:type="pct"/>
            <w:vAlign w:val="center"/>
          </w:tcPr>
          <w:p w14:paraId="6DFA5F90">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3.99%</w:t>
            </w:r>
          </w:p>
        </w:tc>
        <w:tc>
          <w:tcPr>
            <w:tcW w:w="793" w:type="pct"/>
            <w:noWrap/>
            <w:vAlign w:val="center"/>
          </w:tcPr>
          <w:p w14:paraId="35099769">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6.0213</w:t>
            </w:r>
          </w:p>
        </w:tc>
        <w:tc>
          <w:tcPr>
            <w:tcW w:w="752" w:type="pct"/>
            <w:noWrap/>
            <w:vAlign w:val="center"/>
          </w:tcPr>
          <w:p w14:paraId="7EEEF72B">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1.60%</w:t>
            </w:r>
          </w:p>
        </w:tc>
        <w:tc>
          <w:tcPr>
            <w:tcW w:w="496" w:type="pct"/>
            <w:vAlign w:val="center"/>
          </w:tcPr>
          <w:p w14:paraId="683FB172">
            <w:pPr>
              <w:pStyle w:val="105"/>
              <w:jc w:val="center"/>
              <w:rPr>
                <w:rFonts w:cs="Times New Roman"/>
                <w:color w:val="000000" w:themeColor="text1"/>
                <w:szCs w:val="21"/>
                <w14:textFill>
                  <w14:solidFill>
                    <w14:schemeClr w14:val="tx1"/>
                  </w14:solidFill>
                </w14:textFill>
              </w:rPr>
            </w:pPr>
            <w:r>
              <w:rPr>
                <w:rFonts w:cs="Times New Roman"/>
                <w:color w:val="000000" w:themeColor="text1"/>
                <w:szCs w:val="21"/>
                <w14:textFill>
                  <w14:solidFill>
                    <w14:schemeClr w14:val="tx1"/>
                  </w14:solidFill>
                </w14:textFill>
              </w:rPr>
              <w:t>-0.5844</w:t>
            </w:r>
          </w:p>
        </w:tc>
      </w:tr>
      <w:tr w14:paraId="3295B2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285FA4D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其他农用地</w:t>
            </w:r>
          </w:p>
        </w:tc>
        <w:tc>
          <w:tcPr>
            <w:tcW w:w="535" w:type="pct"/>
            <w:vAlign w:val="center"/>
          </w:tcPr>
          <w:p w14:paraId="607BFBD3">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31.6938</w:t>
            </w:r>
          </w:p>
        </w:tc>
        <w:tc>
          <w:tcPr>
            <w:tcW w:w="595" w:type="pct"/>
            <w:vAlign w:val="center"/>
          </w:tcPr>
          <w:p w14:paraId="4F7BF5DB">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8.40%</w:t>
            </w:r>
          </w:p>
        </w:tc>
        <w:tc>
          <w:tcPr>
            <w:tcW w:w="536" w:type="pct"/>
            <w:vAlign w:val="center"/>
          </w:tcPr>
          <w:p w14:paraId="34B1E306">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1.052</w:t>
            </w:r>
          </w:p>
        </w:tc>
        <w:tc>
          <w:tcPr>
            <w:tcW w:w="593" w:type="pct"/>
            <w:vAlign w:val="center"/>
          </w:tcPr>
          <w:p w14:paraId="3F6C7C25">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7.18%</w:t>
            </w:r>
          </w:p>
        </w:tc>
        <w:tc>
          <w:tcPr>
            <w:tcW w:w="793" w:type="pct"/>
            <w:noWrap/>
            <w:vAlign w:val="center"/>
          </w:tcPr>
          <w:p w14:paraId="6116D514">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30.6418</w:t>
            </w:r>
          </w:p>
        </w:tc>
        <w:tc>
          <w:tcPr>
            <w:tcW w:w="752" w:type="pct"/>
            <w:noWrap/>
            <w:vAlign w:val="center"/>
          </w:tcPr>
          <w:p w14:paraId="76717F1F">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8.12%</w:t>
            </w:r>
          </w:p>
        </w:tc>
        <w:tc>
          <w:tcPr>
            <w:tcW w:w="496" w:type="pct"/>
            <w:vAlign w:val="center"/>
          </w:tcPr>
          <w:p w14:paraId="5BBA7DC7">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-1.052</w:t>
            </w:r>
          </w:p>
        </w:tc>
      </w:tr>
      <w:tr w14:paraId="1C4253E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6B2D321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建设用地</w:t>
            </w:r>
          </w:p>
        </w:tc>
        <w:tc>
          <w:tcPr>
            <w:tcW w:w="535" w:type="pct"/>
            <w:vAlign w:val="center"/>
          </w:tcPr>
          <w:p w14:paraId="6E48C6EA">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49.2666</w:t>
            </w:r>
          </w:p>
        </w:tc>
        <w:tc>
          <w:tcPr>
            <w:tcW w:w="595" w:type="pct"/>
            <w:vAlign w:val="center"/>
          </w:tcPr>
          <w:p w14:paraId="175C0F27">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13.06%</w:t>
            </w:r>
          </w:p>
        </w:tc>
        <w:tc>
          <w:tcPr>
            <w:tcW w:w="536" w:type="pct"/>
            <w:vAlign w:val="center"/>
          </w:tcPr>
          <w:p w14:paraId="6547015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0.6581</w:t>
            </w:r>
          </w:p>
        </w:tc>
        <w:tc>
          <w:tcPr>
            <w:tcW w:w="593" w:type="pct"/>
            <w:vAlign w:val="center"/>
          </w:tcPr>
          <w:p w14:paraId="35413BAD">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4.49%</w:t>
            </w:r>
          </w:p>
        </w:tc>
        <w:tc>
          <w:tcPr>
            <w:tcW w:w="793" w:type="pct"/>
            <w:noWrap/>
            <w:vAlign w:val="center"/>
          </w:tcPr>
          <w:p w14:paraId="0CA02A8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63.2703</w:t>
            </w:r>
          </w:p>
        </w:tc>
        <w:tc>
          <w:tcPr>
            <w:tcW w:w="752" w:type="pct"/>
            <w:noWrap/>
            <w:vAlign w:val="center"/>
          </w:tcPr>
          <w:p w14:paraId="1A4C96D7">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16.78%</w:t>
            </w:r>
          </w:p>
        </w:tc>
        <w:tc>
          <w:tcPr>
            <w:tcW w:w="496" w:type="pct"/>
            <w:vAlign w:val="center"/>
          </w:tcPr>
          <w:p w14:paraId="19135A10">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14.0037</w:t>
            </w:r>
          </w:p>
        </w:tc>
      </w:tr>
      <w:tr w14:paraId="49F1671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7DBBEE4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未利用地</w:t>
            </w:r>
          </w:p>
        </w:tc>
        <w:tc>
          <w:tcPr>
            <w:tcW w:w="535" w:type="pct"/>
            <w:vAlign w:val="center"/>
          </w:tcPr>
          <w:p w14:paraId="4103B3EA">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12.56</w:t>
            </w:r>
          </w:p>
        </w:tc>
        <w:tc>
          <w:tcPr>
            <w:tcW w:w="595" w:type="pct"/>
            <w:vAlign w:val="center"/>
          </w:tcPr>
          <w:p w14:paraId="7C923C7B">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3.33%</w:t>
            </w:r>
          </w:p>
        </w:tc>
        <w:tc>
          <w:tcPr>
            <w:tcW w:w="536" w:type="pct"/>
            <w:vAlign w:val="center"/>
          </w:tcPr>
          <w:p w14:paraId="6B3B505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0.8507</w:t>
            </w:r>
          </w:p>
        </w:tc>
        <w:tc>
          <w:tcPr>
            <w:tcW w:w="593" w:type="pct"/>
            <w:vAlign w:val="center"/>
          </w:tcPr>
          <w:p w14:paraId="07536744">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5.80%</w:t>
            </w:r>
          </w:p>
        </w:tc>
        <w:tc>
          <w:tcPr>
            <w:tcW w:w="793" w:type="pct"/>
            <w:noWrap/>
            <w:vAlign w:val="center"/>
          </w:tcPr>
          <w:p w14:paraId="5658DE18">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11.7093</w:t>
            </w:r>
          </w:p>
        </w:tc>
        <w:tc>
          <w:tcPr>
            <w:tcW w:w="752" w:type="pct"/>
            <w:noWrap/>
            <w:vAlign w:val="center"/>
          </w:tcPr>
          <w:p w14:paraId="6FA6BA09">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3.10%</w:t>
            </w:r>
          </w:p>
        </w:tc>
        <w:tc>
          <w:tcPr>
            <w:tcW w:w="496" w:type="pct"/>
            <w:vAlign w:val="center"/>
          </w:tcPr>
          <w:p w14:paraId="574D705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-0.8507</w:t>
            </w:r>
          </w:p>
        </w:tc>
      </w:tr>
      <w:tr w14:paraId="108B92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5" w:hRule="atLeast"/>
          <w:tblHeader/>
          <w:jc w:val="center"/>
        </w:trPr>
        <w:tc>
          <w:tcPr>
            <w:tcW w:w="700" w:type="pct"/>
            <w:noWrap/>
            <w:vAlign w:val="center"/>
          </w:tcPr>
          <w:p w14:paraId="613C8E1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535" w:type="pct"/>
            <w:vAlign w:val="center"/>
          </w:tcPr>
          <w:p w14:paraId="52498D79">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377.1371</w:t>
            </w:r>
          </w:p>
        </w:tc>
        <w:tc>
          <w:tcPr>
            <w:tcW w:w="595" w:type="pct"/>
            <w:vAlign w:val="center"/>
          </w:tcPr>
          <w:p w14:paraId="7E55F71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100.00%</w:t>
            </w:r>
          </w:p>
        </w:tc>
        <w:tc>
          <w:tcPr>
            <w:tcW w:w="536" w:type="pct"/>
            <w:vAlign w:val="center"/>
          </w:tcPr>
          <w:p w14:paraId="0025BBDA">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14.6618</w:t>
            </w:r>
          </w:p>
        </w:tc>
        <w:tc>
          <w:tcPr>
            <w:tcW w:w="593" w:type="pct"/>
            <w:vAlign w:val="center"/>
          </w:tcPr>
          <w:p w14:paraId="56BAA9EE">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100.00%</w:t>
            </w:r>
          </w:p>
        </w:tc>
        <w:tc>
          <w:tcPr>
            <w:tcW w:w="793" w:type="pct"/>
            <w:noWrap/>
            <w:vAlign w:val="center"/>
          </w:tcPr>
          <w:p w14:paraId="32ABA61A">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377.1371</w:t>
            </w:r>
          </w:p>
        </w:tc>
        <w:tc>
          <w:tcPr>
            <w:tcW w:w="752" w:type="pct"/>
            <w:noWrap/>
            <w:vAlign w:val="center"/>
          </w:tcPr>
          <w:p w14:paraId="04EFCDD0">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100.00%</w:t>
            </w:r>
          </w:p>
        </w:tc>
        <w:tc>
          <w:tcPr>
            <w:tcW w:w="496" w:type="pct"/>
            <w:vAlign w:val="center"/>
          </w:tcPr>
          <w:p w14:paraId="09139645">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w:t>
            </w:r>
          </w:p>
        </w:tc>
      </w:tr>
    </w:tbl>
    <w:p w14:paraId="30183BED">
      <w:pPr>
        <w:pStyle w:val="851"/>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从表中可以看出，工程永久占地中，林地占</w:t>
      </w:r>
      <w:r>
        <w:rPr>
          <w:color w:val="000000" w:themeColor="text1"/>
          <w14:textFill>
            <w14:solidFill>
              <w14:schemeClr w14:val="tx1"/>
            </w14:solidFill>
          </w14:textFill>
        </w:rPr>
        <w:t>30.60%</w:t>
      </w:r>
      <w:r>
        <w:rPr>
          <w:rFonts w:hint="eastAsia"/>
          <w:color w:val="000000" w:themeColor="text1"/>
          <w14:textFill>
            <w14:solidFill>
              <w14:schemeClr w14:val="tx1"/>
            </w14:solidFill>
          </w14:textFill>
        </w:rPr>
        <w:t>、耕地占</w:t>
      </w:r>
      <w:r>
        <w:rPr>
          <w:color w:val="000000" w:themeColor="text1"/>
          <w14:textFill>
            <w14:solidFill>
              <w14:schemeClr w14:val="tx1"/>
            </w14:solidFill>
          </w14:textFill>
        </w:rPr>
        <w:t>30.17%</w:t>
      </w:r>
      <w:r>
        <w:rPr>
          <w:rFonts w:hint="eastAsia"/>
          <w:color w:val="000000" w:themeColor="text1"/>
          <w14:textFill>
            <w14:solidFill>
              <w14:schemeClr w14:val="tx1"/>
            </w14:solidFill>
          </w14:textFill>
        </w:rPr>
        <w:t>、园地占</w:t>
      </w:r>
      <w:r>
        <w:rPr>
          <w:color w:val="000000" w:themeColor="text1"/>
          <w14:textFill>
            <w14:solidFill>
              <w14:schemeClr w14:val="tx1"/>
            </w14:solidFill>
          </w14:textFill>
        </w:rPr>
        <w:t>17.77%</w:t>
      </w:r>
      <w:r>
        <w:rPr>
          <w:rFonts w:hint="eastAsia"/>
          <w:color w:val="000000" w:themeColor="text1"/>
          <w14:textFill>
            <w14:solidFill>
              <w14:schemeClr w14:val="tx1"/>
            </w14:solidFill>
          </w14:textFill>
        </w:rPr>
        <w:t>，是拟建工程永久占用面积最多的土地类型，永久性的占压土地将丧失其原有的土地功能，占用林地将破坏地表植被改变土壤理化性质，占用耕地和园地将对沿线的土地生产力产生一定的影响。工程永久占地涉及部分建筑物的占用，以及耕地、生态公益林占用，对于占用的耕地将通过“占补平衡”予以补偿，对于生态公益林建设单位应及时办理征用林地的相关手续，并由用地单位依照国务院有关规定缴纳森林植被恢复费。</w:t>
      </w:r>
    </w:p>
    <w:p w14:paraId="1DB0EE6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总的来看，拟建公路主体工程占用的各类土地面积占直接影响区相应地类总量的比例都较小，因此，项目建设不会导致福清市土地利用结构发生重大改变。</w:t>
      </w:r>
    </w:p>
    <w:p w14:paraId="2E3086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）工程施工临时占地的影响分析</w:t>
      </w:r>
    </w:p>
    <w:p w14:paraId="163423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本项目施工期拟设置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施工场地，</w:t>
      </w:r>
      <w:r>
        <w:rPr>
          <w:color w:val="000000" w:themeColor="text1"/>
          <w14:textFill>
            <w14:solidFill>
              <w14:schemeClr w14:val="tx1"/>
            </w14:solidFill>
          </w14:textFill>
        </w:rPr>
        <w:t>3表土堆场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设置2</w:t>
      </w:r>
      <w:r>
        <w:rPr>
          <w:rFonts w:hint="eastAsia"/>
          <w:color w:val="000000" w:themeColor="text1"/>
          <w14:textFill>
            <w14:solidFill>
              <w14:schemeClr w14:val="tx1"/>
            </w14:solidFill>
          </w14:textFill>
        </w:rPr>
        <w:t>条</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便道（拓宽）。其中施工场地新增占地1</w:t>
      </w:r>
      <w:r>
        <w:rPr>
          <w:color w:val="000000" w:themeColor="text1"/>
          <w14:textFill>
            <w14:solidFill>
              <w14:schemeClr w14:val="tx1"/>
            </w14:solidFill>
          </w14:textFill>
        </w:rPr>
        <w:t>.05</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，施工便道新增占地0</w:t>
      </w:r>
      <w:r>
        <w:rPr>
          <w:color w:val="000000" w:themeColor="text1"/>
          <w14:textFill>
            <w14:solidFill>
              <w14:schemeClr w14:val="tx1"/>
            </w14:solidFill>
          </w14:textFill>
        </w:rPr>
        <w:t>.085hm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，临时表土堆场新增占地0</w:t>
      </w:r>
      <w:r>
        <w:rPr>
          <w:color w:val="000000" w:themeColor="text1"/>
          <w14:textFill>
            <w14:solidFill>
              <w14:schemeClr w14:val="tx1"/>
            </w14:solidFill>
          </w14:textFill>
        </w:rPr>
        <w:t>.91</w:t>
      </w:r>
      <w:r>
        <w:rPr>
          <w:rFonts w:hint="eastAsia"/>
          <w:bCs/>
          <w:color w:val="000000" w:themeColor="text1"/>
          <w:szCs w:val="21"/>
          <w14:textFill>
            <w14:solidFill>
              <w14:schemeClr w14:val="tx1"/>
            </w14:solidFill>
          </w14:textFill>
        </w:rPr>
        <w:t>hm</w:t>
      </w:r>
      <w:r>
        <w:rPr>
          <w:bCs/>
          <w:color w:val="000000" w:themeColor="text1"/>
          <w:szCs w:val="21"/>
          <w:vertAlign w:val="superscript"/>
          <w14:textFill>
            <w14:solidFill>
              <w14:schemeClr w14:val="tx1"/>
            </w14:solidFill>
          </w14:textFill>
        </w:rPr>
        <w:t>2</w:t>
      </w:r>
      <w:r>
        <w:rPr>
          <w:rFonts w:hint="eastAsia"/>
          <w:color w:val="000000" w:themeColor="text1"/>
          <w14:textFill>
            <w14:solidFill>
              <w14:schemeClr w14:val="tx1"/>
            </w14:solidFill>
          </w14:textFill>
        </w:rPr>
        <w:t>，共计</w:t>
      </w:r>
      <w:r>
        <w:rPr>
          <w:color w:val="000000" w:themeColor="text1"/>
          <w:spacing w:val="-7"/>
          <w14:textFill>
            <w14:solidFill>
              <w14:schemeClr w14:val="tx1"/>
            </w14:solidFill>
          </w14:textFill>
        </w:rPr>
        <w:t>2.045</w:t>
      </w:r>
      <w:r>
        <w:rPr>
          <w:color w:val="000000" w:themeColor="text1"/>
          <w:spacing w:val="-6"/>
          <w14:textFill>
            <w14:solidFill>
              <w14:schemeClr w14:val="tx1"/>
            </w14:solidFill>
          </w14:textFill>
        </w:rPr>
        <w:t>hm²</w:t>
      </w:r>
      <w:r>
        <w:rPr>
          <w:rFonts w:hint="eastAsia"/>
          <w:bCs/>
          <w:color w:val="000000" w:themeColor="text1"/>
          <w:szCs w:val="21"/>
          <w14:textFill>
            <w14:solidFill>
              <w14:schemeClr w14:val="tx1"/>
            </w14:solidFill>
          </w14:textFill>
        </w:rPr>
        <w:t>，</w:t>
      </w:r>
      <w:r>
        <w:rPr>
          <w:rFonts w:hint="eastAsia"/>
          <w:color w:val="000000" w:themeColor="text1"/>
          <w14:textFill>
            <w14:solidFill>
              <w14:schemeClr w14:val="tx1"/>
            </w14:solidFill>
          </w14:textFill>
        </w:rPr>
        <w:t>临时占用类型为林地、草地、园地和耕地。临时工程占地对生态环境的影响主要是运输车辆和建筑材料的堆放，造成局部土地生态功能的降低，并且导致占地范围及周边植物生长不良，临时占地可使生物量减少，同时植被覆盖率也随之减少。由于临时工程占地面积较少，其对区域生物量的影响并不明显，对系统功能与稳定性的影响也较小。</w:t>
      </w:r>
    </w:p>
    <w:p w14:paraId="54E7B3A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综上，临时性工程占地短期内将影响沿线土地的利用状况，施工结束后，随着生态补偿或生态恢复措施的实施，这一影响将逐渐减小或消失。</w:t>
      </w:r>
      <w:r>
        <w:rPr>
          <w:color w:val="000000" w:themeColor="text1"/>
          <w14:textFill>
            <w14:solidFill>
              <w14:schemeClr w14:val="tx1"/>
            </w14:solidFill>
          </w14:textFill>
        </w:rPr>
        <w:t>为减小</w:t>
      </w:r>
      <w:r>
        <w:rPr>
          <w:rFonts w:hint="eastAsia"/>
          <w:color w:val="000000" w:themeColor="text1"/>
          <w14:textFill>
            <w14:solidFill>
              <w14:schemeClr w14:val="tx1"/>
            </w14:solidFill>
          </w14:textFill>
        </w:rPr>
        <w:t>临时占地</w:t>
      </w:r>
      <w:r>
        <w:rPr>
          <w:color w:val="000000" w:themeColor="text1"/>
          <w14:textFill>
            <w14:solidFill>
              <w14:schemeClr w14:val="tx1"/>
            </w14:solidFill>
          </w14:textFill>
        </w:rPr>
        <w:t>的影响，</w:t>
      </w:r>
      <w:r>
        <w:rPr>
          <w:rFonts w:hint="eastAsia"/>
          <w:color w:val="000000" w:themeColor="text1"/>
          <w14:textFill>
            <w14:solidFill>
              <w14:schemeClr w14:val="tx1"/>
            </w14:solidFill>
          </w14:textFill>
        </w:rPr>
        <w:t>在施工建设过程</w:t>
      </w:r>
      <w:bookmarkStart w:id="634" w:name="hmcheck_485f2e740e3c43d98476f1242205efde"/>
      <w:r>
        <w:rPr>
          <w:rFonts w:hint="eastAsia"/>
          <w:color w:val="000000" w:themeColor="text1"/>
          <w:shd w:val="clear" w:fill="FFAFAA"/>
          <w14:textFill>
            <w14:solidFill>
              <w14:schemeClr w14:val="tx1"/>
            </w14:solidFill>
          </w14:textFill>
        </w:rPr>
        <w:t>中应高度重视</w:t>
      </w:r>
      <w:bookmarkEnd w:id="634"/>
      <w:r>
        <w:rPr>
          <w:rFonts w:hint="eastAsia"/>
          <w:color w:val="000000" w:themeColor="text1"/>
          <w14:textFill>
            <w14:solidFill>
              <w14:schemeClr w14:val="tx1"/>
            </w14:solidFill>
          </w14:textFill>
        </w:rPr>
        <w:t>工程占地问题，优化施工方案，施工期临时占地尽可能控制在本项目征地范围内，严控施工用地红线，减少不合理的用地，尽可能地节约耕地和少占用林地，减少工程占地对生态环境的影响。总体而言，施工期的临时占地是短期的、临时的，只要在工程施工中采取相应的植被保护措施，做好占地补偿工作及施工结束后的植被恢复工作，其影响是可以接受的。</w:t>
      </w:r>
    </w:p>
    <w:p w14:paraId="7A53EA83">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对生态系统稳定性和结构完整性的影响</w:t>
      </w:r>
    </w:p>
    <w:p w14:paraId="026380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根据现状调查结果， 在本次评价范围内，生态系统主要类型为森林生态系统、农业生态系统，其次为城镇生态系统，森林生态系统是区域背景化的生态系统类型。区域森林生态系统主要功能为城镇生态环境和水土保持。虽然主体工程占地中林地所占比最大，但林地生态系统被拟建公路切割后，其斑块数量随生态系统被切割并没有明显增加的趋势，说明公路的建设基本上不会对林地生态系统的结构完整性产生影响。而且，林地中湿地松、相思树、桉树等的优势度值相对较高，作为林地生态系统的控制性组分，其具有较强的阻抗能力和受到干扰后的恢复能力，因此，公路的建设亦不会对林地生态系统的稳定性产生影响。</w:t>
      </w:r>
    </w:p>
    <w:p w14:paraId="043230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农田生态系统是拟建公路评价范围内受影响最大的一种生态系统，但由于其本身是属于人类控制的生态系统，具有相对较高的稳定性。公路建设只会因占地而导致农田面积的减少，但不会对其生态稳定性和结构完整性产生影响。</w:t>
      </w:r>
    </w:p>
    <w:p w14:paraId="45D3C6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总之，公路建设并不会导致项目所在区域植被类型发生变化，生态环境的异质性没有发生大的改变。</w:t>
      </w:r>
    </w:p>
    <w:p w14:paraId="19A93491">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对植被的影响分析</w:t>
      </w:r>
    </w:p>
    <w:p w14:paraId="77913CE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评价区植被主要为针叶林、阔叶林和经济林，少部分灌丛植被，项目建设会导致项目占地的植被破坏，但这些物种均为区域常见种，其生长范围广，适应性强，不存在因局部植被占用挖损而导致植物种群消失或灭绝。</w:t>
      </w:r>
    </w:p>
    <w:p w14:paraId="4F564B77">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）工程占地对沿线植被生物量及生产力的影响</w:t>
      </w:r>
    </w:p>
    <w:p w14:paraId="44E38EB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拟建公路对沿线植被的影响采用生物量和净第一性生产力指标评价，该指标是评价植被变化的重要依据。各植被类型的生物量根据方精云《我国森林植被的生物量和净生产量》、李高飞《中国不同气候带各类型森林的生物量和净第一性生产力》等研究资料选取。工程建设完成后评价范围的植被类型面积和生物量、第一性生产力会发生变化，具体变化情况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_Ref149723527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表5.1-2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bookmarkStart w:id="635" w:name="_Ref146617447"/>
    </w:p>
    <w:p w14:paraId="47996FD6">
      <w:pPr>
        <w:pStyle w:val="87"/>
        <w:spacing w:before="163"/>
        <w:ind w:left="480" w:firstLine="480"/>
        <w:rPr>
          <w:color w:val="000000" w:themeColor="text1"/>
          <w14:textFill>
            <w14:solidFill>
              <w14:schemeClr w14:val="tx1"/>
            </w14:solidFill>
          </w14:textFill>
        </w:rPr>
      </w:pPr>
      <w:bookmarkStart w:id="636" w:name="_Ref149723527"/>
      <w:r>
        <w:rPr>
          <w:rFonts w:hint="eastAsia"/>
          <w:color w:val="000000" w:themeColor="text1"/>
          <w14:textFill>
            <w14:solidFill>
              <w14:schemeClr w14:val="tx1"/>
            </w14:solidFill>
          </w14:textFill>
        </w:rPr>
        <w:t>工程永久占地导致的植物生物量损失统计表</w:t>
      </w:r>
      <w:bookmarkEnd w:id="635"/>
      <w:bookmarkEnd w:id="636"/>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577"/>
        <w:gridCol w:w="1440"/>
        <w:gridCol w:w="1204"/>
        <w:gridCol w:w="1047"/>
        <w:gridCol w:w="869"/>
        <w:gridCol w:w="1047"/>
        <w:gridCol w:w="976"/>
        <w:gridCol w:w="1047"/>
        <w:gridCol w:w="863"/>
      </w:tblGrid>
      <w:tr w14:paraId="52D62F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318" w:type="pct"/>
            <w:vMerge w:val="restart"/>
            <w:vAlign w:val="center"/>
          </w:tcPr>
          <w:p w14:paraId="34CDE6A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占地</w:t>
            </w:r>
          </w:p>
          <w:p w14:paraId="6DFF6F7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类型</w:t>
            </w:r>
          </w:p>
        </w:tc>
        <w:tc>
          <w:tcPr>
            <w:tcW w:w="794" w:type="pct"/>
            <w:vMerge w:val="restart"/>
            <w:vAlign w:val="center"/>
          </w:tcPr>
          <w:p w14:paraId="2E642DB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植被</w:t>
            </w:r>
          </w:p>
          <w:p w14:paraId="6AE6CDF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类型</w:t>
            </w:r>
          </w:p>
        </w:tc>
        <w:tc>
          <w:tcPr>
            <w:tcW w:w="664" w:type="pct"/>
            <w:vMerge w:val="restart"/>
            <w:vAlign w:val="center"/>
          </w:tcPr>
          <w:p w14:paraId="1F2025B9">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平均</w:t>
            </w:r>
            <w:r>
              <w:rPr>
                <w:color w:val="000000" w:themeColor="text1"/>
                <w14:textFill>
                  <w14:solidFill>
                    <w14:schemeClr w14:val="tx1"/>
                  </w14:solidFill>
                </w14:textFill>
              </w:rPr>
              <w:t>生物量</w:t>
            </w:r>
          </w:p>
          <w:p w14:paraId="38B5C0C4">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t/hm</w:t>
            </w:r>
            <w:r>
              <w:rPr>
                <w:color w:val="000000" w:themeColor="text1"/>
                <w:vertAlign w:val="superscript"/>
                <w14:textFill>
                  <w14:solidFill>
                    <w14:schemeClr w14:val="tx1"/>
                  </w14:solidFill>
                </w14:textFill>
              </w:rPr>
              <w:t>2</w:t>
            </w:r>
            <w:r>
              <w:rPr>
                <w:rFonts w:hint="eastAsia"/>
                <w:color w:val="000000" w:themeColor="text1"/>
                <w:vertAlign w:val="superscript"/>
                <w14:textFill>
                  <w14:solidFill>
                    <w14:schemeClr w14:val="tx1"/>
                  </w14:solidFill>
                </w14:textFill>
              </w:rPr>
              <w:t>)</w:t>
            </w:r>
          </w:p>
        </w:tc>
        <w:tc>
          <w:tcPr>
            <w:tcW w:w="1056" w:type="pct"/>
            <w:gridSpan w:val="2"/>
            <w:vAlign w:val="center"/>
          </w:tcPr>
          <w:p w14:paraId="13ECB0B9">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评价范围</w:t>
            </w:r>
          </w:p>
        </w:tc>
        <w:tc>
          <w:tcPr>
            <w:tcW w:w="1115" w:type="pct"/>
            <w:gridSpan w:val="2"/>
            <w:vAlign w:val="center"/>
          </w:tcPr>
          <w:p w14:paraId="1CE5DB3E">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主体工程占地范围</w:t>
            </w:r>
          </w:p>
        </w:tc>
        <w:tc>
          <w:tcPr>
            <w:tcW w:w="1053" w:type="pct"/>
            <w:gridSpan w:val="2"/>
            <w:vAlign w:val="center"/>
          </w:tcPr>
          <w:p w14:paraId="57A867E8">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施工临时占地</w:t>
            </w:r>
          </w:p>
        </w:tc>
      </w:tr>
      <w:tr w14:paraId="7E28C2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318" w:type="pct"/>
            <w:vMerge w:val="continue"/>
            <w:vAlign w:val="center"/>
          </w:tcPr>
          <w:p w14:paraId="2D9957ED">
            <w:pPr>
              <w:pStyle w:val="105"/>
              <w:jc w:val="center"/>
              <w:rPr>
                <w:color w:val="000000" w:themeColor="text1"/>
                <w14:textFill>
                  <w14:solidFill>
                    <w14:schemeClr w14:val="tx1"/>
                  </w14:solidFill>
                </w14:textFill>
              </w:rPr>
            </w:pPr>
          </w:p>
        </w:tc>
        <w:tc>
          <w:tcPr>
            <w:tcW w:w="794" w:type="pct"/>
            <w:vMerge w:val="continue"/>
            <w:vAlign w:val="center"/>
          </w:tcPr>
          <w:p w14:paraId="06D9AFE8">
            <w:pPr>
              <w:pStyle w:val="105"/>
              <w:jc w:val="center"/>
              <w:rPr>
                <w:color w:val="000000" w:themeColor="text1"/>
                <w14:textFill>
                  <w14:solidFill>
                    <w14:schemeClr w14:val="tx1"/>
                  </w14:solidFill>
                </w14:textFill>
              </w:rPr>
            </w:pPr>
          </w:p>
        </w:tc>
        <w:tc>
          <w:tcPr>
            <w:tcW w:w="664" w:type="pct"/>
            <w:vMerge w:val="continue"/>
            <w:vAlign w:val="center"/>
          </w:tcPr>
          <w:p w14:paraId="2E80D739">
            <w:pPr>
              <w:pStyle w:val="105"/>
              <w:spacing w:after="0"/>
              <w:jc w:val="center"/>
              <w:rPr>
                <w:color w:val="000000" w:themeColor="text1"/>
                <w14:textFill>
                  <w14:solidFill>
                    <w14:schemeClr w14:val="tx1"/>
                  </w14:solidFill>
                </w14:textFill>
              </w:rPr>
            </w:pPr>
          </w:p>
        </w:tc>
        <w:tc>
          <w:tcPr>
            <w:tcW w:w="577" w:type="pct"/>
            <w:vAlign w:val="center"/>
          </w:tcPr>
          <w:p w14:paraId="52C98C71">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p w14:paraId="1E02D7D4">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vertAlign w:val="superscript"/>
                <w14:textFill>
                  <w14:solidFill>
                    <w14:schemeClr w14:val="tx1"/>
                  </w14:solidFill>
                </w14:textFill>
              </w:rPr>
              <w:t>)</w:t>
            </w:r>
          </w:p>
        </w:tc>
        <w:tc>
          <w:tcPr>
            <w:tcW w:w="479" w:type="pct"/>
            <w:vAlign w:val="center"/>
          </w:tcPr>
          <w:p w14:paraId="7AF2CC90">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生物量</w:t>
            </w:r>
          </w:p>
          <w:p w14:paraId="4FB6413E">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p>
        </w:tc>
        <w:tc>
          <w:tcPr>
            <w:tcW w:w="577" w:type="pct"/>
            <w:vAlign w:val="center"/>
          </w:tcPr>
          <w:p w14:paraId="0AEA537C">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p w14:paraId="05C384E5">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vertAlign w:val="superscript"/>
                <w14:textFill>
                  <w14:solidFill>
                    <w14:schemeClr w14:val="tx1"/>
                  </w14:solidFill>
                </w14:textFill>
              </w:rPr>
              <w:t>)</w:t>
            </w:r>
          </w:p>
        </w:tc>
        <w:tc>
          <w:tcPr>
            <w:tcW w:w="538" w:type="pct"/>
            <w:vAlign w:val="center"/>
          </w:tcPr>
          <w:p w14:paraId="6570287A">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生物量</w:t>
            </w:r>
          </w:p>
          <w:p w14:paraId="0A6A3824">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p>
        </w:tc>
        <w:tc>
          <w:tcPr>
            <w:tcW w:w="577" w:type="pct"/>
            <w:vAlign w:val="center"/>
          </w:tcPr>
          <w:p w14:paraId="5E3771D4">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面积</w:t>
            </w:r>
          </w:p>
          <w:p w14:paraId="4BFC562B">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vertAlign w:val="superscript"/>
                <w14:textFill>
                  <w14:solidFill>
                    <w14:schemeClr w14:val="tx1"/>
                  </w14:solidFill>
                </w14:textFill>
              </w:rPr>
              <w:t>)</w:t>
            </w:r>
          </w:p>
        </w:tc>
        <w:tc>
          <w:tcPr>
            <w:tcW w:w="476" w:type="pct"/>
            <w:vAlign w:val="center"/>
          </w:tcPr>
          <w:p w14:paraId="75691FF6">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生物量</w:t>
            </w:r>
          </w:p>
          <w:p w14:paraId="11D08DDF">
            <w:pPr>
              <w:pStyle w:val="105"/>
              <w:spacing w:after="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p>
        </w:tc>
      </w:tr>
      <w:tr w14:paraId="26C4FB0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318" w:type="pct"/>
            <w:vMerge w:val="restart"/>
            <w:vAlign w:val="center"/>
          </w:tcPr>
          <w:p w14:paraId="65D10D8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林地</w:t>
            </w:r>
          </w:p>
        </w:tc>
        <w:tc>
          <w:tcPr>
            <w:tcW w:w="794" w:type="pct"/>
            <w:vAlign w:val="center"/>
          </w:tcPr>
          <w:p w14:paraId="17840A9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针叶林</w:t>
            </w:r>
          </w:p>
        </w:tc>
        <w:tc>
          <w:tcPr>
            <w:tcW w:w="664" w:type="pct"/>
            <w:vAlign w:val="center"/>
          </w:tcPr>
          <w:p w14:paraId="6430248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87.2</w:t>
            </w:r>
          </w:p>
        </w:tc>
        <w:tc>
          <w:tcPr>
            <w:tcW w:w="577" w:type="pct"/>
            <w:vAlign w:val="center"/>
          </w:tcPr>
          <w:p w14:paraId="32795D3A">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58.7472</w:t>
            </w:r>
          </w:p>
        </w:tc>
        <w:tc>
          <w:tcPr>
            <w:tcW w:w="479" w:type="pct"/>
            <w:vAlign w:val="center"/>
          </w:tcPr>
          <w:p w14:paraId="7FE90B3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5122.76</w:t>
            </w:r>
          </w:p>
        </w:tc>
        <w:tc>
          <w:tcPr>
            <w:tcW w:w="577" w:type="pct"/>
            <w:vAlign w:val="center"/>
          </w:tcPr>
          <w:p w14:paraId="1128606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2.12</w:t>
            </w:r>
          </w:p>
        </w:tc>
        <w:tc>
          <w:tcPr>
            <w:tcW w:w="538" w:type="pct"/>
            <w:vAlign w:val="center"/>
          </w:tcPr>
          <w:p w14:paraId="387B95F5">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184.86</w:t>
            </w:r>
          </w:p>
        </w:tc>
        <w:tc>
          <w:tcPr>
            <w:tcW w:w="577" w:type="pct"/>
            <w:vAlign w:val="top"/>
          </w:tcPr>
          <w:p w14:paraId="1BACDB8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476" w:type="pct"/>
            <w:vAlign w:val="top"/>
          </w:tcPr>
          <w:p w14:paraId="17DDD99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F1BCA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318" w:type="pct"/>
            <w:vMerge w:val="continue"/>
            <w:vAlign w:val="center"/>
          </w:tcPr>
          <w:p w14:paraId="5D7D3083">
            <w:pPr>
              <w:pStyle w:val="105"/>
              <w:jc w:val="center"/>
              <w:rPr>
                <w:color w:val="000000" w:themeColor="text1"/>
                <w14:textFill>
                  <w14:solidFill>
                    <w14:schemeClr w14:val="tx1"/>
                  </w14:solidFill>
                </w14:textFill>
              </w:rPr>
            </w:pPr>
          </w:p>
        </w:tc>
        <w:tc>
          <w:tcPr>
            <w:tcW w:w="794" w:type="pct"/>
            <w:vAlign w:val="center"/>
          </w:tcPr>
          <w:p w14:paraId="2FBB0C4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阔叶林</w:t>
            </w:r>
          </w:p>
        </w:tc>
        <w:tc>
          <w:tcPr>
            <w:tcW w:w="664" w:type="pct"/>
            <w:vAlign w:val="center"/>
          </w:tcPr>
          <w:p w14:paraId="2A2C4319">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99.1</w:t>
            </w:r>
          </w:p>
        </w:tc>
        <w:tc>
          <w:tcPr>
            <w:tcW w:w="577" w:type="pct"/>
            <w:vAlign w:val="center"/>
          </w:tcPr>
          <w:p w14:paraId="52AAD415">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37.4243</w:t>
            </w:r>
          </w:p>
        </w:tc>
        <w:tc>
          <w:tcPr>
            <w:tcW w:w="479" w:type="pct"/>
            <w:vAlign w:val="center"/>
          </w:tcPr>
          <w:p w14:paraId="0C54916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3708.75</w:t>
            </w:r>
          </w:p>
        </w:tc>
        <w:tc>
          <w:tcPr>
            <w:tcW w:w="577" w:type="pct"/>
            <w:vAlign w:val="center"/>
          </w:tcPr>
          <w:p w14:paraId="4E08F1B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2.367</w:t>
            </w:r>
          </w:p>
        </w:tc>
        <w:tc>
          <w:tcPr>
            <w:tcW w:w="538" w:type="pct"/>
            <w:vAlign w:val="center"/>
          </w:tcPr>
          <w:p w14:paraId="1FC305A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234.57</w:t>
            </w:r>
          </w:p>
        </w:tc>
        <w:tc>
          <w:tcPr>
            <w:tcW w:w="577" w:type="pct"/>
            <w:vAlign w:val="center"/>
          </w:tcPr>
          <w:p w14:paraId="17AAD1AE">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0.35</w:t>
            </w:r>
          </w:p>
        </w:tc>
        <w:tc>
          <w:tcPr>
            <w:tcW w:w="476" w:type="pct"/>
            <w:vAlign w:val="center"/>
          </w:tcPr>
          <w:p w14:paraId="3FBE8E8B">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34.69</w:t>
            </w:r>
          </w:p>
        </w:tc>
      </w:tr>
      <w:tr w14:paraId="7A2166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318" w:type="pct"/>
            <w:vMerge w:val="continue"/>
            <w:vAlign w:val="center"/>
          </w:tcPr>
          <w:p w14:paraId="58D64668">
            <w:pPr>
              <w:pStyle w:val="105"/>
              <w:jc w:val="center"/>
              <w:rPr>
                <w:color w:val="000000" w:themeColor="text1"/>
                <w14:textFill>
                  <w14:solidFill>
                    <w14:schemeClr w14:val="tx1"/>
                  </w14:solidFill>
                </w14:textFill>
              </w:rPr>
            </w:pPr>
          </w:p>
        </w:tc>
        <w:tc>
          <w:tcPr>
            <w:tcW w:w="794" w:type="pct"/>
            <w:vAlign w:val="center"/>
          </w:tcPr>
          <w:p w14:paraId="40FF8F3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灌草丛</w:t>
            </w:r>
          </w:p>
        </w:tc>
        <w:tc>
          <w:tcPr>
            <w:tcW w:w="664" w:type="pct"/>
            <w:vAlign w:val="center"/>
          </w:tcPr>
          <w:p w14:paraId="49637280">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19.8</w:t>
            </w:r>
          </w:p>
        </w:tc>
        <w:tc>
          <w:tcPr>
            <w:tcW w:w="577" w:type="pct"/>
            <w:vAlign w:val="center"/>
          </w:tcPr>
          <w:p w14:paraId="659337CB">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15.6762</w:t>
            </w:r>
          </w:p>
        </w:tc>
        <w:tc>
          <w:tcPr>
            <w:tcW w:w="479" w:type="pct"/>
            <w:vAlign w:val="center"/>
          </w:tcPr>
          <w:p w14:paraId="689E569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310.39</w:t>
            </w:r>
          </w:p>
        </w:tc>
        <w:tc>
          <w:tcPr>
            <w:tcW w:w="577" w:type="pct"/>
            <w:vAlign w:val="center"/>
          </w:tcPr>
          <w:p w14:paraId="0D1EB1A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0.5844</w:t>
            </w:r>
          </w:p>
        </w:tc>
        <w:tc>
          <w:tcPr>
            <w:tcW w:w="538" w:type="pct"/>
            <w:vAlign w:val="center"/>
          </w:tcPr>
          <w:p w14:paraId="036FDE48">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11.57</w:t>
            </w:r>
          </w:p>
        </w:tc>
        <w:tc>
          <w:tcPr>
            <w:tcW w:w="577" w:type="pct"/>
            <w:vAlign w:val="center"/>
          </w:tcPr>
          <w:p w14:paraId="5D36D19F">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0.7</w:t>
            </w:r>
          </w:p>
        </w:tc>
        <w:tc>
          <w:tcPr>
            <w:tcW w:w="476" w:type="pct"/>
            <w:vAlign w:val="center"/>
          </w:tcPr>
          <w:p w14:paraId="602F890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13.86</w:t>
            </w:r>
          </w:p>
        </w:tc>
      </w:tr>
      <w:tr w14:paraId="1FF570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318" w:type="pct"/>
            <w:vAlign w:val="center"/>
          </w:tcPr>
          <w:p w14:paraId="520CD2E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园地</w:t>
            </w:r>
          </w:p>
        </w:tc>
        <w:tc>
          <w:tcPr>
            <w:tcW w:w="794" w:type="pct"/>
            <w:vAlign w:val="center"/>
          </w:tcPr>
          <w:p w14:paraId="69F60C5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经济林</w:t>
            </w:r>
            <w:r>
              <w:rPr>
                <w:rFonts w:hint="eastAsia"/>
                <w:color w:val="000000" w:themeColor="text1"/>
                <w14:textFill>
                  <w14:solidFill>
                    <w14:schemeClr w14:val="tx1"/>
                  </w14:solidFill>
                </w14:textFill>
              </w:rPr>
              <w:t>（龙眼林）</w:t>
            </w:r>
          </w:p>
        </w:tc>
        <w:tc>
          <w:tcPr>
            <w:tcW w:w="664" w:type="pct"/>
            <w:vAlign w:val="center"/>
          </w:tcPr>
          <w:p w14:paraId="704E53E5">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92.4</w:t>
            </w:r>
          </w:p>
        </w:tc>
        <w:tc>
          <w:tcPr>
            <w:tcW w:w="577" w:type="pct"/>
            <w:vAlign w:val="center"/>
          </w:tcPr>
          <w:p w14:paraId="4E5C0F62">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32.6457</w:t>
            </w:r>
          </w:p>
        </w:tc>
        <w:tc>
          <w:tcPr>
            <w:tcW w:w="479" w:type="pct"/>
            <w:vAlign w:val="center"/>
          </w:tcPr>
          <w:p w14:paraId="655C6CB4">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3016.46</w:t>
            </w:r>
          </w:p>
        </w:tc>
        <w:tc>
          <w:tcPr>
            <w:tcW w:w="577" w:type="pct"/>
            <w:vAlign w:val="center"/>
          </w:tcPr>
          <w:p w14:paraId="58B44F9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2.6056</w:t>
            </w:r>
          </w:p>
        </w:tc>
        <w:tc>
          <w:tcPr>
            <w:tcW w:w="538" w:type="pct"/>
            <w:vAlign w:val="center"/>
          </w:tcPr>
          <w:p w14:paraId="499F268C">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240.76</w:t>
            </w:r>
          </w:p>
        </w:tc>
        <w:tc>
          <w:tcPr>
            <w:tcW w:w="577" w:type="pct"/>
            <w:vAlign w:val="center"/>
          </w:tcPr>
          <w:p w14:paraId="5F790D2B">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0.52</w:t>
            </w:r>
          </w:p>
        </w:tc>
        <w:tc>
          <w:tcPr>
            <w:tcW w:w="476" w:type="pct"/>
            <w:vAlign w:val="center"/>
          </w:tcPr>
          <w:p w14:paraId="6D17CDD9">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48.05</w:t>
            </w:r>
          </w:p>
        </w:tc>
      </w:tr>
      <w:tr w14:paraId="4F26DED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1112" w:type="pct"/>
            <w:gridSpan w:val="2"/>
            <w:vAlign w:val="center"/>
          </w:tcPr>
          <w:p w14:paraId="56D9847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664" w:type="pct"/>
            <w:vAlign w:val="center"/>
          </w:tcPr>
          <w:p w14:paraId="21A512A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577" w:type="pct"/>
            <w:vAlign w:val="center"/>
          </w:tcPr>
          <w:p w14:paraId="647E6AA5">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144.4934</w:t>
            </w:r>
          </w:p>
        </w:tc>
        <w:tc>
          <w:tcPr>
            <w:tcW w:w="479" w:type="pct"/>
            <w:vAlign w:val="center"/>
          </w:tcPr>
          <w:p w14:paraId="72B86DD7">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12158.36</w:t>
            </w:r>
          </w:p>
        </w:tc>
        <w:tc>
          <w:tcPr>
            <w:tcW w:w="577" w:type="pct"/>
            <w:vAlign w:val="center"/>
          </w:tcPr>
          <w:p w14:paraId="221F49BE">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7.677</w:t>
            </w:r>
          </w:p>
        </w:tc>
        <w:tc>
          <w:tcPr>
            <w:tcW w:w="538" w:type="pct"/>
            <w:vAlign w:val="center"/>
          </w:tcPr>
          <w:p w14:paraId="4FA8498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671.76</w:t>
            </w:r>
          </w:p>
        </w:tc>
        <w:tc>
          <w:tcPr>
            <w:tcW w:w="577" w:type="pct"/>
            <w:vAlign w:val="center"/>
          </w:tcPr>
          <w:p w14:paraId="72A12796">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1.57</w:t>
            </w:r>
          </w:p>
        </w:tc>
        <w:tc>
          <w:tcPr>
            <w:tcW w:w="476" w:type="pct"/>
            <w:vAlign w:val="center"/>
          </w:tcPr>
          <w:p w14:paraId="6FFAC888">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96.59</w:t>
            </w:r>
          </w:p>
        </w:tc>
      </w:tr>
    </w:tbl>
    <w:p w14:paraId="15419571">
      <w:pPr>
        <w:pStyle w:val="124"/>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由</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_Ref149723527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表5.1-2</w:t>
      </w:r>
      <w:r>
        <w:rPr>
          <w:color w:val="000000" w:themeColor="text1"/>
          <w14:textFill>
            <w14:solidFill>
              <w14:schemeClr w14:val="tx1"/>
            </w14:solidFill>
          </w14:textFill>
        </w:rPr>
        <w:fldChar w:fldCharType="end"/>
      </w:r>
      <w:bookmarkStart w:id="637" w:name="hmcheck_e8636030401a4a8eb8f1701dcb6592c5"/>
      <w:r>
        <w:rPr>
          <w:rFonts w:hint="eastAsia"/>
          <w:color w:val="000000" w:themeColor="text1"/>
          <w:shd w:val="clear" w:fill="FFAFAA"/>
          <w14:textFill>
            <w14:solidFill>
              <w14:schemeClr w14:val="tx1"/>
            </w14:solidFill>
          </w14:textFill>
        </w:rPr>
        <w:t>的</w:t>
      </w:r>
      <w:bookmarkEnd w:id="637"/>
      <w:r>
        <w:rPr>
          <w:rFonts w:hint="eastAsia"/>
          <w:color w:val="000000" w:themeColor="text1"/>
          <w14:textFill>
            <w14:solidFill>
              <w14:schemeClr w14:val="tx1"/>
            </w14:solidFill>
          </w14:textFill>
        </w:rPr>
        <w:t>计算结果可以看出，沿线主体工程占地导致植物生物量损失约</w:t>
      </w:r>
      <w:r>
        <w:rPr>
          <w:color w:val="000000" w:themeColor="text1"/>
          <w14:textFill>
            <w14:solidFill>
              <w14:schemeClr w14:val="tx1"/>
            </w14:solidFill>
          </w14:textFill>
        </w:rPr>
        <w:t>671.76</w:t>
      </w:r>
      <w:r>
        <w:rPr>
          <w:rFonts w:hint="eastAsia"/>
          <w:color w:val="000000" w:themeColor="text1"/>
          <w14:textFill>
            <w14:solidFill>
              <w14:schemeClr w14:val="tx1"/>
            </w14:solidFill>
          </w14:textFill>
        </w:rPr>
        <w:t>t，施工临时占地导致林地的生物量为</w:t>
      </w:r>
      <w:r>
        <w:rPr>
          <w:color w:val="000000" w:themeColor="text1"/>
          <w14:textFill>
            <w14:solidFill>
              <w14:schemeClr w14:val="tx1"/>
            </w14:solidFill>
          </w14:textFill>
        </w:rPr>
        <w:t>96.59</w:t>
      </w:r>
      <w:r>
        <w:rPr>
          <w:rFonts w:hint="eastAsia"/>
          <w:color w:val="000000" w:themeColor="text1"/>
          <w14:textFill>
            <w14:solidFill>
              <w14:schemeClr w14:val="tx1"/>
            </w14:solidFill>
          </w14:textFill>
        </w:rPr>
        <w:t>t。从植被分布现状调查结果看，项目直接影响的植被类型包括相思树、马尾松、湿地松、桉树、龙眼</w:t>
      </w:r>
      <w:bookmarkStart w:id="638" w:name="hmcheck_f475fc46045748c1b724c6ea35c6dda2"/>
      <w:r>
        <w:rPr>
          <w:rFonts w:hint="eastAsia"/>
          <w:color w:val="000000" w:themeColor="text1"/>
          <w:shd w:val="clear" w:fill="FFAFAA"/>
          <w14:textFill>
            <w14:solidFill>
              <w14:schemeClr w14:val="tx1"/>
            </w14:solidFill>
          </w14:textFill>
        </w:rPr>
        <w:t>树林</w:t>
      </w:r>
      <w:bookmarkEnd w:id="638"/>
      <w:r>
        <w:rPr>
          <w:rFonts w:hint="eastAsia"/>
          <w:color w:val="000000" w:themeColor="text1"/>
          <w14:textFill>
            <w14:solidFill>
              <w14:schemeClr w14:val="tx1"/>
            </w14:solidFill>
          </w14:textFill>
        </w:rPr>
        <w:t>及灌草丛等。工程永久占地将对这些地方的植被产生永久性的不可恢复破坏，植被失去生存环境，破坏不可逆，但工程涉及植物均为常见、广布植被或人工植被，在项目区周边地区尚有大量分布，工程破坏不会造成区域物种灭绝或植被类型丧失，对区域总体的植物资源物种多样性和群落多样性影响不大。随着工程结束，通过对公路两边进行一定的绿化建设，适当地恢复植被覆盖度。总的来看，工程建设对评价范围植被有一定程度的影响，对整个评价区内自然生态系统体系来说属于可以承受的范围内。</w:t>
      </w:r>
    </w:p>
    <w:p w14:paraId="6287123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间临时占地对植被的影响是暂时的，工程结束后可以采取措施进行恢复与重建。通过实地调查，临时工程建设将占用一定数量的马尾松林、桉树及龙眼树林等植被。工程占用地分布的植物区系成分中，在评价区内广泛分布，工程建设对植物种群数量大小有一定的影响，但不会对植物资源造成明显影响，更不会导致植物物种灭绝。项目建成后，除公路路面及硬化防护措施外，对路基边坡、绿化带等用地，都将进行植被恢复。同时，在施工结束后也将对施工临时用地进行复耕或恢复植被。以上措施可有效减缓公路占地对植被产生的影响。</w:t>
      </w:r>
    </w:p>
    <w:p w14:paraId="2BBE3399">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（2）工程占地对沿线植物物种多样性的影响</w:t>
      </w:r>
    </w:p>
    <w:p w14:paraId="220C4AF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影响区域主要是低山丘陵和平原为主，工程永久占地以林地、耕地及园地为主，根据现场调查，各群落类型在生物多样性方面差异较大。就乔木层而言，马尾松、相思树、桉树林及龙眼林等群落中的乔木层多为单一树种，少见其他植物。灌木层物种组成较丰富。草本层生物优势种较突出，个体数量多，其他种类分类不均。</w:t>
      </w:r>
    </w:p>
    <w:p w14:paraId="72499E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公路沿线群落植物种类均为区域常见和广布种，沿线绝大多数地区为林业生态区，林业生态区中以人工林占优势，植被的次生性较强，因此，工程建设对沿线生物多样性的影响较小。同时由于工程所在区域自然条件较好，光照较多、雨水丰富，植物生长速度较快，植被的自然恢复能力较强，被破坏地段的植物和植被能较快恢复。此外，本工程将对占地范围内可绿化地段实施植被恢复工程，可大大减轻公路建设对植物种群的影响。</w:t>
      </w:r>
    </w:p>
    <w:p w14:paraId="50D72F66">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对野生动物的影响分析</w:t>
      </w:r>
    </w:p>
    <w:p w14:paraId="7D6EFA9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施工期对野生动物的影响主要表现为施工人员的施工活动、生产活动对动物栖息地生境的干扰和破坏；施工机械噪声对动物的干扰；农用地路段的施工对两栖类和爬行类，特别是对两栖类动物小生境的影响较为显著。本项目施工</w:t>
      </w:r>
      <w:bookmarkStart w:id="639" w:name="hmcheck_17ea11c9d8ae488a9258eafb8ce21dbc"/>
      <w:r>
        <w:rPr>
          <w:rFonts w:hint="eastAsia"/>
          <w:color w:val="000000" w:themeColor="text1"/>
          <w:shd w:val="clear" w:fill="FFAFAA"/>
          <w14:textFill>
            <w14:solidFill>
              <w14:schemeClr w14:val="tx1"/>
            </w14:solidFill>
          </w14:textFill>
        </w:rPr>
        <w:t>期</w:t>
      </w:r>
      <w:bookmarkEnd w:id="639"/>
      <w:r>
        <w:rPr>
          <w:rFonts w:hint="eastAsia"/>
          <w:color w:val="000000" w:themeColor="text1"/>
          <w14:textFill>
            <w14:solidFill>
              <w14:schemeClr w14:val="tx1"/>
            </w14:solidFill>
          </w14:textFill>
        </w:rPr>
        <w:t>，其路基填筑会惊吓植被中生活的某些野生动物。因上述原因，本项目施工将使得公路沿途的大部分野生动物迁移别处，远离施工区范围，从而导致公路沿线周围环境的动物数量有所减少，但是距离公路施工区较远的区域将会相对集中并重新分布，因此项目区公路施工对动物种类多样性和种群数量不会产生较大的影响，更不会导致动物多样性下降。</w:t>
      </w:r>
    </w:p>
    <w:p w14:paraId="25BF5D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在工程结束后沿线施工噪声等影响减弱后又会回到原来比较适宜生存和活动的地域。总体上公路建设对沿线野生动物有影响，但对其生存及种群数量、种类影响很小。  </w:t>
      </w:r>
    </w:p>
    <w:p w14:paraId="25559C5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①对两栖动物的影响：</w:t>
      </w:r>
      <w:r>
        <w:rPr>
          <w:rFonts w:hint="eastAsia" w:cs="Times New Roman"/>
          <w:color w:val="000000" w:themeColor="text1"/>
          <w14:textFill>
            <w14:solidFill>
              <w14:schemeClr w14:val="tx1"/>
            </w14:solidFill>
          </w14:textFill>
        </w:rPr>
        <w:t>项目评价区的两栖动物群落生态类型主要有陆栖静水型、陆栖流水型和树栖型群落，</w:t>
      </w:r>
      <w:r>
        <w:rPr>
          <w:rFonts w:hint="eastAsia"/>
          <w:color w:val="000000" w:themeColor="text1"/>
          <w14:textFill>
            <w14:solidFill>
              <w14:schemeClr w14:val="tx1"/>
            </w14:solidFill>
          </w14:textFill>
        </w:rPr>
        <w:t>两栖动物主要在水域或水域周围农田草灌生境中活动，两栖动物迁徙能力较弱、对环境的依赖性较强。本项目路基多处涉及迳江，跨越河流水系处，均设置了桥梁、涵洞跨越，保证其畅通，部分路段涉及改河。在这些桥梁桥墩、涵洞、改河的施工作业可能会导致跨越水体水质的变化及水域附近的生态环境的变化，从而引起两栖类动物生存环境的变化，造成两栖类物种数量的暂时性减少。在施工活动结束后，两栖类动物的生存环境将会逐渐得到恢复。</w:t>
      </w:r>
    </w:p>
    <w:p w14:paraId="50EDBDA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现状调查结果表明，本项目沿线的两栖类动物主要栖息于农田、溪流及附近的坡草丛中</w:t>
      </w:r>
      <w:bookmarkStart w:id="640" w:name="hmcheck_c3546bd4b0d64cacbc5139ed2f550c5c"/>
      <w:r>
        <w:rPr>
          <w:rFonts w:hint="eastAsia"/>
          <w:color w:val="000000" w:themeColor="text1"/>
          <w:shd w:val="clear" w:fill="FFAFAA"/>
          <w14:textFill>
            <w14:solidFill>
              <w14:schemeClr w14:val="tx1"/>
            </w14:solidFill>
          </w14:textFill>
        </w:rPr>
        <w:t>，皆</w:t>
      </w:r>
      <w:bookmarkEnd w:id="640"/>
      <w:r>
        <w:rPr>
          <w:rFonts w:hint="eastAsia"/>
          <w:color w:val="000000" w:themeColor="text1"/>
          <w14:textFill>
            <w14:solidFill>
              <w14:schemeClr w14:val="tx1"/>
            </w14:solidFill>
          </w14:textFill>
        </w:rPr>
        <w:t>属于静</w:t>
      </w:r>
      <w:bookmarkStart w:id="641" w:name="hmcheck_ecccfc01b84446f3a59c14b0fad7d948"/>
      <w:r>
        <w:rPr>
          <w:rFonts w:hint="eastAsia"/>
          <w:color w:val="000000" w:themeColor="text1"/>
          <w:shd w:val="clear" w:fill="FFAFAA"/>
          <w14:textFill>
            <w14:solidFill>
              <w14:schemeClr w14:val="tx1"/>
            </w14:solidFill>
          </w14:textFill>
        </w:rPr>
        <w:t>水型</w:t>
      </w:r>
      <w:bookmarkEnd w:id="641"/>
      <w:r>
        <w:rPr>
          <w:rFonts w:hint="eastAsia"/>
          <w:color w:val="000000" w:themeColor="text1"/>
          <w14:textFill>
            <w14:solidFill>
              <w14:schemeClr w14:val="tx1"/>
            </w14:solidFill>
          </w14:textFill>
        </w:rPr>
        <w:t>两栖类，本项目施工对其影响很小。</w:t>
      </w:r>
    </w:p>
    <w:p w14:paraId="6F3529A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对爬行动物的影响：由于工程占地，使评价区的植被覆盖率降低，人为活动大大增加，原分布在评价区低海拔河谷地带的一些爬行动物的广布种和常见种如蛇类等栖息适宜度降低。但是，由于爬行动物具有较强的运动迁移能力，对外界环境的适应能力较强，工程的建设可能会使一部分的爬行动物迁移栖息地，但对种群数量的影响较小。</w:t>
      </w:r>
    </w:p>
    <w:p w14:paraId="5646D70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对鸟类的影响：在施工期间，由于人为活动的增加以及路基的开挖，将对部分鸟类产生干扰，使工程所涉及的丘陵区域的鸟类种类及种群量将有所减少，如一些原在此地栖息的山地混交林、针叶林或园地林缘的鸟类。此外，施工期的施工机械噪声也会惊吓干扰许多鸟类。鉴于噪声可能影响鸟类的繁殖率，因此本项目施工中应采取一定的降噪、减振措施。</w:t>
      </w:r>
    </w:p>
    <w:p w14:paraId="16D14A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对哺乳动物的影响：施工期对哺乳动物的影响主要体现在对动物栖息、觅食地所在生态环境的破坏，包括对施工区森林植被的破坏和施工机械产生的噪声、土石方运输作业，各种施工器械活动的干扰等，一些迁徙能力较强的动物如鼠科、竹鼠科种类、野猪等将迁徙至附近受干扰小的区域。工程建成后，随着植被的逐渐恢复，生态环境逐步好转，迁徙的哺乳动物将逐步回归。</w:t>
      </w:r>
    </w:p>
    <w:p w14:paraId="5EB3D56F">
      <w:pPr>
        <w:pStyle w:val="118"/>
        <w:rPr>
          <w:color w:val="000000" w:themeColor="text1"/>
          <w14:textFill>
            <w14:solidFill>
              <w14:schemeClr w14:val="tx1"/>
            </w14:solidFill>
          </w14:textFill>
        </w:rPr>
      </w:pPr>
      <w:r>
        <w:rPr>
          <w:color w:val="000000" w:themeColor="text1"/>
          <w14:textFill>
            <w14:solidFill>
              <w14:schemeClr w14:val="tx1"/>
            </w14:solidFill>
          </w14:textFill>
        </w:rPr>
        <w:t>对沿线水生生物的影响</w:t>
      </w:r>
    </w:p>
    <w:p w14:paraId="597491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项目全线共设置大桥1座、中桥1座，涵洞</w:t>
      </w:r>
      <w:r>
        <w:rPr>
          <w:color w:val="000000" w:themeColor="text1"/>
          <w14:textFill>
            <w14:solidFill>
              <w14:schemeClr w14:val="tx1"/>
            </w14:solidFill>
          </w14:textFill>
        </w:rPr>
        <w:t>28</w:t>
      </w:r>
      <w:r>
        <w:rPr>
          <w:rFonts w:hint="eastAsia"/>
          <w:color w:val="000000" w:themeColor="text1"/>
          <w14:textFill>
            <w14:solidFill>
              <w14:schemeClr w14:val="tx1"/>
            </w14:solidFill>
          </w14:textFill>
        </w:rPr>
        <w:t>道，涉及改河</w:t>
      </w:r>
      <w:r>
        <w:rPr>
          <w:color w:val="000000" w:themeColor="text1"/>
          <w:lang w:val="zh-CN"/>
          <w14:textFill>
            <w14:solidFill>
              <w14:schemeClr w14:val="tx1"/>
            </w14:solidFill>
          </w14:textFill>
        </w:rPr>
        <w:t>5处</w:t>
      </w:r>
      <w:r>
        <w:rPr>
          <w:rFonts w:hint="eastAsia"/>
          <w:color w:val="000000" w:themeColor="text1"/>
          <w:lang w:val="zh-CN"/>
          <w14:textFill>
            <w14:solidFill>
              <w14:schemeClr w14:val="tx1"/>
            </w14:solidFill>
          </w14:textFill>
        </w:rPr>
        <w:t>、改渠1处</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大埔大桥</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4#~15#</w:t>
      </w:r>
      <w:r>
        <w:rPr>
          <w:rFonts w:hint="eastAsia"/>
          <w:color w:val="000000" w:themeColor="text1"/>
          <w14:textFill>
            <w14:solidFill>
              <w14:schemeClr w14:val="tx1"/>
            </w14:solidFill>
          </w14:textFill>
        </w:rPr>
        <w:t>桥墩跨越迳江（改河后，桥墩不涉水）；枝钟中桥跨迳江，1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桥墩位于河道内；改河及部分涵洞工程均涉及迳江；改渠工程涉及福渠（灌溉渠道）</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期涉水工程基础尽可能安排在枯水季节进行施工，线路跨越河流，本工程涉水桥墩、涵洞等构筑物的施工拟采取围堰施工的方式，改河工程采取围堰导流的施工方式，对于水生生物的影响主要表现为局部影响。</w:t>
      </w:r>
    </w:p>
    <w:p w14:paraId="7DDC14A5">
      <w:pPr>
        <w:ind w:firstLine="480"/>
        <w:rPr>
          <w:color w:val="000000" w:themeColor="text1"/>
          <w14:textFill>
            <w14:solidFill>
              <w14:schemeClr w14:val="tx1"/>
            </w14:solidFill>
          </w14:textFill>
        </w:rPr>
      </w:pPr>
      <w:bookmarkStart w:id="642" w:name="_Hlk151558378"/>
      <w:r>
        <w:rPr>
          <w:rFonts w:hint="eastAsia"/>
          <w:color w:val="000000" w:themeColor="text1"/>
          <w14:textFill>
            <w14:solidFill>
              <w14:schemeClr w14:val="tx1"/>
            </w14:solidFill>
          </w14:textFill>
        </w:rPr>
        <w:t>①</w:t>
      </w:r>
      <w:r>
        <w:rPr>
          <w:color w:val="000000" w:themeColor="text1"/>
          <w14:textFill>
            <w14:solidFill>
              <w14:schemeClr w14:val="tx1"/>
            </w14:solidFill>
          </w14:textFill>
        </w:rPr>
        <w:t>对浮游生物的影响</w:t>
      </w:r>
    </w:p>
    <w:bookmarkEnd w:id="642"/>
    <w:p w14:paraId="1E2628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桥梁基础、涉水涵洞、改河等施工扰动局部水体，造成水质浑浊，水中悬浮物浓度将会升高，透明度下降，阻碍浮游植物的光合作用，降低单位水体内浮游植物的数量，最终导致附近水域初级生产力水平的下降。本工程涉水工程均采取围堰施工的方式，围堰施工方式可以控制浮游生物受影响的区域范围，引起的悬浮物再经过长距离的沉淀，将减轻对浮游生物的影响。施工对浮游生物的数量、质量及功能的影响属暂时性、可逆性的，施工结束后，随着稀释和水体的自净作用，水质逐渐改良，浮游生物可基本恢复到施工前的水平。因此，拟建项目对附近河段的浮游生物影响有限。</w:t>
      </w:r>
    </w:p>
    <w:p w14:paraId="37C3B264">
      <w:pPr>
        <w:ind w:firstLine="480"/>
        <w:rPr>
          <w:color w:val="000000" w:themeColor="text1"/>
          <w14:textFill>
            <w14:solidFill>
              <w14:schemeClr w14:val="tx1"/>
            </w14:solidFill>
          </w14:textFill>
        </w:rPr>
      </w:pPr>
      <w:bookmarkStart w:id="643" w:name="_Hlk151558401"/>
      <w:r>
        <w:rPr>
          <w:rFonts w:hint="eastAsia"/>
          <w:color w:val="000000" w:themeColor="text1"/>
          <w14:textFill>
            <w14:solidFill>
              <w14:schemeClr w14:val="tx1"/>
            </w14:solidFill>
          </w14:textFill>
        </w:rPr>
        <w:t>②</w:t>
      </w:r>
      <w:r>
        <w:rPr>
          <w:color w:val="000000" w:themeColor="text1"/>
          <w14:textFill>
            <w14:solidFill>
              <w14:schemeClr w14:val="tx1"/>
            </w14:solidFill>
          </w14:textFill>
        </w:rPr>
        <w:t>对底栖生物的影响</w:t>
      </w:r>
    </w:p>
    <w:bookmarkEnd w:id="643"/>
    <w:p w14:paraId="35AAAD4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桥墩建设时基础采用钻孔灌注桩，桥墩、涉水涵洞及改河工程等施工会对桩基部位的底栖生物造成直接的损失，涉水路基对围堰后填筑等施工的进行对活动能力（回避作用）较弱的底栖生物会产生不可逆转的负面影响。但就整个迳江流域而言，本工程涉水构筑物面积占比较小，且评价区的底栖生物均为常见种，因此从物种保护的角度看，工程的建设不会导致这些物种的消亡。随着施工的结束，悬浮泥沙对水体的影响将消失，但底栖生物群落的恢复需要一定时间。由于施工只对施工区及其附近水体中的底栖动物造成影响，影响范围较小，随着施工活动的结束，底栖动物可恢复到施工前的水平。</w:t>
      </w:r>
    </w:p>
    <w:p w14:paraId="68E867D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③对鱼类的影响 </w:t>
      </w:r>
    </w:p>
    <w:p w14:paraId="38C444A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现场调查、资料收集和走访公众等，工程涉及的河流上下游评价范围内没有鱼类“三场”分布，桥梁、涵洞及改河等涉水工程的施工对水环境影响有限，也不会对水生生物和鱼类等造成较大的影响。施工期，涉水工程施工作业在一定时期内会导致河流一定范围内悬浮物和石油类浓度增加；另外，基础施工噪声等也会对水生生物产生一定的干扰，水体生境的变化将使鱼类主动避开工程区。但这种影响是暂时性的，随工程的完工会逐渐消除。为减小工程施工对鱼类的影响，本评价建议涉水工程（桥梁、涵洞及改河等）基础施工避开鱼类的主要繁殖期，即3～9月。</w:t>
      </w:r>
    </w:p>
    <w:p w14:paraId="495B70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因此，项目建设虽会对鱼类产生一定干扰，但不会对其生存及种群数量构成大的影响。</w:t>
      </w:r>
    </w:p>
    <w:p w14:paraId="2CE6021D">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深挖路堑段生态环境影响分析</w:t>
      </w:r>
    </w:p>
    <w:p w14:paraId="4E7846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本项目由于受工程条件限制，本项目深挖路堑共计</w:t>
      </w:r>
      <w:r>
        <w:rPr>
          <w:color w:val="000000" w:themeColor="text1"/>
          <w14:textFill>
            <w14:solidFill>
              <w14:schemeClr w14:val="tx1"/>
            </w14:solidFill>
          </w14:textFill>
        </w:rPr>
        <w:t>38</w:t>
      </w:r>
      <w:r>
        <w:rPr>
          <w:rFonts w:hint="eastAsia"/>
          <w:color w:val="000000" w:themeColor="text1"/>
          <w14:textFill>
            <w14:solidFill>
              <w14:schemeClr w14:val="tx1"/>
            </w14:solidFill>
          </w14:textFill>
        </w:rPr>
        <w:t>m/2段。主要路段是在</w:t>
      </w:r>
      <w:r>
        <w:rPr>
          <w:color w:val="000000" w:themeColor="text1"/>
          <w14:textFill>
            <w14:solidFill>
              <w14:schemeClr w14:val="tx1"/>
            </w14:solidFill>
          </w14:textFill>
        </w:rPr>
        <w:t>K0+220~K0+420</w:t>
      </w:r>
      <w:r>
        <w:rPr>
          <w:rFonts w:hint="eastAsia"/>
          <w:color w:val="000000" w:themeColor="text1"/>
          <w14:textFill>
            <w14:solidFill>
              <w14:schemeClr w14:val="tx1"/>
            </w14:solidFill>
          </w14:textFill>
        </w:rPr>
        <w:t>两侧及</w:t>
      </w:r>
      <w:r>
        <w:rPr>
          <w:color w:val="000000" w:themeColor="text1"/>
          <w14:textFill>
            <w14:solidFill>
              <w14:schemeClr w14:val="tx1"/>
            </w14:solidFill>
          </w14:textFill>
        </w:rPr>
        <w:t>K4+840~K5+020</w:t>
      </w:r>
      <w:r>
        <w:rPr>
          <w:rFonts w:hint="eastAsia"/>
          <w:color w:val="000000" w:themeColor="text1"/>
          <w14:textFill>
            <w14:solidFill>
              <w14:schemeClr w14:val="tx1"/>
            </w14:solidFill>
          </w14:textFill>
        </w:rPr>
        <w:t>左侧，本项目施工设计阶段已经采取了植草、拱形骨架等有效的生态的防护措施进行防护。</w:t>
      </w:r>
    </w:p>
    <w:p w14:paraId="534791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项目深挖路堑均不具备桥隧通过条件。工程将采取以下措施来减缓深挖路堑段对生态环境的影响：</w:t>
      </w:r>
      <w:r>
        <w:rPr>
          <w:color w:val="000000" w:themeColor="text1"/>
          <w:lang w:val="zh-CN"/>
          <w14:textFill>
            <w14:solidFill>
              <w14:schemeClr w14:val="tx1"/>
            </w14:solidFill>
          </w14:textFill>
        </w:rPr>
        <w:t>边坡高度&lt;8m时，边坡防护采用边坡机械液压客土喷草（植乔木）防护、路堑</w:t>
      </w:r>
      <w:bookmarkStart w:id="644" w:name="hmcheck_3a3a31fff0e14d82ab1736e3f603d764"/>
      <w:r>
        <w:rPr>
          <w:color w:val="000000" w:themeColor="text1"/>
          <w:shd w:val="clear" w:fill="FFAFAA"/>
          <w:lang w:val="zh-CN"/>
          <w14:textFill>
            <w14:solidFill>
              <w14:schemeClr w14:val="tx1"/>
            </w14:solidFill>
          </w14:textFill>
        </w:rPr>
        <w:t>拱型</w:t>
      </w:r>
      <w:bookmarkEnd w:id="644"/>
      <w:r>
        <w:rPr>
          <w:color w:val="000000" w:themeColor="text1"/>
          <w:lang w:val="zh-CN"/>
          <w14:textFill>
            <w14:solidFill>
              <w14:schemeClr w14:val="tx1"/>
            </w14:solidFill>
          </w14:textFill>
        </w:rPr>
        <w:t>骨架喷草（植乔木）防护</w:t>
      </w:r>
      <w:r>
        <w:rPr>
          <w:rFonts w:hint="eastAsia"/>
          <w:color w:val="000000" w:themeColor="text1"/>
          <w:lang w:val="zh-CN"/>
          <w14:textFill>
            <w14:solidFill>
              <w14:schemeClr w14:val="tx1"/>
            </w14:solidFill>
          </w14:textFill>
        </w:rPr>
        <w:t>或</w:t>
      </w:r>
      <w:r>
        <w:rPr>
          <w:color w:val="000000" w:themeColor="text1"/>
          <w:lang w:val="zh-CN"/>
          <w14:textFill>
            <w14:solidFill>
              <w14:schemeClr w14:val="tx1"/>
            </w14:solidFill>
          </w14:textFill>
        </w:rPr>
        <w:t>根据边坡稳定性采用支挡防护。边坡高度28m时，边坡防护形式有：边坡机械液压客土喷草（植乔木）防护、</w:t>
      </w:r>
      <w:bookmarkStart w:id="645" w:name="hmcheck_b9e8a93f90e74979a0306f0bd342f3fa"/>
      <w:r>
        <w:rPr>
          <w:color w:val="000000" w:themeColor="text1"/>
          <w:shd w:val="clear" w:fill="FFAFAA"/>
          <w:lang w:val="zh-CN"/>
          <w14:textFill>
            <w14:solidFill>
              <w14:schemeClr w14:val="tx1"/>
            </w14:solidFill>
          </w14:textFill>
        </w:rPr>
        <w:t>拱型</w:t>
      </w:r>
      <w:bookmarkEnd w:id="645"/>
      <w:r>
        <w:rPr>
          <w:color w:val="000000" w:themeColor="text1"/>
          <w:lang w:val="zh-CN"/>
          <w14:textFill>
            <w14:solidFill>
              <w14:schemeClr w14:val="tx1"/>
            </w14:solidFill>
          </w14:textFill>
        </w:rPr>
        <w:t>骨架喷草（植乔木）防护、边坡（锚杆）TBS 植草防护、锚索（锚杆）框架等</w:t>
      </w:r>
      <w:r>
        <w:rPr>
          <w:color w:val="000000" w:themeColor="text1"/>
          <w14:textFill>
            <w14:solidFill>
              <w14:schemeClr w14:val="tx1"/>
            </w14:solidFill>
          </w14:textFill>
        </w:rPr>
        <w:t>。</w:t>
      </w:r>
    </w:p>
    <w:p w14:paraId="16E2841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综上，在做好相关防护措施后，对生态环境影响较小。</w:t>
      </w:r>
    </w:p>
    <w:p w14:paraId="1664B7A4">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临时工程生态影响</w:t>
      </w:r>
    </w:p>
    <w:p w14:paraId="03247C6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）施工便道的环境影响分析</w:t>
      </w:r>
    </w:p>
    <w:p w14:paraId="2B736D1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本项目区域内现有</w:t>
      </w:r>
      <w:r>
        <w:rPr>
          <w:rFonts w:hint="eastAsia"/>
          <w:color w:val="000000" w:themeColor="text1"/>
          <w:spacing w:val="-3"/>
          <w14:textFill>
            <w14:solidFill>
              <w14:schemeClr w14:val="tx1"/>
            </w14:solidFill>
          </w14:textFill>
        </w:rPr>
        <w:t>G</w:t>
      </w:r>
      <w:r>
        <w:rPr>
          <w:color w:val="000000" w:themeColor="text1"/>
          <w:spacing w:val="-3"/>
          <w14:textFill>
            <w14:solidFill>
              <w14:schemeClr w14:val="tx1"/>
            </w14:solidFill>
          </w14:textFill>
        </w:rPr>
        <w:t>324</w:t>
      </w:r>
      <w:r>
        <w:rPr>
          <w:rFonts w:hint="eastAsia"/>
          <w:color w:val="000000" w:themeColor="text1"/>
          <w:spacing w:val="-3"/>
          <w14:textFill>
            <w14:solidFill>
              <w14:schemeClr w14:val="tx1"/>
            </w14:solidFill>
          </w14:textFill>
        </w:rPr>
        <w:t>国道、侨丰路、枝钟路</w:t>
      </w:r>
      <w:r>
        <w:rPr>
          <w:rFonts w:hint="eastAsia"/>
          <w:color w:val="000000" w:themeColor="text1"/>
          <w14:textFill>
            <w14:solidFill>
              <w14:schemeClr w14:val="tx1"/>
            </w14:solidFill>
          </w14:textFill>
        </w:rPr>
        <w:t>及乡镇村道等公路网，</w:t>
      </w:r>
      <w:r>
        <w:rPr>
          <w:rFonts w:hint="eastAsia"/>
          <w:color w:val="000000" w:themeColor="text1"/>
          <w:spacing w:val="-3"/>
          <w14:textFill>
            <w14:solidFill>
              <w14:schemeClr w14:val="tx1"/>
            </w14:solidFill>
          </w14:textFill>
        </w:rPr>
        <w:t>但</w:t>
      </w:r>
      <w:r>
        <w:rPr>
          <w:color w:val="000000" w:themeColor="text1"/>
          <w14:textFill>
            <w14:solidFill>
              <w14:schemeClr w14:val="tx1"/>
            </w14:solidFill>
          </w14:textFill>
        </w:rPr>
        <w:t>项目1#表土堆场</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表土</w:t>
      </w:r>
      <w:r>
        <w:rPr>
          <w:color w:val="000000" w:themeColor="text1"/>
          <w14:textFill>
            <w14:solidFill>
              <w14:schemeClr w14:val="tx1"/>
            </w14:solidFill>
          </w14:textFill>
        </w:rPr>
        <w:t>堆场现有</w:t>
      </w:r>
      <w:r>
        <w:rPr>
          <w:rFonts w:hint="eastAsia"/>
          <w:color w:val="000000" w:themeColor="text1"/>
          <w14:textFill>
            <w14:solidFill>
              <w14:schemeClr w14:val="tx1"/>
            </w14:solidFill>
          </w14:textFill>
        </w:rPr>
        <w:t>机耕</w:t>
      </w:r>
      <w:r>
        <w:rPr>
          <w:color w:val="000000" w:themeColor="text1"/>
          <w14:textFill>
            <w14:solidFill>
              <w14:schemeClr w14:val="tx1"/>
            </w14:solidFill>
          </w14:textFill>
        </w:rPr>
        <w:t>道路不能满足运输需求。为方便车辆进出，</w:t>
      </w:r>
      <w:r>
        <w:rPr>
          <w:rFonts w:hint="eastAsia"/>
          <w:color w:val="000000" w:themeColor="text1"/>
          <w14:textFill>
            <w14:solidFill>
              <w14:schemeClr w14:val="tx1"/>
            </w14:solidFill>
          </w14:textFill>
        </w:rPr>
        <w:t>需对现有机耕</w:t>
      </w:r>
      <w:r>
        <w:rPr>
          <w:color w:val="000000" w:themeColor="text1"/>
          <w14:textFill>
            <w14:solidFill>
              <w14:schemeClr w14:val="tx1"/>
            </w14:solidFill>
          </w14:textFill>
        </w:rPr>
        <w:t>道路</w:t>
      </w:r>
      <w:r>
        <w:rPr>
          <w:rFonts w:hint="eastAsia"/>
          <w:color w:val="000000" w:themeColor="text1"/>
          <w14:textFill>
            <w14:solidFill>
              <w14:schemeClr w14:val="tx1"/>
            </w14:solidFill>
          </w14:textFill>
        </w:rPr>
        <w:t>拓宽</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临时道路新增</w:t>
      </w:r>
      <w:r>
        <w:rPr>
          <w:color w:val="000000" w:themeColor="text1"/>
          <w14:textFill>
            <w14:solidFill>
              <w14:schemeClr w14:val="tx1"/>
            </w14:solidFill>
          </w14:textFill>
        </w:rPr>
        <w:t>占地面积约</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.085hm²</w:t>
      </w:r>
      <w:r>
        <w:rPr>
          <w:rFonts w:hint="eastAsia"/>
          <w:color w:val="000000" w:themeColor="text1"/>
          <w14:textFill>
            <w14:solidFill>
              <w14:schemeClr w14:val="tx1"/>
            </w14:solidFill>
          </w14:textFill>
        </w:rPr>
        <w:t>。施工便道结合主体工程线位及临时表土堆场布设，不涉及生态公益林、基本农田、生态保护红线等生态敏感区，但不可避免占用林地和园地。待施工结束后，按原土地类型恢复，临时占地恢复后对原占地类型影响不大。</w:t>
      </w:r>
    </w:p>
    <w:p w14:paraId="49B393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（2）临时施工场地、表土堆场的环境影响分析 </w:t>
      </w:r>
    </w:p>
    <w:p w14:paraId="650EFC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处施工场地，表土堆场</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处，新增临时占地</w:t>
      </w:r>
      <w:r>
        <w:rPr>
          <w:color w:val="000000" w:themeColor="text1"/>
          <w14:textFill>
            <w14:solidFill>
              <w14:schemeClr w14:val="tx1"/>
            </w14:solidFill>
          </w14:textFill>
        </w:rPr>
        <w:t>1.96</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施工场地占地和表土堆场面积以满足公路施工的需要为准，结合线路工程分布合并设置，尽量节约了占地。临时占地其对生态环境的影响主要表现为以下几个方面：①占用部分林地，导致植被破坏和生产力下降；②施工扬尘及运输车辆起尘对周边植被环境空气有一定影响；③施工场地影响周边景观；④施工废水及固废如未采取防护措施，将对周边林地植被造成影响。</w:t>
      </w:r>
    </w:p>
    <w:p w14:paraId="3233C3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调查，项目临时占地主要为一般林地、草地、旱地和园地，项目临时施工场地均不涉及生态保护红线、基本农田、生态公益林等生态敏感区，选址合理，施工过程严格控制施工边界，通过采取围挡、设置截排水的水保措施，减缓施工过程对周边植被的影响，施工结束后通过平整场地、</w:t>
      </w:r>
      <w:bookmarkStart w:id="646" w:name="hmcheck_eb8cb47d7bf04c70b2a10660f922d6cf"/>
      <w:r>
        <w:rPr>
          <w:rFonts w:hint="eastAsia"/>
          <w:color w:val="000000" w:themeColor="text1"/>
          <w:shd w:val="clear" w:fill="FFAFAA"/>
          <w14:textFill>
            <w14:solidFill>
              <w14:schemeClr w14:val="tx1"/>
            </w14:solidFill>
          </w14:textFill>
        </w:rPr>
        <w:t>回覆</w:t>
      </w:r>
      <w:bookmarkEnd w:id="646"/>
      <w:r>
        <w:rPr>
          <w:rFonts w:hint="eastAsia"/>
          <w:color w:val="000000" w:themeColor="text1"/>
          <w14:textFill>
            <w14:solidFill>
              <w14:schemeClr w14:val="tx1"/>
            </w14:solidFill>
          </w14:textFill>
        </w:rPr>
        <w:t>表土可及时复耕利用，对当地生态环境影响较小。</w:t>
      </w:r>
    </w:p>
    <w:p w14:paraId="3C6020F8">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对沿线生态敏感目标影响分析</w:t>
      </w:r>
    </w:p>
    <w:p w14:paraId="11F39760">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1、对生态公益林的影响</w:t>
      </w:r>
    </w:p>
    <w:p w14:paraId="312CC5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根据项目林业预审意见及公路用地红线和生态公益林叠图可知，本项目主体工程共占用生态公益林面积</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，均为国家二级。项目线路占用的生态公益林位于</w:t>
      </w:r>
      <w:r>
        <w:rPr>
          <w:color w:val="000000" w:themeColor="text1"/>
          <w14:textFill>
            <w14:solidFill>
              <w14:schemeClr w14:val="tx1"/>
            </w14:solidFill>
          </w14:textFill>
        </w:rPr>
        <w:t>K0+260~ K0+336</w:t>
      </w:r>
      <w:r>
        <w:rPr>
          <w:rFonts w:hint="eastAsia"/>
          <w:color w:val="000000" w:themeColor="text1"/>
          <w14:textFill>
            <w14:solidFill>
              <w14:schemeClr w14:val="tx1"/>
            </w14:solidFill>
          </w14:textFill>
        </w:rPr>
        <w:t>。</w:t>
      </w:r>
    </w:p>
    <w:p w14:paraId="76FC67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拟建公路占用的生态公益林功能为水源涵养。所占用生态公益林的优势树种组成为人工起源的相思树，均为区域常见树种。公路以狭长的线性穿过生态公益林，不会破坏整片生态公益林的水源涵养功能，也不会对生物多样性产生影响，亦不会破坏区域森林生态系统的整体性和稳定性。同时通过对拟建公路所经生态公益林现场调查，各林区附近有与拟占用生态公益林结构类似或更优的相同植被类型的分布，经“占一补一”后，区域生态公益林的生态服务能力不会有较大变化。 </w:t>
      </w:r>
    </w:p>
    <w:p w14:paraId="39ECC16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w:t>
      </w:r>
      <w:bookmarkStart w:id="1080" w:name="_GoBack"/>
      <w:bookmarkEnd w:id="1080"/>
      <w:r>
        <w:rPr>
          <w:rFonts w:hint="eastAsia"/>
          <w:color w:val="000000" w:themeColor="text1"/>
          <w:lang w:eastAsia="zh-CN"/>
          <w14:textFill>
            <w14:solidFill>
              <w14:schemeClr w14:val="tx1"/>
            </w14:solidFill>
          </w14:textFill>
        </w:rPr>
        <w:t>国家级公益林管理办法</w:t>
      </w:r>
      <w:r>
        <w:rPr>
          <w:rFonts w:hint="eastAsia"/>
          <w:color w:val="000000" w:themeColor="text1"/>
          <w14:textFill>
            <w14:solidFill>
              <w14:schemeClr w14:val="tx1"/>
            </w14:solidFill>
          </w14:textFill>
        </w:rPr>
        <w:t>》《福建省生态公益林条例》等法律法规的要求，建设单位向林业主管部门报送了用林手续。</w:t>
      </w:r>
      <w:r>
        <w:rPr>
          <w:rFonts w:hint="eastAsia"/>
          <w:color w:val="000000" w:themeColor="text1"/>
          <w:spacing w:val="-7"/>
          <w14:textFill>
            <w14:solidFill>
              <w14:schemeClr w14:val="tx1"/>
            </w14:solidFill>
          </w14:textFill>
        </w:rPr>
        <w:t>202</w:t>
      </w:r>
      <w:r>
        <w:rPr>
          <w:color w:val="000000" w:themeColor="text1"/>
          <w:spacing w:val="-7"/>
          <w14:textFill>
            <w14:solidFill>
              <w14:schemeClr w14:val="tx1"/>
            </w14:solidFill>
          </w14:textFill>
        </w:rPr>
        <w:t>4</w:t>
      </w:r>
      <w:r>
        <w:rPr>
          <w:rFonts w:hint="eastAsia"/>
          <w:color w:val="000000" w:themeColor="text1"/>
          <w:spacing w:val="-7"/>
          <w14:textFill>
            <w14:solidFill>
              <w14:schemeClr w14:val="tx1"/>
            </w14:solidFill>
          </w14:textFill>
        </w:rPr>
        <w:t xml:space="preserve">年 </w:t>
      </w:r>
      <w:r>
        <w:rPr>
          <w:color w:val="000000" w:themeColor="text1"/>
          <w:spacing w:val="-7"/>
          <w14:textFill>
            <w14:solidFill>
              <w14:schemeClr w14:val="tx1"/>
            </w14:solidFill>
          </w14:textFill>
        </w:rPr>
        <w:t>9</w:t>
      </w:r>
      <w:r>
        <w:rPr>
          <w:rFonts w:hint="eastAsia"/>
          <w:color w:val="000000" w:themeColor="text1"/>
          <w:spacing w:val="-7"/>
          <w14:textFill>
            <w14:solidFill>
              <w14:schemeClr w14:val="tx1"/>
            </w14:solidFill>
          </w14:textFill>
        </w:rPr>
        <w:t xml:space="preserve"> 月 30  日，福建省林业局出具了《使用林地审核同意书》</w:t>
      </w:r>
      <w:r>
        <w:rPr>
          <w:rFonts w:hint="eastAsia"/>
          <w:color w:val="000000" w:themeColor="text1"/>
          <w14:textFill>
            <w14:solidFill>
              <w14:schemeClr w14:val="tx1"/>
            </w14:solidFill>
          </w14:textFill>
        </w:rPr>
        <w:t>，同意项目使用林地。施工结束后通过植被绿化和林地补偿调整后，植被生物量也可尽快恢复。项目建设对于沿线生态公益林的影响较小。</w:t>
      </w:r>
    </w:p>
    <w:p w14:paraId="504F534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过程应加强施工作业的规范化管理，严格控制施工作业范围，加强施工人员的管理，不得越界砍伐植被。施工场地、表土堆场等临时设施不得设置在生态公益林内，应尽可能选择在未利用地内。施工前应按照要求办理相应审批手续，施工结束后，加强与林业管理部门的沟通，按林业部门的要求，在临时占地区域恢复植被。</w:t>
      </w:r>
    </w:p>
    <w:p w14:paraId="77EAAD90">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2、对一般湿</w:t>
      </w:r>
      <w:bookmarkStart w:id="647" w:name="hmcheck_14ffd6b84d9348fba8d9ad18880ed6ba"/>
      <w:r>
        <w:rPr>
          <w:rFonts w:hint="eastAsia"/>
          <w:color w:val="000000" w:themeColor="text1"/>
          <w:shd w:val="clear" w:fill="FFAFAA"/>
          <w14:textFill>
            <w14:solidFill>
              <w14:schemeClr w14:val="tx1"/>
            </w14:solidFill>
          </w14:textFill>
        </w:rPr>
        <w:t>地影响</w:t>
      </w:r>
      <w:bookmarkEnd w:id="647"/>
      <w:r>
        <w:rPr>
          <w:rFonts w:hint="eastAsia"/>
          <w:color w:val="000000" w:themeColor="text1"/>
          <w14:textFill>
            <w14:solidFill>
              <w14:schemeClr w14:val="tx1"/>
            </w14:solidFill>
          </w14:textFill>
        </w:rPr>
        <w:t>分析</w:t>
      </w:r>
    </w:p>
    <w:p w14:paraId="281AE5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项目已委托编制《黄檗山万福寺旅游公路项目对福清市一般湿地生态功能影响评价报告》，根据叠图分析，本项目不涉及重要湿地，占用一般湿地面积 0.9060hm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，占用湿地类型为沟渠、河流水面、坑塘水面和内陆滩涂，项目与一般湿</w:t>
      </w:r>
      <w:bookmarkStart w:id="648" w:name="hmcheck_9735192e72ec45e18c2b37dfb8976c30"/>
      <w:r>
        <w:rPr>
          <w:rFonts w:hint="eastAsia"/>
          <w:color w:val="000000" w:themeColor="text1"/>
          <w:shd w:val="clear" w:fill="FFAFAA"/>
          <w14:textFill>
            <w14:solidFill>
              <w14:schemeClr w14:val="tx1"/>
            </w14:solidFill>
          </w14:textFill>
        </w:rPr>
        <w:t>地位置</w:t>
      </w:r>
      <w:bookmarkEnd w:id="648"/>
      <w:r>
        <w:rPr>
          <w:rFonts w:hint="eastAsia"/>
          <w:color w:val="000000" w:themeColor="text1"/>
          <w14:textFill>
            <w14:solidFill>
              <w14:schemeClr w14:val="tx1"/>
            </w14:solidFill>
          </w14:textFill>
        </w:rPr>
        <w:t>关系详见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_Ref192516652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。占用方式为跨越式（桥梁、涵洞）占用，保持河流水面、沟渠等湿地的连通。</w:t>
      </w:r>
    </w:p>
    <w:p w14:paraId="25C49D4C">
      <w:pPr>
        <w:ind w:firstLine="480"/>
        <w:rPr>
          <w:color w:val="000000" w:themeColor="text1"/>
          <w14:textFill>
            <w14:solidFill>
              <w14:schemeClr w14:val="tx1"/>
            </w14:solidFill>
          </w14:textFill>
        </w:rPr>
      </w:pPr>
    </w:p>
    <w:p w14:paraId="26DFB859">
      <w:pPr>
        <w:ind w:firstLine="480"/>
        <w:rPr>
          <w:color w:val="000000" w:themeColor="text1"/>
          <w14:textFill>
            <w14:solidFill>
              <w14:schemeClr w14:val="tx1"/>
            </w14:solidFill>
          </w14:textFill>
        </w:rPr>
      </w:pPr>
    </w:p>
    <w:p w14:paraId="6239EBD5">
      <w:pPr>
        <w:ind w:firstLine="480"/>
        <w:rPr>
          <w:color w:val="000000" w:themeColor="text1"/>
          <w14:textFill>
            <w14:solidFill>
              <w14:schemeClr w14:val="tx1"/>
            </w14:solidFill>
          </w14:textFill>
        </w:rPr>
      </w:pPr>
    </w:p>
    <w:p w14:paraId="2B6D0E25">
      <w:pPr>
        <w:ind w:firstLine="480"/>
        <w:rPr>
          <w:color w:val="000000" w:themeColor="text1"/>
          <w14:textFill>
            <w14:solidFill>
              <w14:schemeClr w14:val="tx1"/>
            </w14:solidFill>
          </w14:textFill>
        </w:rPr>
      </w:pPr>
    </w:p>
    <w:p w14:paraId="7B91A0B6">
      <w:pPr>
        <w:pStyle w:val="87"/>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工程占用一般湿地情况一览表</w:t>
      </w:r>
    </w:p>
    <w:tbl>
      <w:tblPr>
        <w:tblStyle w:val="841"/>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99"/>
        <w:gridCol w:w="1054"/>
        <w:gridCol w:w="1054"/>
        <w:gridCol w:w="1399"/>
        <w:gridCol w:w="2090"/>
        <w:gridCol w:w="2774"/>
      </w:tblGrid>
      <w:tr w14:paraId="4B2CE9D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163F922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581" w:type="pct"/>
            <w:vAlign w:val="center"/>
          </w:tcPr>
          <w:p w14:paraId="4EA6600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乡镇</w:t>
            </w:r>
          </w:p>
        </w:tc>
        <w:tc>
          <w:tcPr>
            <w:tcW w:w="581" w:type="pct"/>
            <w:vAlign w:val="center"/>
          </w:tcPr>
          <w:p w14:paraId="4DF542C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村</w:t>
            </w:r>
          </w:p>
        </w:tc>
        <w:tc>
          <w:tcPr>
            <w:tcW w:w="771" w:type="pct"/>
            <w:vAlign w:val="center"/>
          </w:tcPr>
          <w:p w14:paraId="11657EA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湿地类型</w:t>
            </w:r>
          </w:p>
        </w:tc>
        <w:tc>
          <w:tcPr>
            <w:tcW w:w="1152" w:type="pct"/>
            <w:vAlign w:val="center"/>
          </w:tcPr>
          <w:p w14:paraId="089A93E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占用湿地面积hm</w:t>
            </w:r>
            <w:r>
              <w:rPr>
                <w:rFonts w:hint="eastAsia"/>
                <w:color w:val="000000" w:themeColor="text1"/>
                <w:vertAlign w:val="superscript"/>
                <w14:textFill>
                  <w14:solidFill>
                    <w14:schemeClr w14:val="tx1"/>
                  </w14:solidFill>
                </w14:textFill>
              </w:rPr>
              <w:t>2</w:t>
            </w:r>
          </w:p>
        </w:tc>
        <w:tc>
          <w:tcPr>
            <w:tcW w:w="1529" w:type="pct"/>
            <w:vAlign w:val="center"/>
          </w:tcPr>
          <w:p w14:paraId="2C92876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5EAE6E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4ADAB59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81" w:type="pct"/>
            <w:vMerge w:val="restart"/>
            <w:vAlign w:val="center"/>
          </w:tcPr>
          <w:p w14:paraId="2FC0229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渔溪镇</w:t>
            </w:r>
          </w:p>
        </w:tc>
        <w:tc>
          <w:tcPr>
            <w:tcW w:w="581" w:type="pct"/>
            <w:vMerge w:val="restart"/>
            <w:vAlign w:val="center"/>
          </w:tcPr>
          <w:p w14:paraId="4FF4E25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联华村</w:t>
            </w:r>
          </w:p>
        </w:tc>
        <w:tc>
          <w:tcPr>
            <w:tcW w:w="771" w:type="pct"/>
            <w:vAlign w:val="center"/>
          </w:tcPr>
          <w:p w14:paraId="4DA78E2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沟渠</w:t>
            </w:r>
          </w:p>
        </w:tc>
        <w:tc>
          <w:tcPr>
            <w:tcW w:w="1152" w:type="pct"/>
            <w:vAlign w:val="center"/>
          </w:tcPr>
          <w:p w14:paraId="4B0B025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0.0239</w:t>
            </w:r>
          </w:p>
        </w:tc>
        <w:tc>
          <w:tcPr>
            <w:tcW w:w="1529" w:type="pct"/>
            <w:vAlign w:val="center"/>
          </w:tcPr>
          <w:p w14:paraId="10FD2EB8">
            <w:pPr>
              <w:pStyle w:val="105"/>
              <w:jc w:val="center"/>
              <w:rPr>
                <w:color w:val="000000" w:themeColor="text1"/>
                <w14:textFill>
                  <w14:solidFill>
                    <w14:schemeClr w14:val="tx1"/>
                  </w14:solidFill>
                </w14:textFill>
              </w:rPr>
            </w:pPr>
          </w:p>
        </w:tc>
      </w:tr>
      <w:tr w14:paraId="6960037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17F4AAE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2 </w:t>
            </w:r>
          </w:p>
        </w:tc>
        <w:tc>
          <w:tcPr>
            <w:tcW w:w="581" w:type="pct"/>
            <w:vMerge w:val="continue"/>
            <w:vAlign w:val="top"/>
          </w:tcPr>
          <w:p w14:paraId="6DC5798B">
            <w:pPr>
              <w:pStyle w:val="105"/>
              <w:jc w:val="center"/>
              <w:rPr>
                <w:color w:val="000000" w:themeColor="text1"/>
                <w14:textFill>
                  <w14:solidFill>
                    <w14:schemeClr w14:val="tx1"/>
                  </w14:solidFill>
                </w14:textFill>
              </w:rPr>
            </w:pPr>
          </w:p>
        </w:tc>
        <w:tc>
          <w:tcPr>
            <w:tcW w:w="581" w:type="pct"/>
            <w:vMerge w:val="continue"/>
            <w:vAlign w:val="center"/>
          </w:tcPr>
          <w:p w14:paraId="134B12F7">
            <w:pPr>
              <w:pStyle w:val="105"/>
              <w:jc w:val="center"/>
              <w:rPr>
                <w:color w:val="000000" w:themeColor="text1"/>
                <w14:textFill>
                  <w14:solidFill>
                    <w14:schemeClr w14:val="tx1"/>
                  </w14:solidFill>
                </w14:textFill>
              </w:rPr>
            </w:pPr>
          </w:p>
        </w:tc>
        <w:tc>
          <w:tcPr>
            <w:tcW w:w="771" w:type="pct"/>
            <w:vAlign w:val="center"/>
          </w:tcPr>
          <w:p w14:paraId="6AB9B31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河流水面</w:t>
            </w:r>
          </w:p>
        </w:tc>
        <w:tc>
          <w:tcPr>
            <w:tcW w:w="1152" w:type="pct"/>
            <w:vAlign w:val="center"/>
          </w:tcPr>
          <w:p w14:paraId="548C2B3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0.1137</w:t>
            </w:r>
          </w:p>
        </w:tc>
        <w:tc>
          <w:tcPr>
            <w:tcW w:w="1529" w:type="pct"/>
            <w:vAlign w:val="center"/>
          </w:tcPr>
          <w:p w14:paraId="1D4BF211">
            <w:pPr>
              <w:pStyle w:val="105"/>
              <w:jc w:val="center"/>
              <w:rPr>
                <w:color w:val="000000" w:themeColor="text1"/>
                <w14:textFill>
                  <w14:solidFill>
                    <w14:schemeClr w14:val="tx1"/>
                  </w14:solidFill>
                </w14:textFill>
              </w:rPr>
            </w:pPr>
          </w:p>
        </w:tc>
      </w:tr>
      <w:tr w14:paraId="271178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6EECD35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3 </w:t>
            </w:r>
          </w:p>
        </w:tc>
        <w:tc>
          <w:tcPr>
            <w:tcW w:w="581" w:type="pct"/>
            <w:vMerge w:val="continue"/>
            <w:vAlign w:val="top"/>
          </w:tcPr>
          <w:p w14:paraId="49171F6C">
            <w:pPr>
              <w:pStyle w:val="105"/>
              <w:jc w:val="center"/>
              <w:rPr>
                <w:color w:val="000000" w:themeColor="text1"/>
                <w14:textFill>
                  <w14:solidFill>
                    <w14:schemeClr w14:val="tx1"/>
                  </w14:solidFill>
                </w14:textFill>
              </w:rPr>
            </w:pPr>
          </w:p>
        </w:tc>
        <w:tc>
          <w:tcPr>
            <w:tcW w:w="581" w:type="pct"/>
            <w:vMerge w:val="continue"/>
            <w:vAlign w:val="center"/>
          </w:tcPr>
          <w:p w14:paraId="54A11851">
            <w:pPr>
              <w:pStyle w:val="105"/>
              <w:jc w:val="center"/>
              <w:rPr>
                <w:color w:val="000000" w:themeColor="text1"/>
                <w14:textFill>
                  <w14:solidFill>
                    <w14:schemeClr w14:val="tx1"/>
                  </w14:solidFill>
                </w14:textFill>
              </w:rPr>
            </w:pPr>
          </w:p>
        </w:tc>
        <w:tc>
          <w:tcPr>
            <w:tcW w:w="771" w:type="pct"/>
            <w:vAlign w:val="center"/>
          </w:tcPr>
          <w:p w14:paraId="077467F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坑塘水面</w:t>
            </w:r>
          </w:p>
        </w:tc>
        <w:tc>
          <w:tcPr>
            <w:tcW w:w="1152" w:type="pct"/>
            <w:vAlign w:val="center"/>
          </w:tcPr>
          <w:p w14:paraId="39A60CE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0.0003</w:t>
            </w:r>
          </w:p>
        </w:tc>
        <w:tc>
          <w:tcPr>
            <w:tcW w:w="1529" w:type="pct"/>
            <w:vAlign w:val="center"/>
          </w:tcPr>
          <w:p w14:paraId="6E781621">
            <w:pPr>
              <w:pStyle w:val="105"/>
              <w:jc w:val="center"/>
              <w:rPr>
                <w:color w:val="000000" w:themeColor="text1"/>
                <w14:textFill>
                  <w14:solidFill>
                    <w14:schemeClr w14:val="tx1"/>
                  </w14:solidFill>
                </w14:textFill>
              </w:rPr>
            </w:pPr>
          </w:p>
        </w:tc>
      </w:tr>
      <w:tr w14:paraId="0CA1DB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360445C0">
            <w:pPr>
              <w:pStyle w:val="105"/>
              <w:jc w:val="center"/>
              <w:rPr>
                <w:color w:val="000000" w:themeColor="text1"/>
                <w14:textFill>
                  <w14:solidFill>
                    <w14:schemeClr w14:val="tx1"/>
                  </w14:solidFill>
                </w14:textFill>
              </w:rPr>
            </w:pPr>
          </w:p>
        </w:tc>
        <w:tc>
          <w:tcPr>
            <w:tcW w:w="581" w:type="pct"/>
            <w:vMerge w:val="continue"/>
            <w:vAlign w:val="top"/>
          </w:tcPr>
          <w:p w14:paraId="4B704699">
            <w:pPr>
              <w:pStyle w:val="105"/>
              <w:jc w:val="center"/>
              <w:rPr>
                <w:color w:val="000000" w:themeColor="text1"/>
                <w14:textFill>
                  <w14:solidFill>
                    <w14:schemeClr w14:val="tx1"/>
                  </w14:solidFill>
                </w14:textFill>
              </w:rPr>
            </w:pPr>
          </w:p>
        </w:tc>
        <w:tc>
          <w:tcPr>
            <w:tcW w:w="581" w:type="pct"/>
            <w:vMerge w:val="continue"/>
            <w:vAlign w:val="center"/>
          </w:tcPr>
          <w:p w14:paraId="242D76B1">
            <w:pPr>
              <w:pStyle w:val="105"/>
              <w:jc w:val="center"/>
              <w:rPr>
                <w:color w:val="000000" w:themeColor="text1"/>
                <w14:textFill>
                  <w14:solidFill>
                    <w14:schemeClr w14:val="tx1"/>
                  </w14:solidFill>
                </w14:textFill>
              </w:rPr>
            </w:pPr>
          </w:p>
        </w:tc>
        <w:tc>
          <w:tcPr>
            <w:tcW w:w="771" w:type="pct"/>
            <w:vAlign w:val="center"/>
          </w:tcPr>
          <w:p w14:paraId="537AB62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1152" w:type="pct"/>
            <w:vAlign w:val="center"/>
          </w:tcPr>
          <w:p w14:paraId="1966F5D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0.1379</w:t>
            </w:r>
          </w:p>
        </w:tc>
        <w:tc>
          <w:tcPr>
            <w:tcW w:w="1529" w:type="pct"/>
            <w:vAlign w:val="center"/>
          </w:tcPr>
          <w:p w14:paraId="12BE3A62">
            <w:pPr>
              <w:pStyle w:val="105"/>
              <w:jc w:val="center"/>
              <w:rPr>
                <w:color w:val="000000" w:themeColor="text1"/>
                <w14:textFill>
                  <w14:solidFill>
                    <w14:schemeClr w14:val="tx1"/>
                  </w14:solidFill>
                </w14:textFill>
              </w:rPr>
            </w:pPr>
          </w:p>
        </w:tc>
      </w:tr>
      <w:tr w14:paraId="1F0389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2272ED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581" w:type="pct"/>
            <w:vMerge w:val="continue"/>
            <w:vAlign w:val="center"/>
          </w:tcPr>
          <w:p w14:paraId="613ACD79">
            <w:pPr>
              <w:pStyle w:val="105"/>
              <w:jc w:val="center"/>
              <w:rPr>
                <w:color w:val="000000" w:themeColor="text1"/>
                <w14:textFill>
                  <w14:solidFill>
                    <w14:schemeClr w14:val="tx1"/>
                  </w14:solidFill>
                </w14:textFill>
              </w:rPr>
            </w:pPr>
          </w:p>
        </w:tc>
        <w:tc>
          <w:tcPr>
            <w:tcW w:w="581" w:type="pct"/>
            <w:vMerge w:val="restart"/>
            <w:vAlign w:val="center"/>
          </w:tcPr>
          <w:p w14:paraId="7ACEF7D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侨丰村</w:t>
            </w:r>
          </w:p>
        </w:tc>
        <w:tc>
          <w:tcPr>
            <w:tcW w:w="771" w:type="pct"/>
            <w:vAlign w:val="center"/>
          </w:tcPr>
          <w:p w14:paraId="1554F94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河流水面</w:t>
            </w:r>
          </w:p>
        </w:tc>
        <w:tc>
          <w:tcPr>
            <w:tcW w:w="1152" w:type="pct"/>
            <w:vAlign w:val="center"/>
          </w:tcPr>
          <w:p w14:paraId="7C2C623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0.4592</w:t>
            </w:r>
          </w:p>
        </w:tc>
        <w:tc>
          <w:tcPr>
            <w:tcW w:w="1529" w:type="pct"/>
            <w:vAlign w:val="center"/>
          </w:tcPr>
          <w:p w14:paraId="6FC75AB4">
            <w:pPr>
              <w:pStyle w:val="105"/>
              <w:jc w:val="center"/>
              <w:rPr>
                <w:color w:val="000000" w:themeColor="text1"/>
                <w14:textFill>
                  <w14:solidFill>
                    <w14:schemeClr w14:val="tx1"/>
                  </w14:solidFill>
                </w14:textFill>
              </w:rPr>
            </w:pPr>
          </w:p>
        </w:tc>
      </w:tr>
      <w:tr w14:paraId="28F241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0E5E6A9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81" w:type="pct"/>
            <w:vMerge w:val="continue"/>
            <w:vAlign w:val="center"/>
          </w:tcPr>
          <w:p w14:paraId="3AAA05B3">
            <w:pPr>
              <w:pStyle w:val="105"/>
              <w:jc w:val="center"/>
              <w:rPr>
                <w:color w:val="000000" w:themeColor="text1"/>
                <w14:textFill>
                  <w14:solidFill>
                    <w14:schemeClr w14:val="tx1"/>
                  </w14:solidFill>
                </w14:textFill>
              </w:rPr>
            </w:pPr>
          </w:p>
        </w:tc>
        <w:tc>
          <w:tcPr>
            <w:tcW w:w="581" w:type="pct"/>
            <w:vMerge w:val="continue"/>
            <w:vAlign w:val="center"/>
          </w:tcPr>
          <w:p w14:paraId="1B507E5E">
            <w:pPr>
              <w:pStyle w:val="105"/>
              <w:jc w:val="center"/>
              <w:rPr>
                <w:color w:val="000000" w:themeColor="text1"/>
                <w14:textFill>
                  <w14:solidFill>
                    <w14:schemeClr w14:val="tx1"/>
                  </w14:solidFill>
                </w14:textFill>
              </w:rPr>
            </w:pPr>
          </w:p>
        </w:tc>
        <w:tc>
          <w:tcPr>
            <w:tcW w:w="771" w:type="pct"/>
            <w:vAlign w:val="center"/>
          </w:tcPr>
          <w:p w14:paraId="0E453ED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内陆滩涂</w:t>
            </w:r>
          </w:p>
        </w:tc>
        <w:tc>
          <w:tcPr>
            <w:tcW w:w="1152" w:type="pct"/>
            <w:vAlign w:val="center"/>
          </w:tcPr>
          <w:p w14:paraId="134088A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0.0697</w:t>
            </w:r>
          </w:p>
        </w:tc>
        <w:tc>
          <w:tcPr>
            <w:tcW w:w="1529" w:type="pct"/>
            <w:vAlign w:val="center"/>
          </w:tcPr>
          <w:p w14:paraId="1CA5E42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位于一般湿地名录</w:t>
            </w:r>
          </w:p>
        </w:tc>
      </w:tr>
      <w:tr w14:paraId="49047F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669C0E00">
            <w:pPr>
              <w:pStyle w:val="105"/>
              <w:jc w:val="center"/>
              <w:rPr>
                <w:color w:val="000000" w:themeColor="text1"/>
                <w14:textFill>
                  <w14:solidFill>
                    <w14:schemeClr w14:val="tx1"/>
                  </w14:solidFill>
                </w14:textFill>
              </w:rPr>
            </w:pPr>
          </w:p>
        </w:tc>
        <w:tc>
          <w:tcPr>
            <w:tcW w:w="581" w:type="pct"/>
            <w:vMerge w:val="continue"/>
            <w:vAlign w:val="center"/>
          </w:tcPr>
          <w:p w14:paraId="7EEF104E">
            <w:pPr>
              <w:pStyle w:val="105"/>
              <w:jc w:val="center"/>
              <w:rPr>
                <w:color w:val="000000" w:themeColor="text1"/>
                <w14:textFill>
                  <w14:solidFill>
                    <w14:schemeClr w14:val="tx1"/>
                  </w14:solidFill>
                </w14:textFill>
              </w:rPr>
            </w:pPr>
          </w:p>
        </w:tc>
        <w:tc>
          <w:tcPr>
            <w:tcW w:w="581" w:type="pct"/>
            <w:vMerge w:val="continue"/>
            <w:vAlign w:val="center"/>
          </w:tcPr>
          <w:p w14:paraId="2EE021C5">
            <w:pPr>
              <w:pStyle w:val="105"/>
              <w:jc w:val="center"/>
              <w:rPr>
                <w:color w:val="000000" w:themeColor="text1"/>
                <w14:textFill>
                  <w14:solidFill>
                    <w14:schemeClr w14:val="tx1"/>
                  </w14:solidFill>
                </w14:textFill>
              </w:rPr>
            </w:pPr>
          </w:p>
        </w:tc>
        <w:tc>
          <w:tcPr>
            <w:tcW w:w="771" w:type="pct"/>
            <w:vAlign w:val="center"/>
          </w:tcPr>
          <w:p w14:paraId="1B01E3D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1152" w:type="pct"/>
            <w:vAlign w:val="center"/>
          </w:tcPr>
          <w:p w14:paraId="1F36CA5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0.5289</w:t>
            </w:r>
          </w:p>
        </w:tc>
        <w:tc>
          <w:tcPr>
            <w:tcW w:w="1529" w:type="pct"/>
            <w:vAlign w:val="center"/>
          </w:tcPr>
          <w:p w14:paraId="0C1AFDB7">
            <w:pPr>
              <w:pStyle w:val="105"/>
              <w:jc w:val="center"/>
              <w:rPr>
                <w:color w:val="000000" w:themeColor="text1"/>
                <w14:textFill>
                  <w14:solidFill>
                    <w14:schemeClr w14:val="tx1"/>
                  </w14:solidFill>
                </w14:textFill>
              </w:rPr>
            </w:pPr>
          </w:p>
        </w:tc>
      </w:tr>
      <w:tr w14:paraId="16F0E64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5C91FE0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6</w:t>
            </w:r>
          </w:p>
        </w:tc>
        <w:tc>
          <w:tcPr>
            <w:tcW w:w="581" w:type="pct"/>
            <w:vMerge w:val="continue"/>
            <w:vAlign w:val="center"/>
          </w:tcPr>
          <w:p w14:paraId="1D6C7666">
            <w:pPr>
              <w:pStyle w:val="105"/>
              <w:jc w:val="center"/>
              <w:rPr>
                <w:color w:val="000000" w:themeColor="text1"/>
                <w14:textFill>
                  <w14:solidFill>
                    <w14:schemeClr w14:val="tx1"/>
                  </w14:solidFill>
                </w14:textFill>
              </w:rPr>
            </w:pPr>
          </w:p>
        </w:tc>
        <w:tc>
          <w:tcPr>
            <w:tcW w:w="581" w:type="pct"/>
            <w:vMerge w:val="restart"/>
            <w:vAlign w:val="center"/>
          </w:tcPr>
          <w:p w14:paraId="76F5EAB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上张村</w:t>
            </w:r>
          </w:p>
        </w:tc>
        <w:tc>
          <w:tcPr>
            <w:tcW w:w="771" w:type="pct"/>
            <w:vAlign w:val="center"/>
          </w:tcPr>
          <w:p w14:paraId="6DD5B29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沟渠</w:t>
            </w:r>
          </w:p>
        </w:tc>
        <w:tc>
          <w:tcPr>
            <w:tcW w:w="1152" w:type="pct"/>
            <w:vAlign w:val="center"/>
          </w:tcPr>
          <w:p w14:paraId="68C964C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0.0360</w:t>
            </w:r>
          </w:p>
        </w:tc>
        <w:tc>
          <w:tcPr>
            <w:tcW w:w="1529" w:type="pct"/>
            <w:vAlign w:val="center"/>
          </w:tcPr>
          <w:p w14:paraId="5A363342">
            <w:pPr>
              <w:pStyle w:val="105"/>
              <w:jc w:val="center"/>
              <w:rPr>
                <w:color w:val="000000" w:themeColor="text1"/>
                <w14:textFill>
                  <w14:solidFill>
                    <w14:schemeClr w14:val="tx1"/>
                  </w14:solidFill>
                </w14:textFill>
              </w:rPr>
            </w:pPr>
          </w:p>
        </w:tc>
      </w:tr>
      <w:tr w14:paraId="5250BE1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3D1768F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581" w:type="pct"/>
            <w:vMerge w:val="continue"/>
            <w:vAlign w:val="center"/>
          </w:tcPr>
          <w:p w14:paraId="12AB3CB7">
            <w:pPr>
              <w:pStyle w:val="105"/>
              <w:jc w:val="center"/>
              <w:rPr>
                <w:color w:val="000000" w:themeColor="text1"/>
                <w14:textFill>
                  <w14:solidFill>
                    <w14:schemeClr w14:val="tx1"/>
                  </w14:solidFill>
                </w14:textFill>
              </w:rPr>
            </w:pPr>
          </w:p>
        </w:tc>
        <w:tc>
          <w:tcPr>
            <w:tcW w:w="581" w:type="pct"/>
            <w:vMerge w:val="continue"/>
            <w:vAlign w:val="center"/>
          </w:tcPr>
          <w:p w14:paraId="60BA9266">
            <w:pPr>
              <w:pStyle w:val="105"/>
              <w:jc w:val="center"/>
              <w:rPr>
                <w:color w:val="000000" w:themeColor="text1"/>
                <w14:textFill>
                  <w14:solidFill>
                    <w14:schemeClr w14:val="tx1"/>
                  </w14:solidFill>
                </w14:textFill>
              </w:rPr>
            </w:pPr>
          </w:p>
        </w:tc>
        <w:tc>
          <w:tcPr>
            <w:tcW w:w="771" w:type="pct"/>
            <w:vAlign w:val="center"/>
          </w:tcPr>
          <w:p w14:paraId="7EDB253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河流水面</w:t>
            </w:r>
          </w:p>
        </w:tc>
        <w:tc>
          <w:tcPr>
            <w:tcW w:w="1152" w:type="pct"/>
            <w:vAlign w:val="center"/>
          </w:tcPr>
          <w:p w14:paraId="0C228EA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0.2032</w:t>
            </w:r>
          </w:p>
        </w:tc>
        <w:tc>
          <w:tcPr>
            <w:tcW w:w="1529" w:type="pct"/>
            <w:vAlign w:val="center"/>
          </w:tcPr>
          <w:p w14:paraId="6EA5A6F5">
            <w:pPr>
              <w:pStyle w:val="105"/>
              <w:jc w:val="center"/>
              <w:rPr>
                <w:color w:val="000000" w:themeColor="text1"/>
                <w14:textFill>
                  <w14:solidFill>
                    <w14:schemeClr w14:val="tx1"/>
                  </w14:solidFill>
                </w14:textFill>
              </w:rPr>
            </w:pPr>
          </w:p>
        </w:tc>
      </w:tr>
      <w:tr w14:paraId="5D0F77E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386" w:type="pct"/>
            <w:vAlign w:val="center"/>
          </w:tcPr>
          <w:p w14:paraId="73F8DDAA">
            <w:pPr>
              <w:pStyle w:val="105"/>
              <w:jc w:val="center"/>
              <w:rPr>
                <w:color w:val="000000" w:themeColor="text1"/>
                <w14:textFill>
                  <w14:solidFill>
                    <w14:schemeClr w14:val="tx1"/>
                  </w14:solidFill>
                </w14:textFill>
              </w:rPr>
            </w:pPr>
          </w:p>
        </w:tc>
        <w:tc>
          <w:tcPr>
            <w:tcW w:w="581" w:type="pct"/>
            <w:vMerge w:val="continue"/>
            <w:vAlign w:val="center"/>
          </w:tcPr>
          <w:p w14:paraId="6E254445">
            <w:pPr>
              <w:pStyle w:val="105"/>
              <w:jc w:val="center"/>
              <w:rPr>
                <w:color w:val="000000" w:themeColor="text1"/>
                <w14:textFill>
                  <w14:solidFill>
                    <w14:schemeClr w14:val="tx1"/>
                  </w14:solidFill>
                </w14:textFill>
              </w:rPr>
            </w:pPr>
          </w:p>
        </w:tc>
        <w:tc>
          <w:tcPr>
            <w:tcW w:w="581" w:type="pct"/>
            <w:vMerge w:val="continue"/>
            <w:vAlign w:val="center"/>
          </w:tcPr>
          <w:p w14:paraId="007A67A5">
            <w:pPr>
              <w:pStyle w:val="105"/>
              <w:jc w:val="center"/>
              <w:rPr>
                <w:color w:val="000000" w:themeColor="text1"/>
                <w14:textFill>
                  <w14:solidFill>
                    <w14:schemeClr w14:val="tx1"/>
                  </w14:solidFill>
                </w14:textFill>
              </w:rPr>
            </w:pPr>
          </w:p>
        </w:tc>
        <w:tc>
          <w:tcPr>
            <w:tcW w:w="771" w:type="pct"/>
            <w:vAlign w:val="center"/>
          </w:tcPr>
          <w:p w14:paraId="23A1C04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小计</w:t>
            </w:r>
          </w:p>
        </w:tc>
        <w:tc>
          <w:tcPr>
            <w:tcW w:w="1152" w:type="pct"/>
            <w:vAlign w:val="center"/>
          </w:tcPr>
          <w:p w14:paraId="2DB47F1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0.2392</w:t>
            </w:r>
          </w:p>
        </w:tc>
        <w:tc>
          <w:tcPr>
            <w:tcW w:w="1529" w:type="pct"/>
            <w:vAlign w:val="center"/>
          </w:tcPr>
          <w:p w14:paraId="1CCBB3F5">
            <w:pPr>
              <w:pStyle w:val="105"/>
              <w:jc w:val="center"/>
              <w:rPr>
                <w:color w:val="000000" w:themeColor="text1"/>
                <w14:textFill>
                  <w14:solidFill>
                    <w14:schemeClr w14:val="tx1"/>
                  </w14:solidFill>
                </w14:textFill>
              </w:rPr>
            </w:pPr>
          </w:p>
        </w:tc>
      </w:tr>
      <w:tr w14:paraId="5BC8437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2319" w:type="pct"/>
            <w:gridSpan w:val="4"/>
            <w:vAlign w:val="center"/>
          </w:tcPr>
          <w:p w14:paraId="3AAFC9F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合计</w:t>
            </w:r>
          </w:p>
        </w:tc>
        <w:tc>
          <w:tcPr>
            <w:tcW w:w="1152" w:type="pct"/>
            <w:vAlign w:val="center"/>
          </w:tcPr>
          <w:p w14:paraId="3D55756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0.9060</w:t>
            </w:r>
          </w:p>
        </w:tc>
        <w:tc>
          <w:tcPr>
            <w:tcW w:w="1529" w:type="pct"/>
            <w:vAlign w:val="center"/>
          </w:tcPr>
          <w:p w14:paraId="03CDEBCF">
            <w:pPr>
              <w:pStyle w:val="105"/>
              <w:jc w:val="center"/>
              <w:rPr>
                <w:color w:val="000000" w:themeColor="text1"/>
                <w14:textFill>
                  <w14:solidFill>
                    <w14:schemeClr w14:val="tx1"/>
                  </w14:solidFill>
                </w14:textFill>
              </w:rPr>
            </w:pPr>
          </w:p>
        </w:tc>
      </w:tr>
    </w:tbl>
    <w:p w14:paraId="58D58919">
      <w:pPr>
        <w:pStyle w:val="851"/>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（1）占用湿地：根据调查，本项目占用一般湿地面积0</w:t>
      </w:r>
      <w:r>
        <w:rPr>
          <w:color w:val="000000" w:themeColor="text1"/>
          <w14:textFill>
            <w14:solidFill>
              <w14:schemeClr w14:val="tx1"/>
            </w14:solidFill>
          </w14:textFill>
        </w:rPr>
        <w:t>.9060</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，占用湿地类型为沟渠、河流水面、坑塘水面和内陆滩涂。项目采取改河、涵洞、桥梁等形式跨越河道，保持河道连通。一般湿地面积减少甚微，对整个湿地斑块的破碎化基本没影响。</w:t>
      </w:r>
    </w:p>
    <w:p w14:paraId="37D085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对湿地动植物的影响：根据调查，迳江及其支流岸滩湿生植被类型为禾本科、莎草科等水生、湿生草本植物，均为迳江流域沿线常见植物，项目建设对迳江一般湿地植被影响较小。动物为常见两栖类、鱼类等，如沼水蛙、泽陆蛙等，施工期间对部分两栖类、鱼类</w:t>
      </w:r>
      <w:bookmarkStart w:id="649" w:name="hmcheck_d462548ae85e45b2b585855b8c88df38"/>
      <w:r>
        <w:rPr>
          <w:rFonts w:hint="eastAsia"/>
          <w:color w:val="000000" w:themeColor="text1"/>
          <w:shd w:val="clear" w:fill="FFAFAA"/>
          <w14:textFill>
            <w14:solidFill>
              <w14:schemeClr w14:val="tx1"/>
            </w14:solidFill>
          </w14:textFill>
        </w:rPr>
        <w:t>等会</w:t>
      </w:r>
      <w:bookmarkEnd w:id="649"/>
      <w:r>
        <w:rPr>
          <w:rFonts w:hint="eastAsia"/>
          <w:color w:val="000000" w:themeColor="text1"/>
          <w14:textFill>
            <w14:solidFill>
              <w14:schemeClr w14:val="tx1"/>
            </w14:solidFill>
          </w14:textFill>
        </w:rPr>
        <w:t>造成一定的影响，但总体而言影响不大。</w:t>
      </w:r>
    </w:p>
    <w:p w14:paraId="12BC748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（3）对湿地水环境的影响：项目涉水工程施工期对水环境的影响主要</w:t>
      </w:r>
      <w:bookmarkStart w:id="650" w:name="hmcheck_4a37c5f67e7848b9883db42f9802a355"/>
      <w:r>
        <w:rPr>
          <w:rFonts w:hint="eastAsia"/>
          <w:color w:val="000000" w:themeColor="text1"/>
          <w:shd w:val="clear" w:fill="FFAFAA"/>
          <w14:textFill>
            <w14:solidFill>
              <w14:schemeClr w14:val="tx1"/>
            </w14:solidFill>
          </w14:textFill>
        </w:rPr>
        <w:t>来自于</w:t>
      </w:r>
      <w:bookmarkEnd w:id="650"/>
      <w:r>
        <w:rPr>
          <w:rFonts w:hint="eastAsia"/>
          <w:color w:val="000000" w:themeColor="text1"/>
          <w14:textFill>
            <w14:solidFill>
              <w14:schemeClr w14:val="tx1"/>
            </w14:solidFill>
          </w14:textFill>
        </w:rPr>
        <w:t>桥梁基础、改河、涵洞等基础施工对水体的搅动，改河涵洞采取土袋围堰、导流；项目涉水桥墩桩基础施工采取钢护筒围堰，每个桩基在不漏水的钢护筒围堰中进行，先钻孔，后灌注混凝土，钻孔产生的泥浆均在护筒内，泥浆</w:t>
      </w:r>
      <w:bookmarkStart w:id="651" w:name="hmcheck_d3d75bf4057044ed88e0e265ae989b24"/>
      <w:r>
        <w:rPr>
          <w:rFonts w:hint="eastAsia"/>
          <w:color w:val="000000" w:themeColor="text1"/>
          <w:shd w:val="clear" w:fill="FFAFAA"/>
          <w14:textFill>
            <w14:solidFill>
              <w14:schemeClr w14:val="tx1"/>
            </w14:solidFill>
          </w14:textFill>
        </w:rPr>
        <w:t>经泵</w:t>
      </w:r>
      <w:bookmarkEnd w:id="651"/>
      <w:r>
        <w:rPr>
          <w:rFonts w:hint="eastAsia"/>
          <w:color w:val="000000" w:themeColor="text1"/>
          <w14:textFill>
            <w14:solidFill>
              <w14:schemeClr w14:val="tx1"/>
            </w14:solidFill>
          </w14:textFill>
        </w:rPr>
        <w:t>至岸边的沉淀池和泥浆池内，部分泥浆回用，无法回用的泥浆经沉淀后上清液回用，严禁将泥浆直接排入河道，</w:t>
      </w:r>
      <w:r>
        <w:rPr>
          <w:color w:val="000000" w:themeColor="text1"/>
          <w14:textFill>
            <w14:solidFill>
              <w14:schemeClr w14:val="tx1"/>
            </w14:solidFill>
          </w14:textFill>
        </w:rPr>
        <w:t>同时定期清理沉淀池，对清出后的沉淀物</w:t>
      </w:r>
      <w:r>
        <w:rPr>
          <w:rFonts w:hint="eastAsia"/>
          <w:color w:val="000000" w:themeColor="text1"/>
          <w14:textFill>
            <w14:solidFill>
              <w14:schemeClr w14:val="tx1"/>
            </w14:solidFill>
          </w14:textFill>
        </w:rPr>
        <w:t>与其他弃方一并转运综合利用。因此</w:t>
      </w:r>
      <w:bookmarkStart w:id="652" w:name="hmcheck_4655c3c4493a4a0c8b203bcb20acfc2c"/>
      <w:r>
        <w:rPr>
          <w:rFonts w:hint="eastAsia"/>
          <w:color w:val="000000" w:themeColor="text1"/>
          <w:shd w:val="clear" w:fill="FFAFAA"/>
          <w14:textFill>
            <w14:solidFill>
              <w14:schemeClr w14:val="tx1"/>
            </w14:solidFill>
          </w14:textFill>
        </w:rPr>
        <w:t>，在</w:t>
      </w:r>
      <w:bookmarkEnd w:id="652"/>
      <w:r>
        <w:rPr>
          <w:rFonts w:hint="eastAsia"/>
          <w:color w:val="000000" w:themeColor="text1"/>
          <w14:textFill>
            <w14:solidFill>
              <w14:schemeClr w14:val="tx1"/>
            </w14:solidFill>
          </w14:textFill>
        </w:rPr>
        <w:t>严格落实好环保措施，并加强施工管理，避免含油污水等生产废水随意排放，同时采取各项水保措施，则可以有效减少或避免施工期对水体造成的污染影响。工程建设对湿地水环境的影响总体是可控的。</w:t>
      </w:r>
    </w:p>
    <w:p w14:paraId="39D761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（4）对湿地支持功能的影响：项目影响评价区植被以矮灌及草本为主，植被覆盖率低，项目建设对其水源涵养功能影响很小鸟类在湿地区域均为常见种，活动领域宽广，适应性强，周边的</w:t>
      </w:r>
      <w:bookmarkStart w:id="653" w:name="hmcheck_48cade5e262f4d5e8f75c31c80a572ce"/>
      <w:r>
        <w:rPr>
          <w:rFonts w:hint="eastAsia"/>
          <w:color w:val="000000" w:themeColor="text1"/>
          <w:shd w:val="clear" w:fill="FFAFAA"/>
          <w14:textFill>
            <w14:solidFill>
              <w14:schemeClr w14:val="tx1"/>
            </w14:solidFill>
          </w14:textFill>
        </w:rPr>
        <w:t>其它湿地</w:t>
      </w:r>
      <w:bookmarkEnd w:id="653"/>
      <w:r>
        <w:rPr>
          <w:rFonts w:hint="eastAsia"/>
          <w:color w:val="000000" w:themeColor="text1"/>
          <w14:textFill>
            <w14:solidFill>
              <w14:schemeClr w14:val="tx1"/>
            </w14:solidFill>
          </w14:textFill>
        </w:rPr>
        <w:t>亦可以容纳其继续生存栖息，项目建设对鸟类群落结构影响有限。湿地面积小，鱼类及底栖动物种类与数量均极小，由于填方会部分影响湿地鱼类及底栖动物的活动，但从整体上不影响鱼类及水生动物生长繁殖活动。因此项目建设不会对现有野生动物栖息地造成明显阻隔效应，项目建设对生境面积及栖息地连通性影响程度为中低度影响。</w:t>
      </w:r>
    </w:p>
    <w:p w14:paraId="4D9F21B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5）对湿地调节功能的影响：项目施工会造成湿地水体浑浊，但这种影响是暂时的。项目建成后，随着植被群落的快速恢复，湿地净化水质的功能也将恢复。工程永久占用湿地面积较小，对湿地涵养水源、蓄洪抗旱、调节气候的功能有轻微影响。 </w:t>
      </w:r>
    </w:p>
    <w:p w14:paraId="3F2AA1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（6）对湿地供给功能的影响：占用湿地面积 0.9060  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，为跨越式占用，占用湿地类型为沟渠、河流水面、坑塘水面和内陆滩涂，因此项目对资源/生产供给的影响较小。</w:t>
      </w:r>
    </w:p>
    <w:p w14:paraId="1398772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综上，本项目实际占用湿地较小，通过桥梁、涵洞形式跨越，不会导致水体分隔，减少湿地面积很小，对湿地供给功能、调节功能均不产生明显影响，总体认为本项目建设对湿地生态功能影响轻微。</w:t>
      </w:r>
    </w:p>
    <w:p w14:paraId="646A3BEF">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对保护古树的影响</w:t>
      </w:r>
    </w:p>
    <w:p w14:paraId="3F5F56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项目占地红线范围内没有名木古树和野生珍贵树木，也无</w:t>
      </w:r>
      <w:bookmarkStart w:id="654" w:name="hmcheck_fda5ba22033045d980163fd0f3822071"/>
      <w:r>
        <w:rPr>
          <w:rFonts w:hint="eastAsia"/>
          <w:color w:val="000000" w:themeColor="text1"/>
          <w:shd w:val="clear" w:fill="FFAFAA"/>
          <w14:textFill>
            <w14:solidFill>
              <w14:schemeClr w14:val="tx1"/>
            </w14:solidFill>
          </w14:textFill>
        </w:rPr>
        <w:t>其它国家和</w:t>
      </w:r>
      <w:bookmarkEnd w:id="654"/>
      <w:r>
        <w:rPr>
          <w:rFonts w:hint="eastAsia"/>
          <w:color w:val="000000" w:themeColor="text1"/>
          <w14:textFill>
            <w14:solidFill>
              <w14:schemeClr w14:val="tx1"/>
            </w14:solidFill>
          </w14:textFill>
        </w:rPr>
        <w:t>省级重点保护的野生植物，评价范围</w:t>
      </w:r>
      <w:r>
        <w:rPr>
          <w:color w:val="000000" w:themeColor="text1"/>
          <w14:textFill>
            <w14:solidFill>
              <w14:schemeClr w14:val="tx1"/>
            </w14:solidFill>
          </w14:textFill>
        </w:rPr>
        <w:t>调查发现的</w:t>
      </w:r>
      <w:r>
        <w:rPr>
          <w:rFonts w:hint="eastAsia"/>
          <w:color w:val="000000" w:themeColor="text1"/>
          <w14:textFill>
            <w14:solidFill>
              <w14:schemeClr w14:val="tx1"/>
            </w14:solidFill>
          </w14:textFill>
        </w:rPr>
        <w:t>保护</w:t>
      </w:r>
      <w:r>
        <w:rPr>
          <w:color w:val="000000" w:themeColor="text1"/>
          <w14:textFill>
            <w14:solidFill>
              <w14:schemeClr w14:val="tx1"/>
            </w14:solidFill>
          </w14:textFill>
        </w:rPr>
        <w:t>古树8株</w:t>
      </w:r>
      <w:r>
        <w:rPr>
          <w:rFonts w:hint="eastAsia"/>
          <w:color w:val="000000" w:themeColor="text1"/>
          <w14:textFill>
            <w14:solidFill>
              <w14:schemeClr w14:val="tx1"/>
            </w14:solidFill>
          </w14:textFill>
        </w:rPr>
        <w:t>（最近约9</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距离相对较远，</w:t>
      </w:r>
      <w:r>
        <w:rPr>
          <w:color w:val="000000" w:themeColor="text1"/>
          <w14:textFill>
            <w14:solidFill>
              <w14:schemeClr w14:val="tx1"/>
            </w14:solidFill>
          </w14:textFill>
        </w:rPr>
        <w:t>工程在该处附近不设临时施工用地，工程建设不会对保护古树产生不利影响。</w:t>
      </w:r>
    </w:p>
    <w:p w14:paraId="123475AF">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工程占地对沿线农业的影响</w:t>
      </w:r>
    </w:p>
    <w:p w14:paraId="009A4F6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拟建公路所在区域农业开发历史悠久，土地开发利用率较高，后备土地资源较为紧缺。因此，工程主体工程占地将对沿线农业生产造成一定不利影响。本项目主体工程占用耕地4</w:t>
      </w:r>
      <w:r>
        <w:rPr>
          <w:color w:val="000000" w:themeColor="text1"/>
          <w14:textFill>
            <w14:solidFill>
              <w14:schemeClr w14:val="tx1"/>
            </w14:solidFill>
          </w14:textFill>
        </w:rPr>
        <w:t>.424</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、园地2</w:t>
      </w:r>
      <w:r>
        <w:rPr>
          <w:color w:val="000000" w:themeColor="text1"/>
          <w14:textFill>
            <w14:solidFill>
              <w14:schemeClr w14:val="tx1"/>
            </w14:solidFill>
          </w14:textFill>
        </w:rPr>
        <w:t>.6056</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 xml:space="preserve">，耕地、园地的占用将会对农业生态系统带来一定的影响，使得项目区耕地、园地面积减少。但工程占压耕地数量占福清市耕地总量比例较小，对工程沿线农业生产影响较小，不会使项目区土地利用总体格局发生明显改变，对区域农业生态功能不会产生明显影响。 </w:t>
      </w:r>
    </w:p>
    <w:p w14:paraId="520A8D2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工程占用的耕地和园地，占压前，应对耕地的表层熟土剥离，临时堆放在表土堆场，用于后期施工临时占地复耕。</w:t>
      </w:r>
    </w:p>
    <w:p w14:paraId="3ED22935">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运营期对生态环境的影响</w:t>
      </w:r>
    </w:p>
    <w:p w14:paraId="182EB26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（1）对植被的影响</w:t>
      </w:r>
    </w:p>
    <w:p w14:paraId="3BBD29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本项目建成后，新征占地内的植被将被破坏，取而代之的是路面，形成建筑用地类型。由于边缘效益，在公路边界外大约20～</w:t>
      </w:r>
      <w:r>
        <w:rPr>
          <w:color w:val="000000" w:themeColor="text1"/>
          <w14:textFill>
            <w14:solidFill>
              <w14:schemeClr w14:val="tx1"/>
            </w14:solidFill>
          </w14:textFill>
        </w:rPr>
        <w:t>50</w:t>
      </w:r>
      <w:r>
        <w:rPr>
          <w:rFonts w:hint="eastAsia"/>
          <w:color w:val="000000" w:themeColor="text1"/>
          <w14:textFill>
            <w14:solidFill>
              <w14:schemeClr w14:val="tx1"/>
            </w14:solidFill>
          </w14:textFill>
        </w:rPr>
        <w:t>m范围的林内，群落物种组成和结构将产生一定的变化，林下耐阴的常绿灌木以及草本将逐渐被阳生或半阳生植物所替代，而林缘外侧的空地将会被强</w:t>
      </w:r>
      <w:bookmarkStart w:id="655" w:name="hmcheck_8611af637f8a4b96b547a845e692959c"/>
      <w:r>
        <w:rPr>
          <w:rFonts w:hint="eastAsia"/>
          <w:color w:val="000000" w:themeColor="text1"/>
          <w:shd w:val="clear" w:fill="FFAFAA"/>
          <w14:textFill>
            <w14:solidFill>
              <w14:schemeClr w14:val="tx1"/>
            </w14:solidFill>
          </w14:textFill>
        </w:rPr>
        <w:t>阳生的</w:t>
      </w:r>
      <w:bookmarkEnd w:id="655"/>
      <w:r>
        <w:rPr>
          <w:rFonts w:hint="eastAsia"/>
          <w:color w:val="000000" w:themeColor="text1"/>
          <w14:textFill>
            <w14:solidFill>
              <w14:schemeClr w14:val="tx1"/>
            </w14:solidFill>
          </w14:textFill>
        </w:rPr>
        <w:t>灌木和杂草占据。</w:t>
      </w:r>
    </w:p>
    <w:p w14:paraId="4C49107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拟建公路对沿线乡镇的植被的损失占总量的比重很小，沿线乡镇植被覆盖率不会因此而有明显变化，公路建设配以适当的绿化工程，可以减轻其影响。</w:t>
      </w:r>
    </w:p>
    <w:p w14:paraId="35E54A03">
      <w:pPr>
        <w:ind w:firstLine="480"/>
        <w:rPr>
          <w:color w:val="000000" w:themeColor="text1"/>
          <w14:textFill>
            <w14:solidFill>
              <w14:schemeClr w14:val="tx1"/>
            </w14:solidFill>
          </w14:textFill>
        </w:rPr>
      </w:pPr>
      <w:bookmarkStart w:id="656" w:name="_Toc439084171"/>
      <w:r>
        <w:rPr>
          <w:rFonts w:hint="eastAsia"/>
          <w:color w:val="000000" w:themeColor="text1"/>
          <w14:textFill>
            <w14:solidFill>
              <w14:schemeClr w14:val="tx1"/>
            </w14:solidFill>
          </w14:textFill>
        </w:rPr>
        <w:t>（2）</w:t>
      </w:r>
      <w:r>
        <w:rPr>
          <w:color w:val="000000" w:themeColor="text1"/>
          <w14:textFill>
            <w14:solidFill>
              <w14:schemeClr w14:val="tx1"/>
            </w14:solidFill>
          </w14:textFill>
        </w:rPr>
        <w:t>对野生动物资源的影响分析</w:t>
      </w:r>
      <w:bookmarkEnd w:id="656"/>
    </w:p>
    <w:p w14:paraId="663093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①对陆生动物与两栖动物的影响</w:t>
      </w:r>
    </w:p>
    <w:p w14:paraId="6CE2D7D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属于二级公路，未实行全封闭，因此对动物的活动范围限制不明显，但对部分陆生动物的活动区域、迁移途径、栖息区域和觅食范围受到一定的影响。由于项目所经区域主要是村镇建成区，路基路段主要穿越村庄、耕地、园地，周围人为生产活动频繁，基本无大型野生动物，主要为田间两栖动物因经常在田间湿地和陆地之间迁移，在穿越公路时，很容易被车辆压死。半水栖、湿生的游蛇类中有部分在水中觅食，陆生繁殖，多要横过公路，此间公路上压死的两栖、爬行动物的概率将增多。由于路基段设置了较多的涵洞，确保了不切割地表水系，因而</w:t>
      </w:r>
      <w:bookmarkStart w:id="657" w:name="hmcheck_b8f2c72a7b5f41aeb6dce08b1f1722ad"/>
      <w:r>
        <w:rPr>
          <w:rFonts w:hint="eastAsia"/>
          <w:color w:val="000000" w:themeColor="text1"/>
          <w:shd w:val="clear" w:fill="FFAFAA"/>
          <w14:textFill>
            <w14:solidFill>
              <w14:schemeClr w14:val="tx1"/>
            </w14:solidFill>
          </w14:textFill>
        </w:rPr>
        <w:t>交通致死</w:t>
      </w:r>
      <w:bookmarkEnd w:id="657"/>
      <w:r>
        <w:rPr>
          <w:rFonts w:hint="eastAsia"/>
          <w:color w:val="000000" w:themeColor="text1"/>
          <w14:textFill>
            <w14:solidFill>
              <w14:schemeClr w14:val="tx1"/>
            </w14:solidFill>
          </w14:textFill>
        </w:rPr>
        <w:t>发生的概率相对减少。</w:t>
      </w:r>
    </w:p>
    <w:p w14:paraId="11F3C8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②对水生生物的影响：</w:t>
      </w:r>
      <w:r>
        <w:rPr>
          <w:color w:val="000000" w:themeColor="text1"/>
          <w14:textFill>
            <w14:solidFill>
              <w14:schemeClr w14:val="tx1"/>
            </w14:solidFill>
          </w14:textFill>
        </w:rPr>
        <w:t>运营期间，汽车尾气及路面材料产生的污染物随天然降雨形成的路面径流而进入</w:t>
      </w:r>
      <w:r>
        <w:rPr>
          <w:rFonts w:hint="eastAsia"/>
          <w:color w:val="000000" w:themeColor="text1"/>
          <w14:textFill>
            <w14:solidFill>
              <w14:schemeClr w14:val="tx1"/>
            </w14:solidFill>
          </w14:textFill>
        </w:rPr>
        <w:t>周边迳江地表</w:t>
      </w:r>
      <w:r>
        <w:rPr>
          <w:color w:val="000000" w:themeColor="text1"/>
          <w14:textFill>
            <w14:solidFill>
              <w14:schemeClr w14:val="tx1"/>
            </w14:solidFill>
          </w14:textFill>
        </w:rPr>
        <w:t>河流，但由于路面径流在工程设计中已根据不同的地质条件采用了相应的工程措施，如排水沟等，路面径流通过排水沟，水中的悬浮物、泥沙等经过降解或沉积，并进行了人工清理，其浓度对</w:t>
      </w:r>
      <w:r>
        <w:rPr>
          <w:rFonts w:hint="eastAsia"/>
          <w:color w:val="000000" w:themeColor="text1"/>
          <w14:textFill>
            <w14:solidFill>
              <w14:schemeClr w14:val="tx1"/>
            </w14:solidFill>
          </w14:textFill>
        </w:rPr>
        <w:t>地表河流</w:t>
      </w:r>
      <w:r>
        <w:rPr>
          <w:color w:val="000000" w:themeColor="text1"/>
          <w14:textFill>
            <w14:solidFill>
              <w14:schemeClr w14:val="tx1"/>
            </w14:solidFill>
          </w14:textFill>
        </w:rPr>
        <w:t>的影响较小，不会改变目前的水质现状，因此对水生生物的影响很小。</w:t>
      </w:r>
    </w:p>
    <w:p w14:paraId="5C0E28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（3）对区域生态系统结构完整性的影响分析</w:t>
      </w:r>
    </w:p>
    <w:p w14:paraId="743E74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由于拟建公路部分路段沿线以农业植被和林地植被为区域内的主要植被类型；项目区域内林地分布面积不大，对于林地植被而言，因为公路不会造成植物种子散布的阻隔。通过</w:t>
      </w:r>
      <w:r>
        <w:rPr>
          <w:rFonts w:ascii="Segoe UI" w:hAnsi="Segoe UI" w:cs="Segoe UI"/>
          <w:color w:val="404040"/>
        </w:rPr>
        <w:t>花粉传播</w:t>
      </w:r>
      <w:r>
        <w:rPr>
          <w:rFonts w:hint="eastAsia"/>
          <w:color w:val="000000" w:themeColor="text1"/>
          <w14:textFill>
            <w14:solidFill>
              <w14:schemeClr w14:val="tx1"/>
            </w14:solidFill>
          </w14:textFill>
        </w:rPr>
        <w:t>，植物仍能进行基因交流，种子生产和种子库更新等过程也不会被打断。因此现有植物群落的物种组成不会因此发生改变，生态系统的结构和功能仍将延续。公路建设会减少森林资源的数量，但对其生态效能影响不大。对于农田生态系统来说，由于沿线农田分布广，公路建设占用耕地在所在区域耕地数量的占比少，不会引起主要农作物种植品种和面积的较大改变，因此农田生态系统的结构不会被破坏。</w:t>
      </w:r>
    </w:p>
    <w:p w14:paraId="4D3CFCF8">
      <w:pPr>
        <w:spacing w:before="60" w:after="6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公路建成后，项目区域内植被类型和面积没有发生明显变化，仍是以林地植被和农田植被为主，也就是说本区域生态环境起控制作用的组分未变动，而且评价区域生态系统的核心是生物，生物有适应环境变化的功能，生物本身具有的生产能力可以为受到干扰的自然体系提供修补，从而维持自然体系的生态平衡和生态完整性，因此该公路项目建设不会改变当地生态系统的完整性和功能的连续性。</w:t>
      </w:r>
    </w:p>
    <w:p w14:paraId="75586924">
      <w:pPr>
        <w:pStyle w:val="120"/>
        <w:rPr>
          <w:color w:val="000000" w:themeColor="text1"/>
          <w14:textFill>
            <w14:solidFill>
              <w14:schemeClr w14:val="tx1"/>
            </w14:solidFill>
          </w14:textFill>
        </w:rPr>
      </w:pPr>
      <w:bookmarkStart w:id="658" w:name="_Toc149645947"/>
      <w:r>
        <w:rPr>
          <w:rFonts w:hint="eastAsia"/>
          <w:color w:val="000000" w:themeColor="text1"/>
          <w14:textFill>
            <w14:solidFill>
              <w14:schemeClr w14:val="tx1"/>
            </w14:solidFill>
          </w14:textFill>
        </w:rPr>
        <w:t>水土流失影响分析</w:t>
      </w:r>
      <w:bookmarkEnd w:id="658"/>
    </w:p>
    <w:p w14:paraId="20FF1132">
      <w:pPr>
        <w:ind w:firstLine="480"/>
        <w:rPr>
          <w:rFonts w:ascii="仿宋" w:hAnsi="仿宋" w:eastAsia="仿宋" w:cs="仿宋"/>
          <w:color w:val="000000" w:themeColor="text1"/>
          <w:szCs w:val="24"/>
          <w14:textFill>
            <w14:solidFill>
              <w14:schemeClr w14:val="tx1"/>
            </w14:solidFill>
          </w14:textFill>
        </w:rPr>
      </w:pPr>
      <w:r>
        <w:rPr>
          <w:rFonts w:hint="eastAsia"/>
          <w:color w:val="000000" w:themeColor="text1"/>
          <w14:textFill>
            <w14:solidFill>
              <w14:schemeClr w14:val="tx1"/>
            </w14:solidFill>
          </w14:textFill>
        </w:rPr>
        <w:t>根据项目水土保持方案，</w:t>
      </w:r>
      <w:r>
        <w:rPr>
          <w:color w:val="000000" w:themeColor="text1"/>
          <w14:textFill>
            <w14:solidFill>
              <w14:schemeClr w14:val="tx1"/>
            </w14:solidFill>
          </w14:textFill>
        </w:rPr>
        <w:t>本项目可能产生的水土流失总量为 2491.51t，新增水土流失总量为 2366.35t，背景水土流失量为 125.17t。</w:t>
      </w:r>
    </w:p>
    <w:p w14:paraId="266B51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工程水土流失主要集中</w:t>
      </w:r>
      <w:r>
        <w:rPr>
          <w:color w:val="000000" w:themeColor="text1"/>
          <w14:textFill>
            <w14:solidFill>
              <w14:schemeClr w14:val="tx1"/>
            </w14:solidFill>
          </w14:textFill>
        </w:rPr>
        <w:t>水土流失主要产生于路基工程区、边坡防护工程</w:t>
      </w:r>
      <w:r>
        <w:rPr>
          <w:rFonts w:ascii="仿宋" w:hAnsi="仿宋" w:eastAsia="仿宋" w:cs="仿宋"/>
          <w:color w:val="000000" w:themeColor="text1"/>
          <w:spacing w:val="-22"/>
          <w:szCs w:val="24"/>
          <w14:textFill>
            <w14:solidFill>
              <w14:schemeClr w14:val="tx1"/>
            </w14:solidFill>
          </w14:textFill>
        </w:rPr>
        <w:t>区</w:t>
      </w:r>
      <w:r>
        <w:rPr>
          <w:rFonts w:hint="eastAsia"/>
          <w:color w:val="000000" w:themeColor="text1"/>
          <w14:textFill>
            <w14:solidFill>
              <w14:schemeClr w14:val="tx1"/>
            </w14:solidFill>
          </w14:textFill>
        </w:rPr>
        <w:t>，因此应作为水土流失防治和监测的重点区域。本工程属于建设类项目，水土流失主要集中在施工期，应为水土流失防治和监测的重点时段。本项目在建设过程中可能造成的水土流失危害如下：</w:t>
      </w:r>
    </w:p>
    <w:p w14:paraId="4CCEA75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影响区域生态环境，加剧项目区水土流失</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项目建设过程中，占用土地，扰动地表，损坏原有土层结构和地表植被，使其原有的水土保持功能降低或丧失，在短期内难以恢复到原有水平；另一方面在施工中挖填形成的裸露坡面极易造成水土流失，使项目区土壤侵蚀模数远远超过容许范围，从而加剧项目区水土流失，若不采取水土保持措施将影响区域生态环境。</w:t>
      </w:r>
    </w:p>
    <w:p w14:paraId="18489770">
      <w:pPr>
        <w:ind w:firstLine="480"/>
        <w:rPr>
          <w:rFonts w:cs="Times New Roman"/>
          <w:color w:val="000000" w:themeColor="text1"/>
          <w:spacing w:val="-4"/>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影响周边居民生产生活</w:t>
      </w:r>
      <w:r>
        <w:rPr>
          <w:rFonts w:hint="eastAsia"/>
          <w:color w:val="000000" w:themeColor="text1"/>
          <w14:textFill>
            <w14:solidFill>
              <w14:schemeClr w14:val="tx1"/>
            </w14:solidFill>
          </w14:textFill>
        </w:rPr>
        <w:t>：</w:t>
      </w:r>
      <w:r>
        <w:rPr>
          <w:rFonts w:cs="Times New Roman"/>
          <w:color w:val="000000" w:themeColor="text1"/>
          <w:spacing w:val="-4"/>
          <w14:textFill>
            <w14:solidFill>
              <w14:schemeClr w14:val="tx1"/>
            </w14:solidFill>
          </w14:textFill>
        </w:rPr>
        <w:t>项目沿线存在</w:t>
      </w:r>
      <w:r>
        <w:rPr>
          <w:rFonts w:hint="eastAsia"/>
          <w:color w:val="000000" w:themeColor="text1"/>
          <w14:textFill>
            <w14:solidFill>
              <w14:schemeClr w14:val="tx1"/>
            </w14:solidFill>
          </w14:textFill>
        </w:rPr>
        <w:t>牌边村、上张村、联华村、侨丰村</w:t>
      </w:r>
      <w:r>
        <w:rPr>
          <w:rFonts w:cs="Times New Roman"/>
          <w:color w:val="000000" w:themeColor="text1"/>
          <w:spacing w:val="-4"/>
          <w14:textFill>
            <w14:solidFill>
              <w14:schemeClr w14:val="tx1"/>
            </w14:solidFill>
          </w14:textFill>
        </w:rPr>
        <w:t>，施工开挖松散</w:t>
      </w:r>
      <w:bookmarkStart w:id="659" w:name="hmcheck_72db9497f3414d078a127b3c0af317d2"/>
      <w:r>
        <w:rPr>
          <w:rFonts w:cs="Times New Roman"/>
          <w:color w:val="000000" w:themeColor="text1"/>
          <w:spacing w:val="-4"/>
          <w:shd w:val="clear" w:fill="FFAFAA"/>
          <w14:textFill>
            <w14:solidFill>
              <w14:schemeClr w14:val="tx1"/>
            </w14:solidFill>
          </w14:textFill>
        </w:rPr>
        <w:t>土石方如</w:t>
      </w:r>
      <w:bookmarkEnd w:id="659"/>
      <w:r>
        <w:rPr>
          <w:rFonts w:cs="Times New Roman"/>
          <w:color w:val="000000" w:themeColor="text1"/>
          <w:spacing w:val="-4"/>
          <w14:textFill>
            <w14:solidFill>
              <w14:schemeClr w14:val="tx1"/>
            </w14:solidFill>
          </w14:textFill>
        </w:rPr>
        <w:t>未采取必要的防护措施，雨天在降雨的作用下易产生水土流失，施工车轮带走泥土污染环境；晴天尘土飞扬，增加空气中颗粒物的含量，对周边居民出行带来不便。</w:t>
      </w:r>
    </w:p>
    <w:p w14:paraId="13F5F513">
      <w:pPr>
        <w:pStyle w:val="19"/>
        <w:ind w:firstLine="472"/>
        <w:rPr>
          <w:rFonts w:ascii="Times New Roman" w:hAnsi="Times New Roman" w:cs="Times New Roman"/>
          <w:color w:val="000000" w:themeColor="text1"/>
          <w:spacing w:val="-4"/>
          <w14:textFill>
            <w14:solidFill>
              <w14:schemeClr w14:val="tx1"/>
            </w14:solidFill>
          </w14:textFill>
        </w:rPr>
      </w:pPr>
      <w:r>
        <w:rPr>
          <w:rFonts w:hint="eastAsia" w:ascii="Times New Roman" w:hAnsi="Times New Roman" w:cs="Times New Roman"/>
          <w:color w:val="000000" w:themeColor="text1"/>
          <w:spacing w:val="-4"/>
          <w14:textFill>
            <w14:solidFill>
              <w14:schemeClr w14:val="tx1"/>
            </w14:solidFill>
          </w14:textFill>
        </w:rPr>
        <w:t>③泥沙外泄，淤积溪流：本项目道路沿线跨越迳江，若项目建设过程中水土流失防治不当，泥沙外泄，淤 积河道、抬高河床，影响行洪。</w:t>
      </w:r>
    </w:p>
    <w:p w14:paraId="19564395">
      <w:pPr>
        <w:pStyle w:val="19"/>
        <w:ind w:firstLine="472"/>
        <w:rPr>
          <w:rFonts w:ascii="Times New Roman" w:hAnsi="Times New Roman" w:cs="Times New Roman"/>
          <w:color w:val="000000" w:themeColor="text1"/>
          <w:spacing w:val="-4"/>
          <w14:textFill>
            <w14:solidFill>
              <w14:schemeClr w14:val="tx1"/>
            </w14:solidFill>
          </w14:textFill>
        </w:rPr>
      </w:pPr>
      <w:r>
        <w:rPr>
          <w:rFonts w:hint="eastAsia" w:ascii="Times New Roman" w:hAnsi="Times New Roman" w:cs="Times New Roman"/>
          <w:color w:val="000000" w:themeColor="text1"/>
          <w:spacing w:val="-4"/>
          <w14:textFill>
            <w14:solidFill>
              <w14:schemeClr w14:val="tx1"/>
            </w14:solidFill>
          </w14:textFill>
        </w:rPr>
        <w:t>④泥沙外泄，淹埋耕地和林地：道路沿线周边为耕地和林地，若项目建设过程中水土流失防治不当，泥沙外泄，淹埋耕地，影响耕作。</w:t>
      </w:r>
    </w:p>
    <w:p w14:paraId="4F7D61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影响土地生产力：工程施工时间长，施工直接造成对原地表的扰动，使表层土和植被遭到破坏，生态系统的稳定性和承载力就会减弱，形成了生态环境系统的脆弱性，易发生自然灾害。裸露的地面在雨水的冲刷下会形成面蚀或沟蚀，从而带走表层土的营养元素，破坏土壤团粒结构，使土地退化。</w:t>
      </w:r>
    </w:p>
    <w:p w14:paraId="0F282361">
      <w:pPr>
        <w:ind w:firstLine="472"/>
        <w:rPr>
          <w:color w:val="000000" w:themeColor="text1"/>
          <w14:textFill>
            <w14:solidFill>
              <w14:schemeClr w14:val="tx1"/>
            </w14:solidFill>
          </w14:textFill>
        </w:rPr>
      </w:pPr>
      <w:r>
        <w:rPr>
          <w:rFonts w:cs="Times New Roman"/>
          <w:color w:val="000000" w:themeColor="text1"/>
          <w:spacing w:val="-4"/>
          <w14:textFill>
            <w14:solidFill>
              <w14:schemeClr w14:val="tx1"/>
            </w14:solidFill>
          </w14:textFill>
        </w:rPr>
        <w:t>本工程水土流失主要集中在公路工程场地平整、开挖回填和路基处理等，应作为水土流失防治和监测的重点区域。施工期水土流失总量占水土流失总量最大，施工期应为水土流失防治和监测的重点时段。工程应针对不同时段不同区域的水土流失特点，因地制宜、因害设防，设置相应的防治措施，制定行之有效的防治方案，遏制新增水土流失的发生和发展。</w:t>
      </w:r>
    </w:p>
    <w:p w14:paraId="3FDE0EDD">
      <w:pPr>
        <w:pStyle w:val="87"/>
        <w:spacing w:before="163"/>
        <w:rPr>
          <w:color w:val="000000" w:themeColor="text1"/>
          <w14:textFill>
            <w14:solidFill>
              <w14:schemeClr w14:val="tx1"/>
            </w14:solidFill>
          </w14:textFill>
        </w:rPr>
      </w:pPr>
      <w:r>
        <w:rPr>
          <w:color w:val="000000" w:themeColor="text1"/>
          <w14:textFill>
            <w14:solidFill>
              <w14:schemeClr w14:val="tx1"/>
            </w14:solidFill>
          </w14:textFill>
        </w:rPr>
        <w:tab/>
      </w:r>
      <w:r>
        <w:rPr>
          <w:rFonts w:hint="eastAsia"/>
          <w:color w:val="000000" w:themeColor="text1"/>
          <w14:textFill>
            <w14:solidFill>
              <w14:schemeClr w14:val="tx1"/>
            </w14:solidFill>
          </w14:textFill>
        </w:rPr>
        <w:t>生态影响评价自查表</w:t>
      </w:r>
    </w:p>
    <w:tbl>
      <w:tblPr>
        <w:tblStyle w:val="54"/>
        <w:tblW w:w="506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3"/>
        <w:gridCol w:w="1429"/>
        <w:gridCol w:w="6720"/>
      </w:tblGrid>
      <w:tr w14:paraId="5DB8E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0" w:type="pct"/>
            <w:gridSpan w:val="2"/>
            <w:vAlign w:val="center"/>
          </w:tcPr>
          <w:p w14:paraId="5BA10DCD">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工作内容</w:t>
            </w:r>
          </w:p>
        </w:tc>
        <w:tc>
          <w:tcPr>
            <w:tcW w:w="3570" w:type="pct"/>
            <w:vAlign w:val="center"/>
          </w:tcPr>
          <w:p w14:paraId="731105F0">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自查项目</w:t>
            </w:r>
          </w:p>
        </w:tc>
      </w:tr>
      <w:tr w14:paraId="72807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restart"/>
            <w:vAlign w:val="center"/>
          </w:tcPr>
          <w:p w14:paraId="2B4FA8CA">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生态影响识别</w:t>
            </w:r>
          </w:p>
        </w:tc>
        <w:tc>
          <w:tcPr>
            <w:tcW w:w="759" w:type="pct"/>
            <w:vAlign w:val="center"/>
          </w:tcPr>
          <w:p w14:paraId="0E2B3674">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生态保护目标</w:t>
            </w:r>
          </w:p>
        </w:tc>
        <w:tc>
          <w:tcPr>
            <w:tcW w:w="3570" w:type="pct"/>
            <w:vAlign w:val="center"/>
          </w:tcPr>
          <w:p w14:paraId="7703A574">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重要物种</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国家公园□</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自然保护区□</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自然公园□</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世界自然遗产□</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生态保护红线□</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重要生境□</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其他具有重要生态功能</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对保护生物多样性具有重要意义的区域□</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p>
        </w:tc>
      </w:tr>
      <w:tr w14:paraId="006B7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7EF813CB">
            <w:pPr>
              <w:pStyle w:val="105"/>
              <w:widowControl w:val="0"/>
              <w:jc w:val="both"/>
              <w:rPr>
                <w:color w:val="000000" w:themeColor="text1"/>
                <w14:textFill>
                  <w14:solidFill>
                    <w14:schemeClr w14:val="tx1"/>
                  </w14:solidFill>
                </w14:textFill>
              </w:rPr>
            </w:pPr>
          </w:p>
        </w:tc>
        <w:tc>
          <w:tcPr>
            <w:tcW w:w="759" w:type="pct"/>
            <w:vAlign w:val="center"/>
          </w:tcPr>
          <w:p w14:paraId="6BF07A23">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影响方式</w:t>
            </w:r>
          </w:p>
        </w:tc>
        <w:tc>
          <w:tcPr>
            <w:tcW w:w="3570" w:type="pct"/>
            <w:vAlign w:val="center"/>
          </w:tcPr>
          <w:p w14:paraId="508BEA00">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工程占用</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施工活动干扰</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改变环境条件□</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p>
        </w:tc>
      </w:tr>
      <w:tr w14:paraId="57711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75FE4F10">
            <w:pPr>
              <w:pStyle w:val="105"/>
              <w:widowControl w:val="0"/>
              <w:jc w:val="both"/>
              <w:rPr>
                <w:color w:val="000000" w:themeColor="text1"/>
                <w14:textFill>
                  <w14:solidFill>
                    <w14:schemeClr w14:val="tx1"/>
                  </w14:solidFill>
                </w14:textFill>
              </w:rPr>
            </w:pPr>
          </w:p>
        </w:tc>
        <w:tc>
          <w:tcPr>
            <w:tcW w:w="759" w:type="pct"/>
            <w:vAlign w:val="center"/>
          </w:tcPr>
          <w:p w14:paraId="05C260F7">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评价因子</w:t>
            </w:r>
          </w:p>
        </w:tc>
        <w:tc>
          <w:tcPr>
            <w:tcW w:w="3570" w:type="pct"/>
            <w:vAlign w:val="center"/>
          </w:tcPr>
          <w:p w14:paraId="515B2631">
            <w:pPr>
              <w:pStyle w:val="105"/>
              <w:widowControl w:val="0"/>
              <w:jc w:val="both"/>
              <w:rPr>
                <w:rFonts w:asciiTheme="minorEastAsia" w:hAnsiTheme="minorEastAsia"/>
                <w:color w:val="000000" w:themeColor="text1"/>
                <w14:textFill>
                  <w14:solidFill>
                    <w14:schemeClr w14:val="tx1"/>
                  </w14:solidFill>
                </w14:textFill>
              </w:rPr>
            </w:pPr>
            <w:r>
              <w:rPr>
                <w:color w:val="000000" w:themeColor="text1"/>
                <w14:textFill>
                  <w14:solidFill>
                    <w14:schemeClr w14:val="tx1"/>
                  </w14:solidFill>
                </w14:textFill>
              </w:rPr>
              <w:t>物种</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w:t>
            </w:r>
          </w:p>
          <w:p w14:paraId="0987A02A">
            <w:pPr>
              <w:pStyle w:val="105"/>
              <w:widowControl w:val="0"/>
              <w:jc w:val="both"/>
              <w:rPr>
                <w:rFonts w:asciiTheme="minorEastAsia" w:hAnsiTheme="minorEastAsia"/>
                <w:color w:val="000000" w:themeColor="text1"/>
                <w14:textFill>
                  <w14:solidFill>
                    <w14:schemeClr w14:val="tx1"/>
                  </w14:solidFill>
                </w14:textFill>
              </w:rPr>
            </w:pPr>
            <w:r>
              <w:rPr>
                <w:color w:val="000000" w:themeColor="text1"/>
                <w14:textFill>
                  <w14:solidFill>
                    <w14:schemeClr w14:val="tx1"/>
                  </w14:solidFill>
                </w14:textFill>
              </w:rPr>
              <w:t>生境</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hint="eastAsia"/>
                <w:color w:val="000000" w:themeColor="text1"/>
                <w14:textFill>
                  <w14:solidFill>
                    <w14:schemeClr w14:val="tx1"/>
                  </w14:solidFill>
                </w14:textFill>
              </w:rPr>
              <w:t>生境面积、质量等</w:t>
            </w:r>
            <w:r>
              <w:rPr>
                <w:rFonts w:hint="eastAsia" w:asciiTheme="minorEastAsia" w:hAnsiTheme="minorEastAsia"/>
                <w:color w:val="000000" w:themeColor="text1"/>
                <w14:textFill>
                  <w14:solidFill>
                    <w14:schemeClr w14:val="tx1"/>
                  </w14:solidFill>
                </w14:textFill>
              </w:rPr>
              <w:t>）</w:t>
            </w:r>
          </w:p>
          <w:p w14:paraId="2F77B125">
            <w:pPr>
              <w:pStyle w:val="105"/>
              <w:widowControl w:val="0"/>
              <w:jc w:val="both"/>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生物群落</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（物种组成、群落结构等）</w:t>
            </w:r>
          </w:p>
          <w:p w14:paraId="5476CF34">
            <w:pPr>
              <w:pStyle w:val="105"/>
              <w:widowControl w:val="0"/>
              <w:jc w:val="both"/>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生态系统</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hint="eastAsia"/>
                <w:color w:val="000000" w:themeColor="text1"/>
                <w14:textFill>
                  <w14:solidFill>
                    <w14:schemeClr w14:val="tx1"/>
                  </w14:solidFill>
                </w14:textFill>
              </w:rPr>
              <w:t>生态系统类型及面积、生物量、生态系统功能等</w:t>
            </w:r>
            <w:r>
              <w:rPr>
                <w:rFonts w:hint="eastAsia" w:asciiTheme="minorEastAsia" w:hAnsiTheme="minorEastAsia"/>
                <w:color w:val="000000" w:themeColor="text1"/>
                <w14:textFill>
                  <w14:solidFill>
                    <w14:schemeClr w14:val="tx1"/>
                  </w14:solidFill>
                </w14:textFill>
              </w:rPr>
              <w:t>）</w:t>
            </w:r>
          </w:p>
          <w:p w14:paraId="6E4A7957">
            <w:pPr>
              <w:pStyle w:val="105"/>
              <w:widowControl w:val="0"/>
              <w:jc w:val="both"/>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生物多样性</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 xml:space="preserve">（ </w:t>
            </w:r>
            <w:r>
              <w:rPr>
                <w:rFonts w:asciiTheme="minorEastAsia" w:hAnsiTheme="minorEastAsia"/>
                <w:color w:val="000000" w:themeColor="text1"/>
                <w14:textFill>
                  <w14:solidFill>
                    <w14:schemeClr w14:val="tx1"/>
                  </w14:solidFill>
                </w14:textFill>
              </w:rPr>
              <w:t xml:space="preserve">         </w:t>
            </w:r>
            <w:r>
              <w:rPr>
                <w:rFonts w:hint="eastAsia" w:asciiTheme="minorEastAsia" w:hAnsiTheme="minorEastAsia"/>
                <w:color w:val="000000" w:themeColor="text1"/>
                <w14:textFill>
                  <w14:solidFill>
                    <w14:schemeClr w14:val="tx1"/>
                  </w14:solidFill>
                </w14:textFill>
              </w:rPr>
              <w:t>）</w:t>
            </w:r>
          </w:p>
          <w:p w14:paraId="3CE7CAA3">
            <w:pPr>
              <w:pStyle w:val="105"/>
              <w:widowControl w:val="0"/>
              <w:jc w:val="both"/>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生态敏感区</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（生态公益林、一般湿地等）</w:t>
            </w:r>
          </w:p>
          <w:p w14:paraId="5A3831C1">
            <w:pPr>
              <w:pStyle w:val="105"/>
              <w:widowControl w:val="0"/>
              <w:jc w:val="both"/>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自然景观</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                      ）</w:t>
            </w:r>
          </w:p>
          <w:p w14:paraId="362D4532">
            <w:pPr>
              <w:pStyle w:val="105"/>
              <w:widowControl w:val="0"/>
              <w:jc w:val="both"/>
              <w:rPr>
                <w:rFonts w:asciiTheme="minorEastAsia" w:hAnsiTheme="minorEastAsia"/>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自然遗迹</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                      ）</w:t>
            </w:r>
          </w:p>
          <w:p w14:paraId="69DB5628">
            <w:pPr>
              <w:pStyle w:val="105"/>
              <w:widowControl w:val="0"/>
              <w:jc w:val="both"/>
              <w:rPr>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（土地利用现状）</w:t>
            </w:r>
          </w:p>
        </w:tc>
      </w:tr>
      <w:tr w14:paraId="4CB93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0" w:type="pct"/>
            <w:gridSpan w:val="2"/>
            <w:vAlign w:val="center"/>
          </w:tcPr>
          <w:p w14:paraId="32CCF830">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评价等级</w:t>
            </w:r>
          </w:p>
        </w:tc>
        <w:tc>
          <w:tcPr>
            <w:tcW w:w="3570" w:type="pct"/>
            <w:vAlign w:val="center"/>
          </w:tcPr>
          <w:p w14:paraId="5F87A2C0">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一级</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 xml:space="preserve">          二级</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 xml:space="preserve">          三级</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 xml:space="preserve">    生态影响简单分析</w:t>
            </w:r>
            <w:r>
              <w:rPr>
                <w:rFonts w:asciiTheme="minorEastAsia" w:hAnsiTheme="minorEastAsia"/>
                <w:color w:val="000000" w:themeColor="text1"/>
                <w14:textFill>
                  <w14:solidFill>
                    <w14:schemeClr w14:val="tx1"/>
                  </w14:solidFill>
                </w14:textFill>
              </w:rPr>
              <w:t>□</w:t>
            </w:r>
          </w:p>
        </w:tc>
      </w:tr>
      <w:tr w14:paraId="3F03D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30" w:type="pct"/>
            <w:gridSpan w:val="2"/>
            <w:vAlign w:val="center"/>
          </w:tcPr>
          <w:p w14:paraId="1C332F58">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评价范围</w:t>
            </w:r>
          </w:p>
        </w:tc>
        <w:tc>
          <w:tcPr>
            <w:tcW w:w="3570" w:type="pct"/>
            <w:vAlign w:val="center"/>
          </w:tcPr>
          <w:p w14:paraId="59B482B5">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陆域面积</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377. 1371</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；水域面积：（</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）km</w:t>
            </w:r>
            <w:r>
              <w:rPr>
                <w:rFonts w:hint="eastAsia"/>
                <w:color w:val="000000" w:themeColor="text1"/>
                <w:vertAlign w:val="superscript"/>
                <w14:textFill>
                  <w14:solidFill>
                    <w14:schemeClr w14:val="tx1"/>
                  </w14:solidFill>
                </w14:textFill>
              </w:rPr>
              <w:t>2</w:t>
            </w:r>
          </w:p>
        </w:tc>
      </w:tr>
      <w:tr w14:paraId="06735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restart"/>
            <w:vAlign w:val="center"/>
          </w:tcPr>
          <w:p w14:paraId="10C6E0CB">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生态现状调查与</w:t>
            </w:r>
          </w:p>
          <w:p w14:paraId="05DDB766">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w:t>
            </w:r>
          </w:p>
        </w:tc>
        <w:tc>
          <w:tcPr>
            <w:tcW w:w="759" w:type="pct"/>
            <w:vAlign w:val="center"/>
          </w:tcPr>
          <w:p w14:paraId="315AABB1">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调查方法</w:t>
            </w:r>
          </w:p>
        </w:tc>
        <w:tc>
          <w:tcPr>
            <w:tcW w:w="3570" w:type="pct"/>
            <w:vAlign w:val="center"/>
          </w:tcPr>
          <w:p w14:paraId="1CC9E6D1">
            <w:pPr>
              <w:pStyle w:val="105"/>
              <w:widowControl w:val="0"/>
              <w:jc w:val="both"/>
              <w:rPr>
                <w:rFonts w:asciiTheme="minorEastAsia" w:hAnsiTheme="minorEastAsia"/>
                <w:color w:val="000000" w:themeColor="text1"/>
                <w14:textFill>
                  <w14:solidFill>
                    <w14:schemeClr w14:val="tx1"/>
                  </w14:solidFill>
                </w14:textFill>
              </w:rPr>
            </w:pPr>
            <w:r>
              <w:rPr>
                <w:color w:val="000000" w:themeColor="text1"/>
                <w14:textFill>
                  <w14:solidFill>
                    <w14:schemeClr w14:val="tx1"/>
                  </w14:solidFill>
                </w14:textFill>
              </w:rPr>
              <w:t>资料收集</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遥感调查</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调查样方</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样线□</w:t>
            </w:r>
            <w:r>
              <w:rPr>
                <w:rFonts w:hint="eastAsia" w:asciiTheme="minorEastAsia" w:hAnsiTheme="minorEastAsia"/>
                <w:color w:val="000000" w:themeColor="text1"/>
                <w14:textFill>
                  <w14:solidFill>
                    <w14:schemeClr w14:val="tx1"/>
                  </w14:solidFill>
                </w14:textFill>
              </w:rPr>
              <w:t>；</w:t>
            </w:r>
          </w:p>
          <w:p w14:paraId="26B58B13">
            <w:pPr>
              <w:pStyle w:val="105"/>
              <w:widowControl w:val="0"/>
              <w:jc w:val="both"/>
              <w:rPr>
                <w:color w:val="000000" w:themeColor="text1"/>
                <w14:textFill>
                  <w14:solidFill>
                    <w14:schemeClr w14:val="tx1"/>
                  </w14:solidFill>
                </w14:textFill>
              </w:rPr>
            </w:pPr>
            <w:r>
              <w:rPr>
                <w:rFonts w:asciiTheme="minorEastAsia" w:hAnsiTheme="minorEastAsia"/>
                <w:color w:val="000000" w:themeColor="text1"/>
                <w14:textFill>
                  <w14:solidFill>
                    <w14:schemeClr w14:val="tx1"/>
                  </w14:solidFill>
                </w14:textFill>
              </w:rPr>
              <w:t>调查点位</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断面□</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专家和公众咨询法</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p>
        </w:tc>
      </w:tr>
      <w:tr w14:paraId="21990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7EE1A6E4">
            <w:pPr>
              <w:pStyle w:val="105"/>
              <w:widowControl w:val="0"/>
              <w:jc w:val="both"/>
              <w:rPr>
                <w:color w:val="000000" w:themeColor="text1"/>
                <w14:textFill>
                  <w14:solidFill>
                    <w14:schemeClr w14:val="tx1"/>
                  </w14:solidFill>
                </w14:textFill>
              </w:rPr>
            </w:pPr>
          </w:p>
        </w:tc>
        <w:tc>
          <w:tcPr>
            <w:tcW w:w="759" w:type="pct"/>
            <w:vAlign w:val="center"/>
          </w:tcPr>
          <w:p w14:paraId="5180EBB1">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调查时间</w:t>
            </w:r>
          </w:p>
        </w:tc>
        <w:tc>
          <w:tcPr>
            <w:tcW w:w="3570" w:type="pct"/>
            <w:vAlign w:val="center"/>
          </w:tcPr>
          <w:p w14:paraId="738516D9">
            <w:pPr>
              <w:pStyle w:val="105"/>
              <w:widowControl w:val="0"/>
              <w:jc w:val="both"/>
              <w:rPr>
                <w:rFonts w:asciiTheme="minorEastAsia" w:hAnsiTheme="minorEastAsia"/>
                <w:color w:val="000000" w:themeColor="text1"/>
                <w14:textFill>
                  <w14:solidFill>
                    <w14:schemeClr w14:val="tx1"/>
                  </w14:solidFill>
                </w14:textFill>
              </w:rPr>
            </w:pPr>
            <w:r>
              <w:rPr>
                <w:color w:val="000000" w:themeColor="text1"/>
                <w14:textFill>
                  <w14:solidFill>
                    <w14:schemeClr w14:val="tx1"/>
                  </w14:solidFill>
                </w14:textFill>
              </w:rPr>
              <w:t>春季</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夏季□</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秋季□</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冬季□</w:t>
            </w:r>
          </w:p>
          <w:p w14:paraId="277ABFB1">
            <w:pPr>
              <w:pStyle w:val="105"/>
              <w:widowControl w:val="0"/>
              <w:jc w:val="both"/>
              <w:rPr>
                <w:color w:val="000000" w:themeColor="text1"/>
                <w14:textFill>
                  <w14:solidFill>
                    <w14:schemeClr w14:val="tx1"/>
                  </w14:solidFill>
                </w14:textFill>
              </w:rPr>
            </w:pPr>
            <w:r>
              <w:rPr>
                <w:rFonts w:hint="eastAsia" w:asciiTheme="minorEastAsia" w:hAnsiTheme="minorEastAsia"/>
                <w:color w:val="000000" w:themeColor="text1"/>
                <w14:textFill>
                  <w14:solidFill>
                    <w14:schemeClr w14:val="tx1"/>
                  </w14:solidFill>
                </w14:textFill>
              </w:rPr>
              <w:t>丰水期</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枯水期□</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平水期□</w:t>
            </w:r>
          </w:p>
        </w:tc>
      </w:tr>
      <w:tr w14:paraId="276B2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4BF27D92">
            <w:pPr>
              <w:pStyle w:val="105"/>
              <w:widowControl w:val="0"/>
              <w:jc w:val="both"/>
              <w:rPr>
                <w:color w:val="000000" w:themeColor="text1"/>
                <w14:textFill>
                  <w14:solidFill>
                    <w14:schemeClr w14:val="tx1"/>
                  </w14:solidFill>
                </w14:textFill>
              </w:rPr>
            </w:pPr>
          </w:p>
        </w:tc>
        <w:tc>
          <w:tcPr>
            <w:tcW w:w="759" w:type="pct"/>
            <w:vAlign w:val="center"/>
          </w:tcPr>
          <w:p w14:paraId="3C39D5CE">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所在区域的</w:t>
            </w:r>
          </w:p>
          <w:p w14:paraId="2F239EFD">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生态问题</w:t>
            </w:r>
          </w:p>
        </w:tc>
        <w:tc>
          <w:tcPr>
            <w:tcW w:w="3570" w:type="pct"/>
            <w:vAlign w:val="center"/>
          </w:tcPr>
          <w:p w14:paraId="7E6D894C">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水土流失</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沙漠化□</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石漠化□</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盐渍化□</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生物入侵□</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污染危害□</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p>
        </w:tc>
      </w:tr>
      <w:tr w14:paraId="489AC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0424CBE6">
            <w:pPr>
              <w:pStyle w:val="105"/>
              <w:widowControl w:val="0"/>
              <w:jc w:val="both"/>
              <w:rPr>
                <w:color w:val="000000" w:themeColor="text1"/>
                <w14:textFill>
                  <w14:solidFill>
                    <w14:schemeClr w14:val="tx1"/>
                  </w14:solidFill>
                </w14:textFill>
              </w:rPr>
            </w:pPr>
          </w:p>
        </w:tc>
        <w:tc>
          <w:tcPr>
            <w:tcW w:w="759" w:type="pct"/>
            <w:vAlign w:val="center"/>
          </w:tcPr>
          <w:p w14:paraId="00BF0C63">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评价内容</w:t>
            </w:r>
          </w:p>
        </w:tc>
        <w:tc>
          <w:tcPr>
            <w:tcW w:w="3570" w:type="pct"/>
            <w:vAlign w:val="center"/>
          </w:tcPr>
          <w:p w14:paraId="478B942C">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植被</w:t>
            </w:r>
            <w:r>
              <w:rPr>
                <w:rFonts w:hint="eastAsia"/>
                <w:color w:val="000000" w:themeColor="text1"/>
                <w14:textFill>
                  <w14:solidFill>
                    <w14:schemeClr w14:val="tx1"/>
                  </w14:solidFill>
                </w14:textFill>
              </w:rPr>
              <w:t>/植物群落</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土地利用</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生态系统</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生物多样性</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重要物种</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生态敏感区</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p>
        </w:tc>
      </w:tr>
      <w:tr w14:paraId="6882D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restart"/>
            <w:vAlign w:val="center"/>
          </w:tcPr>
          <w:p w14:paraId="4D795308">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生态影响预测与评价</w:t>
            </w:r>
          </w:p>
        </w:tc>
        <w:tc>
          <w:tcPr>
            <w:tcW w:w="759" w:type="pct"/>
            <w:vAlign w:val="center"/>
          </w:tcPr>
          <w:p w14:paraId="42663647">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评价方法</w:t>
            </w:r>
          </w:p>
        </w:tc>
        <w:tc>
          <w:tcPr>
            <w:tcW w:w="3570" w:type="pct"/>
            <w:vAlign w:val="center"/>
          </w:tcPr>
          <w:p w14:paraId="6D10423C">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定性</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定性和定量</w:t>
            </w:r>
            <w:r>
              <w:rPr>
                <w:rFonts w:ascii="Wingdings 2" w:hAnsi="Wingdings 2"/>
                <w:color w:val="000000" w:themeColor="text1"/>
                <w14:textFill>
                  <w14:solidFill>
                    <w14:schemeClr w14:val="tx1"/>
                  </w14:solidFill>
                </w14:textFill>
              </w:rPr>
              <w:t></w:t>
            </w:r>
          </w:p>
        </w:tc>
      </w:tr>
      <w:tr w14:paraId="2A418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0E187E06">
            <w:pPr>
              <w:pStyle w:val="105"/>
              <w:widowControl w:val="0"/>
              <w:jc w:val="both"/>
              <w:rPr>
                <w:color w:val="000000" w:themeColor="text1"/>
                <w14:textFill>
                  <w14:solidFill>
                    <w14:schemeClr w14:val="tx1"/>
                  </w14:solidFill>
                </w14:textFill>
              </w:rPr>
            </w:pPr>
          </w:p>
        </w:tc>
        <w:tc>
          <w:tcPr>
            <w:tcW w:w="759" w:type="pct"/>
            <w:vAlign w:val="center"/>
          </w:tcPr>
          <w:p w14:paraId="3E23CADE">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评价内容</w:t>
            </w:r>
          </w:p>
        </w:tc>
        <w:tc>
          <w:tcPr>
            <w:tcW w:w="3570" w:type="pct"/>
            <w:vAlign w:val="center"/>
          </w:tcPr>
          <w:p w14:paraId="1A31A602">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植被</w:t>
            </w:r>
            <w:r>
              <w:rPr>
                <w:rFonts w:hint="eastAsia"/>
                <w:color w:val="000000" w:themeColor="text1"/>
                <w14:textFill>
                  <w14:solidFill>
                    <w14:schemeClr w14:val="tx1"/>
                  </w14:solidFill>
                </w14:textFill>
              </w:rPr>
              <w:t>/植物群落</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土地利用</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生态系统</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生物多样性</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重要物种□</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生态敏感区</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生物入侵风险□</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p>
        </w:tc>
      </w:tr>
      <w:tr w14:paraId="301B5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restart"/>
            <w:vAlign w:val="center"/>
          </w:tcPr>
          <w:p w14:paraId="5AA97AA9">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生态保护对策措施</w:t>
            </w:r>
          </w:p>
        </w:tc>
        <w:tc>
          <w:tcPr>
            <w:tcW w:w="759" w:type="pct"/>
            <w:vAlign w:val="center"/>
          </w:tcPr>
          <w:p w14:paraId="7FDA0CA2">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对策措施</w:t>
            </w:r>
          </w:p>
        </w:tc>
        <w:tc>
          <w:tcPr>
            <w:tcW w:w="3570" w:type="pct"/>
            <w:vAlign w:val="center"/>
          </w:tcPr>
          <w:p w14:paraId="2E36CAEB">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避让</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减缓</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生态修复</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生态补偿□</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科研□</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p>
        </w:tc>
      </w:tr>
      <w:tr w14:paraId="28ADC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43F9481B">
            <w:pPr>
              <w:pStyle w:val="105"/>
              <w:widowControl w:val="0"/>
              <w:jc w:val="both"/>
              <w:rPr>
                <w:color w:val="000000" w:themeColor="text1"/>
                <w14:textFill>
                  <w14:solidFill>
                    <w14:schemeClr w14:val="tx1"/>
                  </w14:solidFill>
                </w14:textFill>
              </w:rPr>
            </w:pPr>
          </w:p>
        </w:tc>
        <w:tc>
          <w:tcPr>
            <w:tcW w:w="759" w:type="pct"/>
            <w:vAlign w:val="center"/>
          </w:tcPr>
          <w:p w14:paraId="4C20EEE9">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生态监测计划</w:t>
            </w:r>
          </w:p>
        </w:tc>
        <w:tc>
          <w:tcPr>
            <w:tcW w:w="3570" w:type="pct"/>
            <w:vAlign w:val="center"/>
          </w:tcPr>
          <w:p w14:paraId="01428B15">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全生命周期</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长期跟踪□</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常规□</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无</w:t>
            </w:r>
            <w:r>
              <w:rPr>
                <w:rFonts w:ascii="Wingdings 2" w:hAnsi="Wingdings 2"/>
                <w:color w:val="000000" w:themeColor="text1"/>
                <w14:textFill>
                  <w14:solidFill>
                    <w14:schemeClr w14:val="tx1"/>
                  </w14:solidFill>
                </w14:textFill>
              </w:rPr>
              <w:t></w:t>
            </w:r>
          </w:p>
        </w:tc>
      </w:tr>
      <w:tr w14:paraId="430A5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Merge w:val="continue"/>
            <w:vAlign w:val="center"/>
          </w:tcPr>
          <w:p w14:paraId="1A43A54F">
            <w:pPr>
              <w:pStyle w:val="105"/>
              <w:widowControl w:val="0"/>
              <w:jc w:val="both"/>
              <w:rPr>
                <w:color w:val="000000" w:themeColor="text1"/>
                <w14:textFill>
                  <w14:solidFill>
                    <w14:schemeClr w14:val="tx1"/>
                  </w14:solidFill>
                </w14:textFill>
              </w:rPr>
            </w:pPr>
          </w:p>
        </w:tc>
        <w:tc>
          <w:tcPr>
            <w:tcW w:w="759" w:type="pct"/>
            <w:vAlign w:val="center"/>
          </w:tcPr>
          <w:p w14:paraId="2FEA5854">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环境管理</w:t>
            </w:r>
          </w:p>
        </w:tc>
        <w:tc>
          <w:tcPr>
            <w:tcW w:w="3570" w:type="pct"/>
            <w:vAlign w:val="center"/>
          </w:tcPr>
          <w:p w14:paraId="72CDD576">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环境监理</w:t>
            </w:r>
            <w:r>
              <w:rPr>
                <w:rFonts w:asciiTheme="minorEastAsia" w:hAnsiTheme="minorEastAsia"/>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环境影响后评价□</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其他</w:t>
            </w:r>
            <w:r>
              <w:rPr>
                <w:rFonts w:ascii="Wingdings 2" w:hAnsi="Wingdings 2"/>
                <w:color w:val="000000" w:themeColor="text1"/>
                <w14:textFill>
                  <w14:solidFill>
                    <w14:schemeClr w14:val="tx1"/>
                  </w14:solidFill>
                </w14:textFill>
              </w:rPr>
              <w:t></w:t>
            </w:r>
          </w:p>
        </w:tc>
      </w:tr>
      <w:tr w14:paraId="2D73B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71" w:type="pct"/>
            <w:vAlign w:val="center"/>
          </w:tcPr>
          <w:p w14:paraId="7DF32E93">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评价结论</w:t>
            </w:r>
          </w:p>
        </w:tc>
        <w:tc>
          <w:tcPr>
            <w:tcW w:w="759" w:type="pct"/>
            <w:vAlign w:val="center"/>
          </w:tcPr>
          <w:p w14:paraId="7EF62900">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生态影响</w:t>
            </w:r>
          </w:p>
        </w:tc>
        <w:tc>
          <w:tcPr>
            <w:tcW w:w="3570" w:type="pct"/>
            <w:vAlign w:val="center"/>
          </w:tcPr>
          <w:p w14:paraId="3136CB4E">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可行</w:t>
            </w:r>
            <w:r>
              <w:rPr>
                <w:rFonts w:ascii="Wingdings 2" w:hAnsi="Wingdings 2"/>
                <w:color w:val="000000" w:themeColor="text1"/>
                <w14:textFill>
                  <w14:solidFill>
                    <w14:schemeClr w14:val="tx1"/>
                  </w14:solidFill>
                </w14:textFill>
              </w:rPr>
              <w:t></w:t>
            </w:r>
            <w:r>
              <w:rPr>
                <w:rFonts w:hint="eastAsia" w:asciiTheme="minorEastAsia" w:hAnsiTheme="minorEastAsia"/>
                <w:color w:val="000000" w:themeColor="text1"/>
                <w14:textFill>
                  <w14:solidFill>
                    <w14:schemeClr w14:val="tx1"/>
                  </w14:solidFill>
                </w14:textFill>
              </w:rPr>
              <w:t>；</w:t>
            </w:r>
            <w:r>
              <w:rPr>
                <w:rFonts w:asciiTheme="minorEastAsia" w:hAnsiTheme="minorEastAsia"/>
                <w:color w:val="000000" w:themeColor="text1"/>
                <w14:textFill>
                  <w14:solidFill>
                    <w14:schemeClr w14:val="tx1"/>
                  </w14:solidFill>
                </w14:textFill>
              </w:rPr>
              <w:t>不可行□</w:t>
            </w:r>
          </w:p>
        </w:tc>
      </w:tr>
      <w:tr w14:paraId="57D74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
            <w:vAlign w:val="center"/>
          </w:tcPr>
          <w:p w14:paraId="57F42893">
            <w:pPr>
              <w:pStyle w:val="105"/>
              <w:widowControl w:val="0"/>
              <w:jc w:val="both"/>
              <w:rPr>
                <w:color w:val="000000" w:themeColor="text1"/>
                <w14:textFill>
                  <w14:solidFill>
                    <w14:schemeClr w14:val="tx1"/>
                  </w14:solidFill>
                </w14:textFill>
              </w:rPr>
            </w:pPr>
            <w:r>
              <w:rPr>
                <w:color w:val="000000" w:themeColor="text1"/>
                <w14:textFill>
                  <w14:solidFill>
                    <w14:schemeClr w14:val="tx1"/>
                  </w14:solidFill>
                </w14:textFill>
              </w:rPr>
              <w:t>注</w:t>
            </w:r>
            <w:r>
              <w:rPr>
                <w:rFonts w:hint="eastAsia"/>
                <w:color w:val="000000" w:themeColor="text1"/>
                <w14:textFill>
                  <w14:solidFill>
                    <w14:schemeClr w14:val="tx1"/>
                  </w14:solidFill>
                </w14:textFill>
              </w:rPr>
              <w:t>：“□”为勾选项，可√；“（   ）”为内容填写项。</w:t>
            </w:r>
          </w:p>
        </w:tc>
      </w:tr>
    </w:tbl>
    <w:p w14:paraId="77CACB51">
      <w:pPr>
        <w:ind w:firstLine="480"/>
        <w:rPr>
          <w:color w:val="000000" w:themeColor="text1"/>
          <w14:textFill>
            <w14:solidFill>
              <w14:schemeClr w14:val="tx1"/>
            </w14:solidFill>
          </w14:textFill>
        </w:rPr>
        <w:sectPr>
          <w:pgSz w:w="11906" w:h="16838"/>
          <w:pgMar w:top="1418" w:right="1418" w:bottom="1418" w:left="1418" w:header="851" w:footer="992" w:gutter="0"/>
          <w:cols w:space="425" w:num="1"/>
          <w:docGrid w:type="lines" w:linePitch="326" w:charSpace="0"/>
        </w:sectPr>
      </w:pPr>
    </w:p>
    <w:p w14:paraId="0A0E29DE">
      <w:pPr>
        <w:pStyle w:val="116"/>
        <w:rPr>
          <w:color w:val="000000" w:themeColor="text1"/>
          <w14:textFill>
            <w14:solidFill>
              <w14:schemeClr w14:val="tx1"/>
            </w14:solidFill>
          </w14:textFill>
        </w:rPr>
      </w:pPr>
      <w:bookmarkStart w:id="660" w:name="_Toc159405474"/>
      <w:bookmarkStart w:id="661" w:name="_Toc152152047"/>
      <w:bookmarkStart w:id="662" w:name="_Toc193912381"/>
      <w:bookmarkStart w:id="663" w:name="_Toc154668044"/>
      <w:r>
        <w:rPr>
          <w:rFonts w:hint="eastAsia"/>
          <w:color w:val="000000" w:themeColor="text1"/>
          <w14:textFill>
            <w14:solidFill>
              <w14:schemeClr w14:val="tx1"/>
            </w14:solidFill>
          </w14:textFill>
        </w:rPr>
        <w:t>地表水环境影响评价</w:t>
      </w:r>
      <w:bookmarkEnd w:id="660"/>
      <w:bookmarkEnd w:id="661"/>
      <w:bookmarkEnd w:id="662"/>
      <w:bookmarkEnd w:id="663"/>
    </w:p>
    <w:p w14:paraId="21002D0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施工期水环境影响分析</w:t>
      </w:r>
    </w:p>
    <w:p w14:paraId="129CF9E8">
      <w:pPr>
        <w:pStyle w:val="118"/>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t>（1）施工生活污水</w:t>
      </w:r>
    </w:p>
    <w:p w14:paraId="3DACE1C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本项目施工期沿线拟设置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个施工场地，项目施工地点距离周边主城区、镇区较近，施工场地不设施工生活集中居住区，施工人员就近租用当地的民房，施工期生活污水利用当地居民排水系统处理。施工场地设有办公区、值班房，值班房和临时办公区涉及的少量生活污水，通过设置临时化粪池进行收集、处理，委托当地村民清运用于肥田，不外排，不会对周边水体造成影响。</w:t>
      </w:r>
    </w:p>
    <w:p w14:paraId="1E41E24B">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（2）</w:t>
      </w:r>
      <w:bookmarkStart w:id="664" w:name="_Toc439084223"/>
      <w:r>
        <w:rPr>
          <w:color w:val="000000" w:themeColor="text1"/>
          <w14:textFill>
            <w14:solidFill>
              <w14:schemeClr w14:val="tx1"/>
            </w14:solidFill>
          </w14:textFill>
        </w:rPr>
        <w:t>施工生产废水</w:t>
      </w:r>
      <w:bookmarkEnd w:id="664"/>
    </w:p>
    <w:p w14:paraId="4F8109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施工生产废水主要来自施工场地的砂石料冲洗废水、混凝土搅拌系统冲洗废水、施工机械和车辆的冲洗废水等，这些废水中的主要污染物是悬浮物和少量的石油。</w:t>
      </w:r>
    </w:p>
    <w:p w14:paraId="687273F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①施工机械冲洗废水主要污染物成分为 SS 及石油类，其中SS浓度可达3000mg/L，石油类可达20mg/L，经隔油沉淀后回用于施工场地施工生产用水、抑尘洒水、混凝土路面养护用水，不外排。②预制场和水稳</w:t>
      </w:r>
      <w:bookmarkStart w:id="665" w:name="hmcheck_cda9891369644cdebc89ad8cd9e675bf"/>
      <w:r>
        <w:rPr>
          <w:rFonts w:hint="eastAsia"/>
          <w:color w:val="000000" w:themeColor="text1"/>
          <w:shd w:val="clear" w:fill="FFAFAA"/>
          <w14:textFill>
            <w14:solidFill>
              <w14:schemeClr w14:val="tx1"/>
            </w14:solidFill>
          </w14:textFill>
        </w:rPr>
        <w:t>拌合站</w:t>
      </w:r>
      <w:bookmarkEnd w:id="665"/>
      <w:r>
        <w:rPr>
          <w:rFonts w:hint="eastAsia"/>
          <w:color w:val="000000" w:themeColor="text1"/>
          <w14:textFill>
            <w14:solidFill>
              <w14:schemeClr w14:val="tx1"/>
            </w14:solidFill>
          </w14:textFill>
        </w:rPr>
        <w:t>生产过程及制作构件时会有废水产生，其中以混凝土转筒和料罐冲洗废水为主，混凝土生产废水的排放具有悬浮物浓度高、水量小、间歇性集中排放等特点。主要污染物为SS，浓度可达到3000～5000mg/L，pH值在12左右，经中和沉淀处理达标后回用于施工生产或场地洒水降尘，不外排。③进出施工场地洗车平台废水：根据施工设置，进出施工场地出入口设置洗车轮及车身冲洗平台，</w:t>
      </w:r>
      <w:r>
        <w:rPr>
          <w:color w:val="000000" w:themeColor="text1"/>
          <w:kern w:val="0"/>
          <w:szCs w:val="24"/>
          <w:lang w:val="zh-CN"/>
          <w14:textFill>
            <w14:solidFill>
              <w14:schemeClr w14:val="tx1"/>
            </w14:solidFill>
          </w14:textFill>
        </w:rPr>
        <w:t>洗车池</w:t>
      </w:r>
      <w:r>
        <w:rPr>
          <w:rFonts w:hint="eastAsia"/>
          <w:color w:val="000000" w:themeColor="text1"/>
          <w:kern w:val="0"/>
          <w:szCs w:val="24"/>
          <w:lang w:val="zh-CN"/>
          <w14:textFill>
            <w14:solidFill>
              <w14:schemeClr w14:val="tx1"/>
            </w14:solidFill>
          </w14:textFill>
        </w:rPr>
        <w:t>循环至</w:t>
      </w:r>
      <w:r>
        <w:rPr>
          <w:rFonts w:hint="eastAsia"/>
          <w:color w:val="000000" w:themeColor="text1"/>
          <w14:textFill>
            <w14:solidFill>
              <w14:schemeClr w14:val="tx1"/>
            </w14:solidFill>
          </w14:textFill>
        </w:rPr>
        <w:t>经</w:t>
      </w:r>
      <w:r>
        <w:rPr>
          <w:color w:val="000000" w:themeColor="text1"/>
          <w:kern w:val="0"/>
          <w:szCs w:val="24"/>
          <w:lang w:val="zh-CN"/>
          <w14:textFill>
            <w14:solidFill>
              <w14:schemeClr w14:val="tx1"/>
            </w14:solidFill>
          </w14:textFill>
        </w:rPr>
        <w:t>沉砂池</w:t>
      </w:r>
      <w:r>
        <w:rPr>
          <w:rFonts w:hint="eastAsia"/>
          <w:color w:val="000000" w:themeColor="text1"/>
          <w14:textFill>
            <w14:solidFill>
              <w14:schemeClr w14:val="tx1"/>
            </w14:solidFill>
          </w14:textFill>
        </w:rPr>
        <w:t>沉淀后，回流至洗车池循环使用，不外排。④初期雨水：施工场地在施工</w:t>
      </w:r>
      <w:bookmarkStart w:id="666" w:name="hmcheck_4620e35947a4426b9beec3cfe5b12bd5"/>
      <w:r>
        <w:rPr>
          <w:rFonts w:hint="eastAsia"/>
          <w:color w:val="000000" w:themeColor="text1"/>
          <w:shd w:val="clear" w:fill="FFAFAA"/>
          <w14:textFill>
            <w14:solidFill>
              <w14:schemeClr w14:val="tx1"/>
            </w14:solidFill>
          </w14:textFill>
        </w:rPr>
        <w:t>期</w:t>
      </w:r>
      <w:bookmarkEnd w:id="666"/>
      <w:r>
        <w:rPr>
          <w:rFonts w:hint="eastAsia"/>
          <w:color w:val="000000" w:themeColor="text1"/>
          <w14:textFill>
            <w14:solidFill>
              <w14:schemeClr w14:val="tx1"/>
            </w14:solidFill>
          </w14:textFill>
        </w:rPr>
        <w:t>由于建筑材料的堆放、管理不当，特别是易流失的物质如黄沙、土方等露天堆放，遇暴雨时将可能被冲刷进入水体。因此，每个施工场地四周均设置导水沟，导水沟排放口处设置</w:t>
      </w:r>
      <w:bookmarkStart w:id="667" w:name="hmcheck_c517e6bb5a494c8cbfb81bcd64bb8b17"/>
      <w:r>
        <w:rPr>
          <w:rFonts w:hint="eastAsia"/>
          <w:color w:val="000000" w:themeColor="text1"/>
          <w:shd w:val="clear" w:fill="FFAFAA"/>
          <w14:textFill>
            <w14:solidFill>
              <w14:schemeClr w14:val="tx1"/>
            </w14:solidFill>
          </w14:textFill>
        </w:rPr>
        <w:t>沉砂池</w:t>
      </w:r>
      <w:bookmarkEnd w:id="667"/>
      <w:r>
        <w:rPr>
          <w:rFonts w:hint="eastAsia"/>
          <w:color w:val="000000" w:themeColor="text1"/>
          <w14:textFill>
            <w14:solidFill>
              <w14:schemeClr w14:val="tx1"/>
            </w14:solidFill>
          </w14:textFill>
        </w:rPr>
        <w:t>，初期雨水进行收集沉淀处理，经处理后初期雨水可排入附近迳江。</w:t>
      </w:r>
    </w:p>
    <w:p w14:paraId="70D96E57">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（3）桥梁施工对地表水环境的影响</w:t>
      </w:r>
    </w:p>
    <w:p w14:paraId="57412FA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项目全线共设置桥梁</w:t>
      </w:r>
      <w:r>
        <w:rPr>
          <w:color w:val="000000" w:themeColor="text1"/>
          <w14:textFill>
            <w14:solidFill>
              <w14:schemeClr w14:val="tx1"/>
            </w14:solidFill>
          </w14:textFill>
        </w:rPr>
        <w:t>589.5</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座，其中大埔大桥1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桥墩部分涉水，但改渠后不涉水；枝钟中桥中间桥墩涉水，桥墩施工的主要施工工序造成的水环境影响如下：</w:t>
      </w:r>
    </w:p>
    <w:p w14:paraId="1F11BB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 水底压钢管围堰→B 抽出围堰内部分积水→C 机械钻孔→D 机械浇灌土、灌浆、注桩→E 养护→F 拆堰、吊装预制板、箱梁→G 桥面工程→H 修整→运行。</w:t>
      </w:r>
    </w:p>
    <w:p w14:paraId="4587CD3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A：搅动河床底质，产生悬浮物，悬浮物足以集中在围堰内，对堰外水体影响小，影响时间短暂。</w:t>
      </w:r>
    </w:p>
    <w:p w14:paraId="2F9B5B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B：围堰内水体含有大量悬浮物，抽出的水需经沉淀池沉淀处理。</w:t>
      </w:r>
    </w:p>
    <w:p w14:paraId="19B9D99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C：钻孔过程产生的弃渣，由管道送至钻渣泥浆沉淀池处置。</w:t>
      </w:r>
    </w:p>
    <w:p w14:paraId="21724C3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其他环节产生的污染物也主要是悬浮物和石油类，但产生量及影响程度相对前面工序要小得多。</w:t>
      </w:r>
    </w:p>
    <w:p w14:paraId="39A558A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根据国内大桥的施工现场过程的观测</w:t>
      </w:r>
      <w:bookmarkStart w:id="668" w:name="hmcheck_c28524a3831645918d7791a8e0020020"/>
      <w:r>
        <w:rPr>
          <w:rFonts w:hint="eastAsia"/>
          <w:color w:val="000000" w:themeColor="text1"/>
          <w:shd w:val="clear" w:fill="FFAFAA"/>
          <w14:textFill>
            <w14:solidFill>
              <w14:schemeClr w14:val="tx1"/>
            </w14:solidFill>
          </w14:textFill>
        </w:rPr>
        <w:t>（</w:t>
      </w:r>
      <w:bookmarkEnd w:id="668"/>
      <w:r>
        <w:rPr>
          <w:rFonts w:hint="eastAsia"/>
          <w:color w:val="000000" w:themeColor="text1"/>
          <w14:textFill>
            <w14:solidFill>
              <w14:schemeClr w14:val="tx1"/>
            </w14:solidFill>
          </w14:textFill>
        </w:rPr>
        <w:t>观测结果见</w:t>
      </w:r>
      <w:bookmarkStart w:id="669" w:name="hmcheck_af4f0ccf89a1429ab45eabd2ade05bf8"/>
      <w:r>
        <w:rPr>
          <w:rFonts w:hint="eastAsia"/>
          <w:color w:val="000000" w:themeColor="text1"/>
          <w:shd w:val="clear" w:fill="FFAFAA"/>
          <w14:textFill>
            <w14:solidFill>
              <w14:schemeClr w14:val="tx1"/>
            </w14:solidFill>
          </w14:textFill>
        </w:rPr>
        <w:t>)</w:t>
      </w:r>
      <w:bookmarkEnd w:id="669"/>
      <w:r>
        <w:rPr>
          <w:rFonts w:hint="eastAsia"/>
          <w:color w:val="000000" w:themeColor="text1"/>
          <w14:textFill>
            <w14:solidFill>
              <w14:schemeClr w14:val="tx1"/>
            </w14:solidFill>
          </w14:textFill>
        </w:rPr>
        <w:t>，在枯水期，无防护措施挖泥的情况下，流动性较差的水体内所产生SS增量大于10mg/L水体一般出现在100</w:t>
      </w:r>
      <w:bookmarkStart w:id="670" w:name="hmcheck_3068a09a4f274fd7bd8c86224e943d12"/>
      <w:r>
        <w:rPr>
          <w:rFonts w:hint="eastAsia"/>
          <w:color w:val="000000" w:themeColor="text1"/>
          <w:shd w:val="clear" w:fill="FFAFAA"/>
          <w14:textFill>
            <w14:solidFill>
              <w14:schemeClr w14:val="tx1"/>
            </w14:solidFill>
          </w14:textFill>
        </w:rPr>
        <w:t>~</w:t>
      </w:r>
      <w:bookmarkEnd w:id="670"/>
      <w:r>
        <w:rPr>
          <w:rFonts w:hint="eastAsia"/>
          <w:color w:val="000000" w:themeColor="text1"/>
          <w14:textFill>
            <w14:solidFill>
              <w14:schemeClr w14:val="tx1"/>
            </w14:solidFill>
          </w14:textFill>
        </w:rPr>
        <w:t>200m范围内，下游300m左右泥沙沉降基本完全，在500m处水质基本可达到本底水平。</w:t>
      </w:r>
    </w:p>
    <w:p w14:paraId="1AF7BC29">
      <w:pPr>
        <w:pStyle w:val="87"/>
        <w:spacing w:before="163"/>
        <w:ind w:firstLine="360"/>
        <w:rPr>
          <w:color w:val="000000" w:themeColor="text1"/>
          <w14:textFill>
            <w14:solidFill>
              <w14:schemeClr w14:val="tx1"/>
            </w14:solidFill>
          </w14:textFill>
        </w:rPr>
      </w:pPr>
      <w:bookmarkStart w:id="671" w:name="_Ref153791467"/>
      <w:r>
        <w:rPr>
          <w:rFonts w:hint="eastAsia"/>
          <w:color w:val="000000" w:themeColor="text1"/>
          <w14:textFill>
            <w14:solidFill>
              <w14:schemeClr w14:val="tx1"/>
            </w14:solidFill>
          </w14:textFill>
        </w:rPr>
        <w:t>桥梁施工现场SS观测记录</w:t>
      </w:r>
      <w:bookmarkEnd w:id="671"/>
    </w:p>
    <w:tbl>
      <w:tblPr>
        <w:tblStyle w:val="245"/>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29"/>
        <w:gridCol w:w="1139"/>
        <w:gridCol w:w="1134"/>
        <w:gridCol w:w="5658"/>
      </w:tblGrid>
      <w:tr w14:paraId="5DB354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129" w:type="dxa"/>
            <w:vAlign w:val="center"/>
          </w:tcPr>
          <w:p w14:paraId="1CE9A87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施工名称</w:t>
            </w:r>
            <w:r>
              <w:rPr>
                <w:color w:val="000000" w:themeColor="text1"/>
                <w14:textFill>
                  <w14:solidFill>
                    <w14:schemeClr w14:val="tx1"/>
                  </w14:solidFill>
                </w14:textFill>
              </w:rPr>
              <w:t xml:space="preserve"> </w:t>
            </w:r>
          </w:p>
        </w:tc>
        <w:tc>
          <w:tcPr>
            <w:tcW w:w="1139" w:type="dxa"/>
            <w:vAlign w:val="center"/>
          </w:tcPr>
          <w:p w14:paraId="1ED5BC9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施工工艺</w:t>
            </w:r>
          </w:p>
        </w:tc>
        <w:tc>
          <w:tcPr>
            <w:tcW w:w="1134" w:type="dxa"/>
            <w:vAlign w:val="center"/>
          </w:tcPr>
          <w:p w14:paraId="253574A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有无措施</w:t>
            </w:r>
          </w:p>
        </w:tc>
        <w:tc>
          <w:tcPr>
            <w:tcW w:w="5658" w:type="dxa"/>
            <w:vAlign w:val="center"/>
          </w:tcPr>
          <w:p w14:paraId="3577FEE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现场观测记录（观测时间约15h）</w:t>
            </w:r>
          </w:p>
        </w:tc>
      </w:tr>
      <w:tr w14:paraId="763B38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129" w:type="dxa"/>
            <w:vAlign w:val="center"/>
          </w:tcPr>
          <w:p w14:paraId="06CE459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桥墩</w:t>
            </w:r>
            <w:r>
              <w:rPr>
                <w:color w:val="000000" w:themeColor="text1"/>
                <w14:textFill>
                  <w14:solidFill>
                    <w14:schemeClr w14:val="tx1"/>
                  </w14:solidFill>
                </w14:textFill>
              </w:rPr>
              <w:t>1</w:t>
            </w:r>
          </w:p>
          <w:p w14:paraId="55CE400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（靠岸）</w:t>
            </w:r>
          </w:p>
        </w:tc>
        <w:tc>
          <w:tcPr>
            <w:tcW w:w="1139" w:type="dxa"/>
            <w:vAlign w:val="center"/>
          </w:tcPr>
          <w:p w14:paraId="360809E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开挖、钻孔</w:t>
            </w:r>
          </w:p>
        </w:tc>
        <w:tc>
          <w:tcPr>
            <w:tcW w:w="1134" w:type="dxa"/>
            <w:vAlign w:val="center"/>
          </w:tcPr>
          <w:p w14:paraId="781BBA0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5658" w:type="dxa"/>
            <w:vAlign w:val="center"/>
          </w:tcPr>
          <w:p w14:paraId="6D0FDA9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附近比较浑浊，黄色，下游 180m 左右基本渣、水能分清，下游 300m 左右水体颜色未发现异常现象。散落在河道边的细沙石、弃渣产生溢流浑浊，300m 左右水域基本没有悬沙产生的 SS 物质。</w:t>
            </w:r>
          </w:p>
        </w:tc>
      </w:tr>
      <w:tr w14:paraId="03AB7B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jc w:val="center"/>
        </w:trPr>
        <w:tc>
          <w:tcPr>
            <w:tcW w:w="1129" w:type="dxa"/>
            <w:vAlign w:val="center"/>
          </w:tcPr>
          <w:p w14:paraId="4CC3BF2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桥墩</w:t>
            </w:r>
            <w:r>
              <w:rPr>
                <w:color w:val="000000" w:themeColor="text1"/>
                <w14:textFill>
                  <w14:solidFill>
                    <w14:schemeClr w14:val="tx1"/>
                  </w14:solidFill>
                </w14:textFill>
              </w:rPr>
              <w:t>2</w:t>
            </w:r>
          </w:p>
          <w:p w14:paraId="286DBE6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（河中）</w:t>
            </w:r>
          </w:p>
        </w:tc>
        <w:tc>
          <w:tcPr>
            <w:tcW w:w="1139" w:type="dxa"/>
            <w:vAlign w:val="center"/>
          </w:tcPr>
          <w:p w14:paraId="11396A6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开挖、钻孔</w:t>
            </w:r>
          </w:p>
        </w:tc>
        <w:tc>
          <w:tcPr>
            <w:tcW w:w="1134" w:type="dxa"/>
            <w:vAlign w:val="center"/>
          </w:tcPr>
          <w:p w14:paraId="5ACCCF3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无</w:t>
            </w:r>
          </w:p>
        </w:tc>
        <w:tc>
          <w:tcPr>
            <w:tcW w:w="5658" w:type="dxa"/>
            <w:vAlign w:val="center"/>
          </w:tcPr>
          <w:p w14:paraId="65E0B1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附近浑浊，颜色浅黄，水体形成浑浊半径约 50m 左右，下游 300m 左右水、渣基本分层，500m左右水体颜色未发现异常，没有悬沙产生的 SS 物质。散落在河道中的弃渣产生的浑浊在 50m 半径左右出现。</w:t>
            </w:r>
          </w:p>
        </w:tc>
      </w:tr>
    </w:tbl>
    <w:p w14:paraId="22491B6D">
      <w:pPr>
        <w:pStyle w:val="851"/>
        <w:spacing w:before="16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大埔大桥</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枝钟中桥跨越</w:t>
      </w:r>
      <w:r>
        <w:rPr>
          <w:rFonts w:hint="eastAsia"/>
          <w:color w:val="000000" w:themeColor="text1"/>
          <w14:textFill>
            <w14:solidFill>
              <w14:schemeClr w14:val="tx1"/>
            </w14:solidFill>
          </w14:textFill>
        </w:rPr>
        <w:t>迳江</w:t>
      </w:r>
      <w:r>
        <w:rPr>
          <w:color w:val="000000" w:themeColor="text1"/>
          <w14:textFill>
            <w14:solidFill>
              <w14:schemeClr w14:val="tx1"/>
            </w14:solidFill>
          </w14:textFill>
        </w:rPr>
        <w:t>水体</w:t>
      </w:r>
      <w:r>
        <w:rPr>
          <w:rFonts w:hint="eastAsia"/>
          <w:color w:val="000000" w:themeColor="text1"/>
          <w14:textFill>
            <w14:solidFill>
              <w14:schemeClr w14:val="tx1"/>
            </w14:solidFill>
          </w14:textFill>
        </w:rPr>
        <w:t>桥墩的施工采用钻孔灌注桩，钻孔灌注桩基础施工时，每个桩基在不漏水的钢护筒围堰中进行，先钻孔，后灌注混凝土，钻孔产生的泥浆均在护筒内，泥浆泵至岸边的沉淀池和泥浆池内，部分泥浆回用，无法回用的泥浆经沉淀后上清液回用，严禁将泥浆直接排入河道，</w:t>
      </w:r>
      <w:r>
        <w:rPr>
          <w:color w:val="000000" w:themeColor="text1"/>
          <w14:textFill>
            <w14:solidFill>
              <w14:schemeClr w14:val="tx1"/>
            </w14:solidFill>
          </w14:textFill>
        </w:rPr>
        <w:t>同时定期清理沉淀池，对</w:t>
      </w:r>
      <w:r>
        <w:rPr>
          <w:rFonts w:hint="eastAsia"/>
          <w:color w:val="000000" w:themeColor="text1"/>
          <w14:textFill>
            <w14:solidFill>
              <w14:schemeClr w14:val="tx1"/>
            </w14:solidFill>
          </w14:textFill>
        </w:rPr>
        <w:t>清除</w:t>
      </w:r>
      <w:r>
        <w:rPr>
          <w:color w:val="000000" w:themeColor="text1"/>
          <w14:textFill>
            <w14:solidFill>
              <w14:schemeClr w14:val="tx1"/>
            </w14:solidFill>
          </w14:textFill>
        </w:rPr>
        <w:t>后的沉淀物</w:t>
      </w:r>
      <w:r>
        <w:rPr>
          <w:rFonts w:hint="eastAsia"/>
          <w:color w:val="000000" w:themeColor="text1"/>
          <w14:textFill>
            <w14:solidFill>
              <w14:schemeClr w14:val="tx1"/>
            </w14:solidFill>
          </w14:textFill>
        </w:rPr>
        <w:t>与其他弃方一并转运综合利用。围堰可有效阻隔围堰内外水体的交换，施工过程泥沙入河量很低，尽管如此，在施工初期围堰施工时仍将产生暂时和局部的悬浮物浓度升高，这些行为可能对局部水环境有所影响，但影响是暂时的，且影响范围十分有限。</w:t>
      </w:r>
    </w:p>
    <w:p w14:paraId="262F4A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所述，项目涉水桥梁施工时会对沿线水环境产生一定的影响，施工期主要可通过加强管理来减缓桥梁建设对地表水环境影响，如在施工过程中对施工机械和施工材料加强现场管理，规范废渣、废水排放，可减缓和避免桥梁施工对沿线地表水体的污染。</w:t>
      </w:r>
    </w:p>
    <w:p w14:paraId="50413604">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）改河、改渠、涵洞施工对地表水环境的影响分析</w:t>
      </w:r>
    </w:p>
    <w:p w14:paraId="6B795D8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本工程沿线涉及5处改河，1处改渠，及若干处涵洞建设，改河、改渠及涉水涵洞</w:t>
      </w:r>
      <w:r>
        <w:rPr>
          <w:color w:val="000000" w:themeColor="text1"/>
          <w14:textFill>
            <w14:solidFill>
              <w14:schemeClr w14:val="tx1"/>
            </w14:solidFill>
          </w14:textFill>
        </w:rPr>
        <w:t>施工需要在围堰</w:t>
      </w:r>
      <w:r>
        <w:rPr>
          <w:rFonts w:hint="eastAsia"/>
          <w:color w:val="000000" w:themeColor="text1"/>
          <w14:textFill>
            <w14:solidFill>
              <w14:schemeClr w14:val="tx1"/>
            </w14:solidFill>
          </w14:textFill>
        </w:rPr>
        <w:t>、导流围护</w:t>
      </w:r>
      <w:r>
        <w:rPr>
          <w:color w:val="000000" w:themeColor="text1"/>
          <w14:textFill>
            <w14:solidFill>
              <w14:schemeClr w14:val="tx1"/>
            </w14:solidFill>
          </w14:textFill>
        </w:rPr>
        <w:t>下进行，</w:t>
      </w:r>
      <w:r>
        <w:rPr>
          <w:rFonts w:hint="eastAsia"/>
          <w:color w:val="000000" w:themeColor="text1"/>
          <w14:textFill>
            <w14:solidFill>
              <w14:schemeClr w14:val="tx1"/>
            </w14:solidFill>
          </w14:textFill>
        </w:rPr>
        <w:t>项目拟采取干法围堰施工方式，</w:t>
      </w:r>
      <w:r>
        <w:rPr>
          <w:color w:val="000000" w:themeColor="text1"/>
          <w14:textFill>
            <w14:solidFill>
              <w14:schemeClr w14:val="tx1"/>
            </w14:solidFill>
          </w14:textFill>
        </w:rPr>
        <w:t>围堰</w:t>
      </w:r>
      <w:r>
        <w:rPr>
          <w:rFonts w:hint="eastAsia"/>
          <w:color w:val="000000" w:themeColor="text1"/>
          <w14:textFill>
            <w14:solidFill>
              <w14:schemeClr w14:val="tx1"/>
            </w14:solidFill>
          </w14:textFill>
        </w:rPr>
        <w:t>导流</w:t>
      </w:r>
      <w:r>
        <w:rPr>
          <w:color w:val="000000" w:themeColor="text1"/>
          <w14:textFill>
            <w14:solidFill>
              <w14:schemeClr w14:val="tx1"/>
            </w14:solidFill>
          </w14:textFill>
        </w:rPr>
        <w:t>过程扰动水体，对水体产生影响的施工工序为围堰施工，</w:t>
      </w:r>
      <w:r>
        <w:rPr>
          <w:rFonts w:hint="eastAsia"/>
          <w:color w:val="000000" w:themeColor="text1"/>
          <w14:textFill>
            <w14:solidFill>
              <w14:schemeClr w14:val="tx1"/>
            </w14:solidFill>
          </w14:textFill>
        </w:rPr>
        <w:t>围堰填筑利用挖掘机+自卸汽车人工分层填筑，围堰拆除采用人工辅助挖掘机拆除，施工过程扰动底泥，使得泥沙悬浮导致局部河段</w:t>
      </w:r>
      <w:r>
        <w:rPr>
          <w:color w:val="000000" w:themeColor="text1"/>
          <w14:textFill>
            <w14:solidFill>
              <w14:schemeClr w14:val="tx1"/>
            </w14:solidFill>
          </w14:textFill>
        </w:rPr>
        <w:t>水体变浑浊。</w:t>
      </w:r>
      <w:r>
        <w:rPr>
          <w:rFonts w:hint="eastAsia"/>
          <w:color w:val="000000" w:themeColor="text1"/>
          <w14:textFill>
            <w14:solidFill>
              <w14:schemeClr w14:val="tx1"/>
            </w14:solidFill>
          </w14:textFill>
        </w:rPr>
        <w:t>为避免施工时悬浮物对周围水体的影响，建议在清淤时采用较为坚固、不易渗漏的</w:t>
      </w:r>
      <w:bookmarkStart w:id="672" w:name="hmcheck_a8f98cff9efd459989df62ddac9b9f5b"/>
      <w:r>
        <w:rPr>
          <w:rFonts w:hint="eastAsia"/>
          <w:color w:val="000000" w:themeColor="text1"/>
          <w:shd w:val="clear" w:fill="FFAFAA"/>
          <w14:textFill>
            <w14:solidFill>
              <w14:schemeClr w14:val="tx1"/>
            </w14:solidFill>
          </w14:textFill>
        </w:rPr>
        <w:t>袋装</w:t>
      </w:r>
      <w:bookmarkEnd w:id="672"/>
      <w:r>
        <w:rPr>
          <w:rFonts w:hint="eastAsia"/>
          <w:color w:val="000000" w:themeColor="text1"/>
          <w14:textFill>
            <w14:solidFill>
              <w14:schemeClr w14:val="tx1"/>
            </w14:solidFill>
          </w14:textFill>
        </w:rPr>
        <w:t>填土等做围堰。</w:t>
      </w:r>
    </w:p>
    <w:p w14:paraId="2E990684">
      <w:pPr>
        <w:ind w:firstLine="480"/>
        <w:rPr>
          <w:color w:val="000000" w:themeColor="text1"/>
          <w14:textFill>
            <w14:solidFill>
              <w14:schemeClr w14:val="tx1"/>
            </w14:solidFill>
          </w14:textFill>
        </w:rPr>
      </w:pPr>
      <w:r>
        <w:rPr>
          <w:color w:val="000000" w:themeColor="text1"/>
          <w14:textFill>
            <w14:solidFill>
              <w14:schemeClr w14:val="tx1"/>
            </w14:solidFill>
          </w14:textFill>
        </w:rPr>
        <w:t>根据对多个类似工程围堰的监测资料进行类比分析，预测围堰着床可能造成SS最大增量约2000mg/L。根据</w:t>
      </w:r>
      <w:r>
        <w:rPr>
          <w:rFonts w:hint="eastAsia"/>
          <w:color w:val="000000" w:themeColor="text1"/>
          <w14:textFill>
            <w14:solidFill>
              <w14:schemeClr w14:val="tx1"/>
            </w14:solidFill>
          </w14:textFill>
        </w:rPr>
        <w:t>相关研究</w:t>
      </w:r>
      <w:r>
        <w:rPr>
          <w:color w:val="000000" w:themeColor="text1"/>
          <w14:textFill>
            <w14:solidFill>
              <w14:schemeClr w14:val="tx1"/>
            </w14:solidFill>
          </w14:textFill>
        </w:rPr>
        <w:t>，单个围堰施工，对流场的影响面积相对较小，最大影响范围达到上游50m，下游500m，500m以外影响可忽略不计</w:t>
      </w:r>
      <w:r>
        <w:rPr>
          <w:rFonts w:hint="eastAsia"/>
          <w:color w:val="000000" w:themeColor="text1"/>
          <w14:textFill>
            <w14:solidFill>
              <w14:schemeClr w14:val="tx1"/>
            </w14:solidFill>
          </w14:textFill>
        </w:rPr>
        <w:t>。</w:t>
      </w:r>
    </w:p>
    <w:p w14:paraId="3BE36656">
      <w:pPr>
        <w:pStyle w:val="118"/>
        <w:numPr>
          <w:ilvl w:val="0"/>
          <w:numId w:val="0"/>
        </w:numPr>
        <w:rPr>
          <w:color w:val="000000" w:themeColor="text1"/>
          <w14:textFill>
            <w14:solidFill>
              <w14:schemeClr w14:val="tx1"/>
            </w14:solidFill>
          </w14:textFill>
        </w:rPr>
      </w:pPr>
      <w:bookmarkStart w:id="673" w:name="_Toc439084225"/>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bookmarkEnd w:id="673"/>
      <w:r>
        <w:rPr>
          <w:rFonts w:hint="eastAsia"/>
          <w:color w:val="000000" w:themeColor="text1"/>
          <w14:textFill>
            <w14:solidFill>
              <w14:schemeClr w14:val="tx1"/>
            </w14:solidFill>
          </w14:textFill>
        </w:rPr>
        <w:t>物料流失对地表水环境的影响分析</w:t>
      </w:r>
    </w:p>
    <w:p w14:paraId="12D0B2F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路基的填筑以及各种筑路材料的运输等均会引起扬尘，这些尘埃会随风</w:t>
      </w:r>
      <w:bookmarkStart w:id="674" w:name="hmcheck_1ce7a06bd8ea460e844321ea204be804"/>
      <w:r>
        <w:rPr>
          <w:rFonts w:hint="eastAsia"/>
          <w:color w:val="000000" w:themeColor="text1"/>
          <w:shd w:val="clear" w:fill="FFAFAA"/>
          <w14:textFill>
            <w14:solidFill>
              <w14:schemeClr w14:val="tx1"/>
            </w14:solidFill>
          </w14:textFill>
        </w:rPr>
        <w:t>飘落</w:t>
      </w:r>
      <w:bookmarkEnd w:id="674"/>
      <w:r>
        <w:rPr>
          <w:rFonts w:hint="eastAsia"/>
          <w:color w:val="000000" w:themeColor="text1"/>
          <w14:textFill>
            <w14:solidFill>
              <w14:schemeClr w14:val="tx1"/>
            </w14:solidFill>
          </w14:textFill>
        </w:rPr>
        <w:t>到路侧的水体中，将会对水体产生一定的影响。此外，如沥青、油料、化学品物质等施工材料如保管不善，被雨水冲刷而进入水体将会产生水环境污染。在临河路段</w:t>
      </w:r>
      <w:bookmarkStart w:id="675" w:name="hmcheck_85fc7ff832e04efead8c12b144aa75ba"/>
      <w:r>
        <w:rPr>
          <w:rFonts w:hint="eastAsia"/>
          <w:color w:val="000000" w:themeColor="text1"/>
          <w:shd w:val="clear" w:fill="FFAFAA"/>
          <w14:textFill>
            <w14:solidFill>
              <w14:schemeClr w14:val="tx1"/>
            </w14:solidFill>
          </w14:textFill>
        </w:rPr>
        <w:t>施工期</w:t>
      </w:r>
      <w:bookmarkEnd w:id="675"/>
      <w:r>
        <w:rPr>
          <w:rFonts w:hint="eastAsia"/>
          <w:color w:val="000000" w:themeColor="text1"/>
          <w14:textFill>
            <w14:solidFill>
              <w14:schemeClr w14:val="tx1"/>
            </w14:solidFill>
          </w14:textFill>
        </w:rPr>
        <w:t>时，路基施工泥土被雨水冲入河流或路面因没有及时压实被雨水冲入河流，引起河水悬浮物偏高。</w:t>
      </w:r>
    </w:p>
    <w:p w14:paraId="7020471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因此，在施工中应根据不同筑路材料和特点，有针对性地加强保护管理措施，尽量减小其对水环境的影响。 </w:t>
      </w:r>
    </w:p>
    <w:p w14:paraId="50460DE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特别应该注意施工期对路基及时压实，避免冲蚀。在路面施工时，首先避免雨期或逆季节施工造成沥青废渣，再则施工中应及时</w:t>
      </w:r>
      <w:bookmarkStart w:id="676" w:name="hmcheck_c16df2e798ad4b4e980d53f935352a55"/>
      <w:r>
        <w:rPr>
          <w:rFonts w:hint="eastAsia"/>
          <w:color w:val="000000" w:themeColor="text1"/>
          <w:shd w:val="clear" w:fill="FFAFAA"/>
          <w14:textFill>
            <w14:solidFill>
              <w14:schemeClr w14:val="tx1"/>
            </w14:solidFill>
          </w14:textFill>
        </w:rPr>
        <w:t>碾铺</w:t>
      </w:r>
      <w:bookmarkEnd w:id="676"/>
      <w:r>
        <w:rPr>
          <w:rFonts w:hint="eastAsia"/>
          <w:color w:val="000000" w:themeColor="text1"/>
          <w14:textFill>
            <w14:solidFill>
              <w14:schemeClr w14:val="tx1"/>
            </w14:solidFill>
          </w14:textFill>
        </w:rPr>
        <w:t>，防止雨水冲刷，严禁将沥青废渣冲入水体。</w:t>
      </w:r>
    </w:p>
    <w:p w14:paraId="0BC4D6E5">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）施工期临时围堰对河势稳定的影响分析</w:t>
      </w:r>
    </w:p>
    <w:p w14:paraId="589E67C0">
      <w:pPr>
        <w:ind w:firstLine="480"/>
      </w:pPr>
      <w:r>
        <w:rPr>
          <w:rFonts w:hint="eastAsia"/>
        </w:rPr>
        <w:t>本次评价的桥梁及涵洞，在施工期间需在河道内修建临时围堰，围堰占用河道，河道断面过水面积减小，流速较原来有所增加，紊动作用增强，水流对河槽会产生一定的冲刷；在围堰下游一定距离，水流流速自增幅最大处向下游逐渐恢复到正常流速，由于流速的增加，水流对桥址下游河床会产生一定的冲刷。围堰的建设还会使围堰上游河段一定距离内洪水位抬高，在壅水影响范围内会</w:t>
      </w:r>
      <w:bookmarkStart w:id="677" w:name="hmcheck_d6cecfbc51c8490eb3fd0603247fc30e"/>
      <w:r>
        <w:rPr>
          <w:rFonts w:hint="eastAsia"/>
          <w:shd w:val="clear" w:fill="FFAFAA"/>
        </w:rPr>
        <w:t>造成的</w:t>
      </w:r>
      <w:bookmarkEnd w:id="677"/>
      <w:r>
        <w:rPr>
          <w:rFonts w:hint="eastAsia"/>
        </w:rPr>
        <w:t>少量的淤积。但这些影响是短期的，施工结束、围堰拆除后影响即可消除。因此，施工期临时围堰对河势稳定的影响相对较小。</w:t>
      </w:r>
    </w:p>
    <w:p w14:paraId="14CB6FB7">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）小结</w:t>
      </w:r>
    </w:p>
    <w:p w14:paraId="4284BF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综上分析，项目施工期水环境影响主要为桥梁基础、改河改渠、涵洞等涉水工程，以及施工生产生活污水对水体的影响。桥梁基础、改河改渠、涵洞等涉水工程采取</w:t>
      </w:r>
      <w:r>
        <w:rPr>
          <w:color w:val="000000" w:themeColor="text1"/>
          <w14:textFill>
            <w14:solidFill>
              <w14:schemeClr w14:val="tx1"/>
            </w14:solidFill>
          </w14:textFill>
        </w:rPr>
        <w:t>围堰</w:t>
      </w:r>
      <w:r>
        <w:rPr>
          <w:rFonts w:hint="eastAsia"/>
          <w:color w:val="000000" w:themeColor="text1"/>
          <w14:textFill>
            <w14:solidFill>
              <w14:schemeClr w14:val="tx1"/>
            </w14:solidFill>
          </w14:textFill>
        </w:rPr>
        <w:t>导流施工方式减缓涉水建设对地表水环境影响。施工期生活污水依托周边村庄生活污水处理设施处理，纳入区域排污系统；项目部常驻人员</w:t>
      </w:r>
      <w:r>
        <w:rPr>
          <w:color w:val="000000" w:themeColor="text1"/>
          <w14:textFill>
            <w14:solidFill>
              <w14:schemeClr w14:val="tx1"/>
            </w14:solidFill>
          </w14:textFill>
        </w:rPr>
        <w:t>生活污水</w:t>
      </w:r>
      <w:r>
        <w:rPr>
          <w:rFonts w:hint="eastAsia"/>
          <w:color w:val="000000" w:themeColor="text1"/>
          <w14:textFill>
            <w14:solidFill>
              <w14:schemeClr w14:val="tx1"/>
            </w14:solidFill>
          </w14:textFill>
        </w:rPr>
        <w:t>经临时化粪池处理后委托定期清运肥田；</w:t>
      </w:r>
      <w:r>
        <w:rPr>
          <w:color w:val="000000" w:themeColor="text1"/>
          <w14:textFill>
            <w14:solidFill>
              <w14:schemeClr w14:val="tx1"/>
            </w14:solidFill>
          </w14:textFill>
        </w:rPr>
        <w:t>机械、车辆冲洗水经</w:t>
      </w:r>
      <w:r>
        <w:rPr>
          <w:rFonts w:hint="eastAsia"/>
          <w:color w:val="000000" w:themeColor="text1"/>
          <w14:textFill>
            <w14:solidFill>
              <w14:schemeClr w14:val="tx1"/>
            </w14:solidFill>
          </w14:textFill>
        </w:rPr>
        <w:t>简单</w:t>
      </w:r>
      <w:r>
        <w:rPr>
          <w:color w:val="000000" w:themeColor="text1"/>
          <w14:textFill>
            <w14:solidFill>
              <w14:schemeClr w14:val="tx1"/>
            </w14:solidFill>
          </w14:textFill>
        </w:rPr>
        <w:t>隔油沉淀后循环使用</w:t>
      </w:r>
      <w:r>
        <w:rPr>
          <w:rFonts w:hint="eastAsia"/>
          <w:color w:val="000000" w:themeColor="text1"/>
          <w14:textFill>
            <w14:solidFill>
              <w14:schemeClr w14:val="tx1"/>
            </w14:solidFill>
          </w14:textFill>
        </w:rPr>
        <w:t>，或用于施工场地和路面洒水抑尘，不外排。综上，项目施工废水对周边水环境影响较小。</w:t>
      </w:r>
    </w:p>
    <w:p w14:paraId="147B38AF">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运营期地表水环境影响分析</w:t>
      </w:r>
    </w:p>
    <w:p w14:paraId="09C37CEB">
      <w:pPr>
        <w:ind w:firstLine="476"/>
        <w:rPr>
          <w:rFonts w:cs="Times New Roman"/>
          <w:color w:val="000000" w:themeColor="text1"/>
          <w:spacing w:val="-2"/>
          <w14:textFill>
            <w14:solidFill>
              <w14:schemeClr w14:val="tx1"/>
            </w14:solidFill>
          </w14:textFill>
        </w:rPr>
      </w:pPr>
      <w:r>
        <w:rPr>
          <w:rFonts w:hint="eastAsia" w:cs="Times New Roman"/>
          <w:color w:val="000000" w:themeColor="text1"/>
          <w:spacing w:val="-2"/>
          <w14:textFill>
            <w14:solidFill>
              <w14:schemeClr w14:val="tx1"/>
            </w14:solidFill>
          </w14:textFill>
        </w:rPr>
        <w:t>（1）水环境影响</w:t>
      </w:r>
    </w:p>
    <w:p w14:paraId="251C078F">
      <w:pPr>
        <w:ind w:firstLine="476"/>
        <w:rPr>
          <w:color w:val="000000" w:themeColor="text1"/>
          <w14:textFill>
            <w14:solidFill>
              <w14:schemeClr w14:val="tx1"/>
            </w14:solidFill>
          </w14:textFill>
        </w:rPr>
      </w:pPr>
      <w:r>
        <w:rPr>
          <w:rFonts w:cs="Times New Roman"/>
          <w:color w:val="000000" w:themeColor="text1"/>
          <w:spacing w:val="-2"/>
          <w14:textFill>
            <w14:solidFill>
              <w14:schemeClr w14:val="tx1"/>
            </w14:solidFill>
          </w14:textFill>
        </w:rPr>
        <w:t>由于公路项目运营期本身并不产生污水，水环境影响因素主要是路面径流。影响公路路面径流水量和水质的因素较多，包括降雨量、车流量、两场降雨间隔时间等，其水量和水质的变化较大，污染成分比较复杂。根据目前国内对公路路面径流浓度的测试结果，降雨初期到形成路面径流的30min内，水中悬浮物和石油类浓度较高，半个小时后，其浓度随着降雨历时延长而较快下降，降雨历时40</w:t>
      </w:r>
      <w:bookmarkStart w:id="678" w:name="hmcheck_5cdec6936ae14d5fa916822453e314cd"/>
      <w:r>
        <w:rPr>
          <w:rFonts w:hint="eastAsia" w:cs="Times New Roman"/>
          <w:color w:val="000000" w:themeColor="text1"/>
          <w:spacing w:val="-2"/>
          <w:shd w:val="clear" w:fill="FFAFAA"/>
          <w14:textFill>
            <w14:solidFill>
              <w14:schemeClr w14:val="tx1"/>
            </w14:solidFill>
          </w14:textFill>
        </w:rPr>
        <w:t>~</w:t>
      </w:r>
      <w:bookmarkEnd w:id="678"/>
      <w:r>
        <w:rPr>
          <w:rFonts w:cs="Times New Roman"/>
          <w:color w:val="000000" w:themeColor="text1"/>
          <w:spacing w:val="-2"/>
          <w14:textFill>
            <w14:solidFill>
              <w14:schemeClr w14:val="tx1"/>
            </w14:solidFill>
          </w14:textFill>
        </w:rPr>
        <w:t>60min后，路面基本被冲刷干净，路面径流污染物浓度基本稳定在较低水平。</w:t>
      </w:r>
      <w:r>
        <w:rPr>
          <w:rFonts w:hint="eastAsia"/>
          <w:color w:val="000000" w:themeColor="text1"/>
          <w14:textFill>
            <w14:solidFill>
              <w14:schemeClr w14:val="tx1"/>
            </w14:solidFill>
          </w14:textFill>
        </w:rPr>
        <w:t>所以，降雨对公路附近河流造成影响的主要是降雨初期</w:t>
      </w:r>
      <w:r>
        <w:rPr>
          <w:color w:val="000000" w:themeColor="text1"/>
          <w14:textFill>
            <w14:solidFill>
              <w14:schemeClr w14:val="tx1"/>
            </w14:solidFill>
          </w14:textFill>
        </w:rPr>
        <w:t>40</w:t>
      </w:r>
      <w:r>
        <w:rPr>
          <w:rFonts w:hint="eastAsia"/>
          <w:color w:val="000000" w:themeColor="text1"/>
          <w14:textFill>
            <w14:solidFill>
              <w14:schemeClr w14:val="tx1"/>
            </w14:solidFill>
          </w14:textFill>
        </w:rPr>
        <w:t>min内形成的路面径流。根据路面径流类比调查资料，公路路面径流</w:t>
      </w:r>
      <w:r>
        <w:rPr>
          <w:color w:val="000000" w:themeColor="text1"/>
          <w14:textFill>
            <w14:solidFill>
              <w14:schemeClr w14:val="tx1"/>
            </w14:solidFill>
          </w14:textFill>
        </w:rPr>
        <w:t>40</w:t>
      </w:r>
      <w:r>
        <w:rPr>
          <w:rFonts w:hint="eastAsia"/>
          <w:color w:val="000000" w:themeColor="text1"/>
          <w14:textFill>
            <w14:solidFill>
              <w14:schemeClr w14:val="tx1"/>
            </w14:solidFill>
          </w14:textFill>
        </w:rPr>
        <w:t>min后仅有悬浮物浓度超过《污水综合排放标准》（GB8978-1996）表4一级标准，其余均能达标。随着降雨历时增加，公路表面径流污染物浓度下降，加之公路表面径流是短期和暂时的，因而对周边水环境影响不大。为了更好地保护当地水环境，可采取车辆运输散落控制、路面清扫等非工程措施和绿化植被过滤带、植草渠道等工程措施，可对本项目公路表面径流污染物进行有效的控制。</w:t>
      </w:r>
    </w:p>
    <w:p w14:paraId="63F3255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（2）项目建设对水文情势的影响分析：</w:t>
      </w:r>
    </w:p>
    <w:p w14:paraId="59E173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项目洪水影响评价结论，拟建大埔大桥桥墩落于现状河道内，发生100年一遇洪水时，阻水比为9.33%超过了8%，流速增大比例达到10.29%，壅水高度为0.201m，壅水影响范围约1015m，应采取补救措施予以削减。项目采取补救措施为整治跨河处上下游河道，调整河道</w:t>
      </w:r>
      <w:bookmarkStart w:id="679" w:name="hmcheck_236845348a224bb684d8b3c63941ed4c"/>
      <w:r>
        <w:rPr>
          <w:rFonts w:hint="eastAsia"/>
          <w:color w:val="000000" w:themeColor="text1"/>
          <w:shd w:val="clear" w:fill="FFAFAA"/>
          <w14:textFill>
            <w14:solidFill>
              <w14:schemeClr w14:val="tx1"/>
            </w14:solidFill>
          </w14:textFill>
        </w:rPr>
        <w:t>线位</w:t>
      </w:r>
      <w:bookmarkEnd w:id="679"/>
      <w:r>
        <w:rPr>
          <w:rFonts w:hint="eastAsia"/>
          <w:color w:val="000000" w:themeColor="text1"/>
          <w14:textFill>
            <w14:solidFill>
              <w14:schemeClr w14:val="tx1"/>
            </w14:solidFill>
          </w14:textFill>
        </w:rPr>
        <w:t>，将桥墩移到河道行洪范围外，优化水流流态，新建河道护岸。补救措施实施后，桥墩不在河道行洪范围内，不阻水，流速不变，不壅水，河道护岸的基础埋深满足冲刷深度要求，护岸顶高程满足河道行洪要求，护岸</w:t>
      </w:r>
      <w:bookmarkStart w:id="680" w:name="hmcheck_8054bb024a854cf9a1ec33e2cf146c99"/>
      <w:r>
        <w:rPr>
          <w:rFonts w:hint="eastAsia"/>
          <w:color w:val="000000" w:themeColor="text1"/>
          <w:shd w:val="clear" w:fill="FFAFAA"/>
          <w14:textFill>
            <w14:solidFill>
              <w14:schemeClr w14:val="tx1"/>
            </w14:solidFill>
          </w14:textFill>
        </w:rPr>
        <w:t>型式</w:t>
      </w:r>
      <w:bookmarkEnd w:id="680"/>
      <w:r>
        <w:rPr>
          <w:rFonts w:hint="eastAsia"/>
          <w:color w:val="000000" w:themeColor="text1"/>
          <w14:textFill>
            <w14:solidFill>
              <w14:schemeClr w14:val="tx1"/>
            </w14:solidFill>
          </w14:textFill>
        </w:rPr>
        <w:t>与水利规划相衔接，不对后续上下游河道整治工程造成不利影响，基本符合相关政策法规的要求。</w:t>
      </w:r>
    </w:p>
    <w:p w14:paraId="2B90D2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枝钟中桥及K1+565、K1+730、K1+830、K3+436.5、K3+640等5座涵洞的建设将对河道行洪有一定影响，但是由于占用的行洪宽度及行洪面积均较小，对流速的改变较小，对河道行洪安全的影响较小。现状工况下，在发生100年一遇洪水时，桥梁的净高满足规范要求，自身不会产生淹没，洪水也不会淹没路面，不影响道路通行；在发生50年一遇洪水时，箱涵的净高满足规范要求，自身不会产生淹没，洪水也不会淹没路面，不影响道路通行。</w:t>
      </w:r>
    </w:p>
    <w:p w14:paraId="4E504A62">
      <w:pPr>
        <w:pStyle w:val="116"/>
        <w:rPr>
          <w:color w:val="000000" w:themeColor="text1"/>
          <w14:textFill>
            <w14:solidFill>
              <w14:schemeClr w14:val="tx1"/>
            </w14:solidFill>
          </w14:textFill>
        </w:rPr>
      </w:pPr>
      <w:bookmarkStart w:id="681" w:name="_Toc193912382"/>
      <w:bookmarkStart w:id="682" w:name="_Toc154668045"/>
      <w:bookmarkStart w:id="683" w:name="_Toc152152048"/>
      <w:bookmarkStart w:id="684" w:name="_Toc159405475"/>
      <w:r>
        <w:rPr>
          <w:rFonts w:hint="eastAsia"/>
          <w:color w:val="000000" w:themeColor="text1"/>
          <w14:textFill>
            <w14:solidFill>
              <w14:schemeClr w14:val="tx1"/>
            </w14:solidFill>
          </w14:textFill>
        </w:rPr>
        <w:t>大气环境影响评价</w:t>
      </w:r>
      <w:bookmarkEnd w:id="681"/>
      <w:bookmarkEnd w:id="682"/>
      <w:bookmarkEnd w:id="683"/>
      <w:bookmarkEnd w:id="684"/>
    </w:p>
    <w:p w14:paraId="1057794D">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施工期大气环境影响分析</w:t>
      </w:r>
    </w:p>
    <w:p w14:paraId="34A83B62">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施工扬尘（TSP）</w:t>
      </w:r>
    </w:p>
    <w:p w14:paraId="2911FC5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TSP污染主要来源为开放或封闭不严的水稳</w:t>
      </w:r>
      <w:bookmarkStart w:id="685" w:name="hmcheck_96db488664c74d4cb71d81b1d4fcd8bc"/>
      <w:r>
        <w:rPr>
          <w:rFonts w:hint="eastAsia"/>
          <w:color w:val="000000" w:themeColor="text1"/>
          <w:shd w:val="clear" w:fill="FFAFAA"/>
          <w14:textFill>
            <w14:solidFill>
              <w14:schemeClr w14:val="tx1"/>
            </w14:solidFill>
          </w14:textFill>
        </w:rPr>
        <w:t>拌合站</w:t>
      </w:r>
      <w:bookmarkEnd w:id="685"/>
      <w:r>
        <w:rPr>
          <w:rFonts w:hint="eastAsia"/>
          <w:color w:val="000000" w:themeColor="text1"/>
          <w14:textFill>
            <w14:solidFill>
              <w14:schemeClr w14:val="tx1"/>
            </w14:solidFill>
          </w14:textFill>
        </w:rPr>
        <w:t>、储料场、材料运输过程中的漏洒、临时道路及未铺装道路路面的起尘和大量的土石方的填、挖、搬、运等作业过程。</w:t>
      </w:r>
    </w:p>
    <w:p w14:paraId="7ECBA38C">
      <w:pPr>
        <w:ind w:firstLine="480"/>
        <w:rPr>
          <w:rFonts w:cs="Times New Roman"/>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rFonts w:cs="Times New Roman"/>
          <w:color w:val="000000" w:themeColor="text1"/>
          <w14:textFill>
            <w14:solidFill>
              <w14:schemeClr w14:val="tx1"/>
            </w14:solidFill>
          </w14:textFill>
        </w:rPr>
        <w:t>运输车辆扬尘影响分析</w:t>
      </w:r>
    </w:p>
    <w:p w14:paraId="4B998960">
      <w:pPr>
        <w:ind w:firstLine="480"/>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施工区内车辆运输引起的施工路面扬尘的占场地扬尘总量的60%以上，运输扬尘的起尘量主要与路面干湿程度、车速、风速、路面积尘量和汽车载重量等有关，其中风速还直接影响到扬尘的传输距离</w:t>
      </w:r>
      <w:r>
        <w:rPr>
          <w:rFonts w:hint="eastAsia" w:cs="Times New Roman"/>
          <w:color w:val="000000" w:themeColor="text1"/>
          <w14:textFill>
            <w14:solidFill>
              <w14:schemeClr w14:val="tx1"/>
            </w14:solidFill>
          </w14:textFill>
        </w:rPr>
        <w:t>，可以采取硬化路面，或洒水措施来减少扬尘。施工路段洒水降尘试验</w:t>
      </w:r>
      <w:r>
        <w:rPr>
          <w:rFonts w:cs="Times New Roman"/>
          <w:color w:val="000000" w:themeColor="text1"/>
          <w14:textFill>
            <w14:solidFill>
              <w14:schemeClr w14:val="tx1"/>
            </w14:solidFill>
          </w14:textFill>
        </w:rPr>
        <w:t>详见</w:t>
      </w:r>
      <w:r>
        <w:rPr>
          <w:rFonts w:cs="Times New Roman"/>
          <w:color w:val="000000" w:themeColor="text1"/>
          <w14:textFill>
            <w14:solidFill>
              <w14:schemeClr w14:val="tx1"/>
            </w14:solidFill>
          </w14:textFill>
        </w:rPr>
        <w:fldChar w:fldCharType="begin"/>
      </w:r>
      <w:r>
        <w:rPr>
          <w:rFonts w:cs="Times New Roman"/>
          <w:color w:val="000000" w:themeColor="text1"/>
          <w14:textFill>
            <w14:solidFill>
              <w14:schemeClr w14:val="tx1"/>
            </w14:solidFill>
          </w14:textFill>
        </w:rPr>
        <w:instrText xml:space="preserve"> REF _Ref144112991 \r \h  \* MERGEFORMAT </w:instrText>
      </w:r>
      <w:r>
        <w:rPr>
          <w:rFonts w:cs="Times New Roman"/>
          <w:color w:val="000000" w:themeColor="text1"/>
          <w14:textFill>
            <w14:solidFill>
              <w14:schemeClr w14:val="tx1"/>
            </w14:solidFill>
          </w14:textFill>
        </w:rPr>
        <w:fldChar w:fldCharType="separate"/>
      </w:r>
      <w:r>
        <w:rPr>
          <w:rFonts w:hint="eastAsia" w:cs="Times New Roman"/>
          <w:color w:val="000000" w:themeColor="text1"/>
          <w14:textFill>
            <w14:solidFill>
              <w14:schemeClr w14:val="tx1"/>
            </w14:solidFill>
          </w14:textFill>
        </w:rPr>
        <w:t>表5.3-1</w:t>
      </w:r>
      <w:r>
        <w:rPr>
          <w:rFonts w:cs="Times New Roman"/>
          <w:color w:val="000000" w:themeColor="text1"/>
          <w14:textFill>
            <w14:solidFill>
              <w14:schemeClr w14:val="tx1"/>
            </w14:solidFill>
          </w14:textFill>
        </w:rPr>
        <w:fldChar w:fldCharType="end"/>
      </w:r>
      <w:r>
        <w:rPr>
          <w:rFonts w:cs="Times New Roman"/>
          <w:color w:val="000000" w:themeColor="text1"/>
          <w14:textFill>
            <w14:solidFill>
              <w14:schemeClr w14:val="tx1"/>
            </w14:solidFill>
          </w14:textFill>
        </w:rPr>
        <w:t>。</w:t>
      </w:r>
      <w:r>
        <w:rPr>
          <w:rFonts w:cs="Times New Roman"/>
          <w:color w:val="000000" w:themeColor="text1"/>
          <w:szCs w:val="24"/>
          <w14:textFill>
            <w14:solidFill>
              <w14:schemeClr w14:val="tx1"/>
            </w14:solidFill>
          </w14:textFill>
        </w:rPr>
        <w:t>此外，试验结果还表明，当洒水频率为4</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5次/d时，扬尘造成的污染距离可缩小到20</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50m范围内。</w:t>
      </w:r>
    </w:p>
    <w:p w14:paraId="311D74B4">
      <w:pPr>
        <w:pStyle w:val="87"/>
        <w:spacing w:before="163"/>
        <w:rPr>
          <w:color w:val="000000" w:themeColor="text1"/>
          <w14:textFill>
            <w14:solidFill>
              <w14:schemeClr w14:val="tx1"/>
            </w14:solidFill>
          </w14:textFill>
        </w:rPr>
      </w:pPr>
      <w:bookmarkStart w:id="686" w:name="_Ref144112991"/>
      <w:r>
        <w:rPr>
          <w:color w:val="000000" w:themeColor="text1"/>
          <w14:textFill>
            <w14:solidFill>
              <w14:schemeClr w14:val="tx1"/>
            </w14:solidFill>
          </w14:textFill>
        </w:rPr>
        <w:t>施工路段洒水降尘试验结果</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单位：mg/m</w:t>
      </w:r>
      <w:r>
        <w:rPr>
          <w:color w:val="000000" w:themeColor="text1"/>
          <w:vertAlign w:val="superscript"/>
          <w14:textFill>
            <w14:solidFill>
              <w14:schemeClr w14:val="tx1"/>
            </w14:solidFill>
          </w14:textFill>
        </w:rPr>
        <w:t>3</w:t>
      </w:r>
      <w:bookmarkEnd w:id="686"/>
    </w:p>
    <w:tbl>
      <w:tblPr>
        <w:tblStyle w:val="2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90"/>
        <w:gridCol w:w="1680"/>
        <w:gridCol w:w="1027"/>
        <w:gridCol w:w="1023"/>
        <w:gridCol w:w="1019"/>
        <w:gridCol w:w="1021"/>
        <w:gridCol w:w="1310"/>
      </w:tblGrid>
      <w:tr w14:paraId="4B2EED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30" w:hRule="atLeast"/>
          <w:tblHeader/>
          <w:jc w:val="center"/>
        </w:trPr>
        <w:tc>
          <w:tcPr>
            <w:tcW w:w="2023" w:type="pct"/>
            <w:gridSpan w:val="2"/>
            <w:vAlign w:val="center"/>
          </w:tcPr>
          <w:p w14:paraId="733FB6F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距路边距离（m）</w:t>
            </w:r>
          </w:p>
        </w:tc>
        <w:tc>
          <w:tcPr>
            <w:tcW w:w="566" w:type="pct"/>
            <w:vAlign w:val="center"/>
          </w:tcPr>
          <w:p w14:paraId="78FD5B1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564" w:type="pct"/>
            <w:vAlign w:val="center"/>
          </w:tcPr>
          <w:p w14:paraId="2DA4148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w:t>
            </w:r>
          </w:p>
        </w:tc>
        <w:tc>
          <w:tcPr>
            <w:tcW w:w="562" w:type="pct"/>
            <w:vAlign w:val="center"/>
          </w:tcPr>
          <w:p w14:paraId="7FBB6EF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50</w:t>
            </w:r>
          </w:p>
        </w:tc>
        <w:tc>
          <w:tcPr>
            <w:tcW w:w="563" w:type="pct"/>
            <w:vAlign w:val="center"/>
          </w:tcPr>
          <w:p w14:paraId="50340A6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722" w:type="pct"/>
            <w:vAlign w:val="center"/>
          </w:tcPr>
          <w:p w14:paraId="7E4524C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200</w:t>
            </w:r>
          </w:p>
        </w:tc>
      </w:tr>
      <w:tr w14:paraId="08B43C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11" w:hRule="atLeast"/>
          <w:tblHeader/>
          <w:jc w:val="center"/>
        </w:trPr>
        <w:tc>
          <w:tcPr>
            <w:tcW w:w="1097" w:type="pct"/>
            <w:vMerge w:val="restart"/>
            <w:vAlign w:val="center"/>
          </w:tcPr>
          <w:p w14:paraId="7A41150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TSP 浓度</w:t>
            </w:r>
          </w:p>
        </w:tc>
        <w:tc>
          <w:tcPr>
            <w:tcW w:w="926" w:type="pct"/>
            <w:vAlign w:val="center"/>
          </w:tcPr>
          <w:p w14:paraId="6B93962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不洒水</w:t>
            </w:r>
          </w:p>
        </w:tc>
        <w:tc>
          <w:tcPr>
            <w:tcW w:w="566" w:type="pct"/>
            <w:vAlign w:val="center"/>
          </w:tcPr>
          <w:p w14:paraId="3E0C3F3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11.03</w:t>
            </w:r>
          </w:p>
        </w:tc>
        <w:tc>
          <w:tcPr>
            <w:tcW w:w="564" w:type="pct"/>
            <w:vAlign w:val="center"/>
          </w:tcPr>
          <w:p w14:paraId="18BD3B7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2.89</w:t>
            </w:r>
          </w:p>
        </w:tc>
        <w:tc>
          <w:tcPr>
            <w:tcW w:w="562" w:type="pct"/>
            <w:vAlign w:val="center"/>
          </w:tcPr>
          <w:p w14:paraId="3D02D50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1.15</w:t>
            </w:r>
          </w:p>
        </w:tc>
        <w:tc>
          <w:tcPr>
            <w:tcW w:w="563" w:type="pct"/>
            <w:vAlign w:val="center"/>
          </w:tcPr>
          <w:p w14:paraId="63CAE5D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0.86</w:t>
            </w:r>
          </w:p>
        </w:tc>
        <w:tc>
          <w:tcPr>
            <w:tcW w:w="722" w:type="pct"/>
            <w:vAlign w:val="center"/>
          </w:tcPr>
          <w:p w14:paraId="0BADA82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0.56</w:t>
            </w:r>
          </w:p>
        </w:tc>
      </w:tr>
      <w:tr w14:paraId="2316A6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09" w:hRule="atLeast"/>
          <w:tblHeader/>
          <w:jc w:val="center"/>
        </w:trPr>
        <w:tc>
          <w:tcPr>
            <w:tcW w:w="1097" w:type="pct"/>
            <w:vMerge w:val="continue"/>
            <w:vAlign w:val="center"/>
          </w:tcPr>
          <w:p w14:paraId="57D38A66">
            <w:pPr>
              <w:pStyle w:val="105"/>
              <w:jc w:val="center"/>
              <w:rPr>
                <w:color w:val="000000" w:themeColor="text1"/>
                <w14:textFill>
                  <w14:solidFill>
                    <w14:schemeClr w14:val="tx1"/>
                  </w14:solidFill>
                </w14:textFill>
              </w:rPr>
            </w:pPr>
          </w:p>
        </w:tc>
        <w:tc>
          <w:tcPr>
            <w:tcW w:w="926" w:type="pct"/>
            <w:vAlign w:val="center"/>
          </w:tcPr>
          <w:p w14:paraId="7411D72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洒水</w:t>
            </w:r>
          </w:p>
        </w:tc>
        <w:tc>
          <w:tcPr>
            <w:tcW w:w="566" w:type="pct"/>
            <w:vAlign w:val="center"/>
          </w:tcPr>
          <w:p w14:paraId="7194633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2.11</w:t>
            </w:r>
          </w:p>
        </w:tc>
        <w:tc>
          <w:tcPr>
            <w:tcW w:w="564" w:type="pct"/>
            <w:vAlign w:val="center"/>
          </w:tcPr>
          <w:p w14:paraId="4A6D43D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1.40</w:t>
            </w:r>
          </w:p>
        </w:tc>
        <w:tc>
          <w:tcPr>
            <w:tcW w:w="562" w:type="pct"/>
            <w:vAlign w:val="center"/>
          </w:tcPr>
          <w:p w14:paraId="36022BA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0.68</w:t>
            </w:r>
          </w:p>
        </w:tc>
        <w:tc>
          <w:tcPr>
            <w:tcW w:w="563" w:type="pct"/>
            <w:vAlign w:val="center"/>
          </w:tcPr>
          <w:p w14:paraId="74CA1FE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0.60</w:t>
            </w:r>
          </w:p>
        </w:tc>
        <w:tc>
          <w:tcPr>
            <w:tcW w:w="722" w:type="pct"/>
            <w:vAlign w:val="center"/>
          </w:tcPr>
          <w:p w14:paraId="72B7D54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0.29</w:t>
            </w:r>
          </w:p>
        </w:tc>
      </w:tr>
      <w:tr w14:paraId="5B94F19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023" w:type="pct"/>
            <w:gridSpan w:val="2"/>
            <w:vAlign w:val="center"/>
          </w:tcPr>
          <w:p w14:paraId="093565A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降尘效果%</w:t>
            </w:r>
          </w:p>
        </w:tc>
        <w:tc>
          <w:tcPr>
            <w:tcW w:w="566" w:type="pct"/>
            <w:vAlign w:val="center"/>
          </w:tcPr>
          <w:p w14:paraId="4F8F7BA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80.2</w:t>
            </w:r>
          </w:p>
        </w:tc>
        <w:tc>
          <w:tcPr>
            <w:tcW w:w="564" w:type="pct"/>
            <w:vAlign w:val="center"/>
          </w:tcPr>
          <w:p w14:paraId="05302C4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51.6</w:t>
            </w:r>
          </w:p>
        </w:tc>
        <w:tc>
          <w:tcPr>
            <w:tcW w:w="562" w:type="pct"/>
            <w:vAlign w:val="center"/>
          </w:tcPr>
          <w:p w14:paraId="1685810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41.7</w:t>
            </w:r>
          </w:p>
        </w:tc>
        <w:tc>
          <w:tcPr>
            <w:tcW w:w="563" w:type="pct"/>
            <w:vAlign w:val="center"/>
          </w:tcPr>
          <w:p w14:paraId="19665DF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30.2</w:t>
            </w:r>
          </w:p>
        </w:tc>
        <w:tc>
          <w:tcPr>
            <w:tcW w:w="722" w:type="pct"/>
            <w:vAlign w:val="center"/>
          </w:tcPr>
          <w:p w14:paraId="73E262E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48.2</w:t>
            </w:r>
          </w:p>
        </w:tc>
      </w:tr>
    </w:tbl>
    <w:p w14:paraId="501D9C34">
      <w:pPr>
        <w:pStyle w:val="124"/>
        <w:spacing w:before="163"/>
        <w:rPr>
          <w:color w:val="000000" w:themeColor="text1"/>
          <w14:textFill>
            <w14:solidFill>
              <w14:schemeClr w14:val="tx1"/>
            </w14:solidFill>
          </w14:textFill>
        </w:rPr>
      </w:pPr>
      <w:r>
        <w:rPr>
          <w:color w:val="000000" w:themeColor="text1"/>
          <w14:textFill>
            <w14:solidFill>
              <w14:schemeClr w14:val="tx1"/>
            </w14:solidFill>
          </w14:textFill>
        </w:rPr>
        <w:t>由上表可知，采取洒水措施可有效降低公路运输扬尘带来的不利影响。因此，为尽可能</w:t>
      </w:r>
      <w:r>
        <w:rPr>
          <w:rFonts w:hint="eastAsia"/>
          <w:color w:val="000000" w:themeColor="text1"/>
          <w14:textFill>
            <w14:solidFill>
              <w14:schemeClr w14:val="tx1"/>
            </w14:solidFill>
          </w14:textFill>
        </w:rPr>
        <w:t>地</w:t>
      </w:r>
      <w:r>
        <w:rPr>
          <w:color w:val="000000" w:themeColor="text1"/>
          <w14:textFill>
            <w14:solidFill>
              <w14:schemeClr w14:val="tx1"/>
            </w14:solidFill>
          </w14:textFill>
        </w:rPr>
        <w:t>降低公路运输扬尘对沿线敏感点的影响</w:t>
      </w:r>
      <w:r>
        <w:rPr>
          <w:rFonts w:hint="eastAsia"/>
          <w:color w:val="000000" w:themeColor="text1"/>
          <w14:textFill>
            <w14:solidFill>
              <w14:schemeClr w14:val="tx1"/>
            </w14:solidFill>
          </w14:textFill>
        </w:rPr>
        <w:t>，特别是土石方运输扬尘对沿线敏感目标的影响</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运输车辆驶离工地前应在洗车平台冲洗轮胎及车身，其表面不得附着污泥；</w:t>
      </w:r>
      <w:r>
        <w:rPr>
          <w:color w:val="000000" w:themeColor="text1"/>
          <w14:textFill>
            <w14:solidFill>
              <w14:schemeClr w14:val="tx1"/>
            </w14:solidFill>
          </w14:textFill>
        </w:rPr>
        <w:t>应定时对路面进行洒水。同时</w:t>
      </w:r>
      <w:r>
        <w:rPr>
          <w:rFonts w:hint="eastAsia"/>
          <w:color w:val="000000" w:themeColor="text1"/>
          <w14:textFill>
            <w14:solidFill>
              <w14:schemeClr w14:val="tx1"/>
            </w14:solidFill>
          </w14:textFill>
        </w:rPr>
        <w:t>土石方运输</w:t>
      </w:r>
      <w:r>
        <w:rPr>
          <w:color w:val="000000" w:themeColor="text1"/>
          <w14:textFill>
            <w14:solidFill>
              <w14:schemeClr w14:val="tx1"/>
            </w14:solidFill>
          </w14:textFill>
        </w:rPr>
        <w:t>应采用密闭车斗，并保证土石方、物料不遗撒外漏。若无密闭车斗，土石方、物料的装载高度不得超过车辆槽帮上沿，车斗应用苫布遮盖严实。苫布边缘至少要遮住槽帮上沿以下15cm，保证土石方、物料等不露出。运输过程应严格控制车速，禁止超速超载等易加重扬尘的污染行为。严格执行施工期的各项防尘措施，车辆运输路线两侧的环境空气影响将得到有效</w:t>
      </w:r>
      <w:bookmarkStart w:id="687" w:name="hmcheck_6358ed79ddde4b1c979a2db4c0a6cff5"/>
      <w:r>
        <w:rPr>
          <w:rFonts w:hint="eastAsia"/>
          <w:color w:val="000000" w:themeColor="text1"/>
          <w:shd w:val="clear" w:fill="FFAFAA"/>
          <w14:textFill>
            <w14:solidFill>
              <w14:schemeClr w14:val="tx1"/>
            </w14:solidFill>
          </w14:textFill>
        </w:rPr>
        <w:t>的</w:t>
      </w:r>
      <w:bookmarkEnd w:id="687"/>
      <w:r>
        <w:rPr>
          <w:color w:val="000000" w:themeColor="text1"/>
          <w14:textFill>
            <w14:solidFill>
              <w14:schemeClr w14:val="tx1"/>
            </w14:solidFill>
          </w14:textFill>
        </w:rPr>
        <w:t>控制。</w:t>
      </w:r>
    </w:p>
    <w:p w14:paraId="3C4A252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②堆场扬尘</w:t>
      </w:r>
    </w:p>
    <w:p w14:paraId="42DD64F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堆场物料的种类、性质及风速与起尘量有很大关系，比重小的物料容易受扰动而起尘，物料中小颗粒比例大时起尘量相应也大。堆场的扬尘包括料堆的风吹扬尘、装卸扬尘和过往车辆引起路面积尘二次扬尘等，这将产生较大的尘污染，会对周围环境带来一定的影响，如石灰等易散失的施工材料如不加强管理也将产生大量的污染源。根据已有资料分析，在大风天气下砂石料起尘对下风向环境空气质量的影响范围约为200m，会给此范围内的环境保护目标造成不利影响，但通过遮盖、洒水可有效地抑制扬尘量，可使扬尘量减少70%。 </w:t>
      </w:r>
    </w:p>
    <w:p w14:paraId="4C2400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减小堆场扬尘对居民区敏感点的污染影响，物料堆场必须采用帆布苫盖，将起尘量降到最低，从而减少其对周围环境空气质量的影响。通过上述措施，施工期扬尘对周边敏感点影响较小，且该影响是暂时的，施工结束后便消失。</w:t>
      </w:r>
    </w:p>
    <w:p w14:paraId="7F45EC3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（3）物料拌合扬尘</w:t>
      </w:r>
    </w:p>
    <w:p w14:paraId="10C6A78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各种施工扬尘（路基开挖平整、材料装卸、水稳</w:t>
      </w:r>
      <w:bookmarkStart w:id="688" w:name="hmcheck_234ee5967093480b8c2f185bfcd7f13c"/>
      <w:r>
        <w:rPr>
          <w:rFonts w:hint="eastAsia"/>
          <w:color w:val="000000" w:themeColor="text1"/>
          <w:shd w:val="clear" w:fill="FFAFAA"/>
          <w14:textFill>
            <w14:solidFill>
              <w14:schemeClr w14:val="tx1"/>
            </w14:solidFill>
          </w14:textFill>
        </w:rPr>
        <w:t>拌和</w:t>
      </w:r>
      <w:bookmarkEnd w:id="688"/>
      <w:r>
        <w:rPr>
          <w:rFonts w:hint="eastAsia"/>
          <w:color w:val="000000" w:themeColor="text1"/>
          <w14:textFill>
            <w14:solidFill>
              <w14:schemeClr w14:val="tx1"/>
            </w14:solidFill>
          </w14:textFill>
        </w:rPr>
        <w:t>等）中以水稳</w:t>
      </w:r>
      <w:bookmarkStart w:id="689" w:name="hmcheck_c73d739f7d4146bd83e7f78bdfac6502"/>
      <w:r>
        <w:rPr>
          <w:rFonts w:hint="eastAsia"/>
          <w:color w:val="000000" w:themeColor="text1"/>
          <w:shd w:val="clear" w:fill="FFAFAA"/>
          <w14:textFill>
            <w14:solidFill>
              <w14:schemeClr w14:val="tx1"/>
            </w14:solidFill>
          </w14:textFill>
        </w:rPr>
        <w:t>拌拌</w:t>
      </w:r>
      <w:bookmarkEnd w:id="689"/>
      <w:r>
        <w:rPr>
          <w:rFonts w:hint="eastAsia"/>
          <w:color w:val="000000" w:themeColor="text1"/>
          <w14:textFill>
            <w14:solidFill>
              <w14:schemeClr w14:val="tx1"/>
            </w14:solidFill>
          </w14:textFill>
        </w:rPr>
        <w:t>合所产生的扬尘最严重。本项目水稳</w:t>
      </w:r>
      <w:bookmarkStart w:id="690" w:name="hmcheck_afb0f39f06794b8787fda82a1edd8eb1"/>
      <w:r>
        <w:rPr>
          <w:rFonts w:hint="eastAsia"/>
          <w:color w:val="000000" w:themeColor="text1"/>
          <w:shd w:val="clear" w:fill="FFAFAA"/>
          <w14:textFill>
            <w14:solidFill>
              <w14:schemeClr w14:val="tx1"/>
            </w14:solidFill>
          </w14:textFill>
        </w:rPr>
        <w:t>拌和</w:t>
      </w:r>
      <w:bookmarkEnd w:id="690"/>
      <w:r>
        <w:rPr>
          <w:rFonts w:hint="eastAsia"/>
          <w:color w:val="000000" w:themeColor="text1"/>
          <w14:textFill>
            <w14:solidFill>
              <w14:schemeClr w14:val="tx1"/>
            </w14:solidFill>
          </w14:textFill>
        </w:rPr>
        <w:t>采用站拌方式，位于</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施工场地，扬尘影响相对集中，但影响的时间较长，局部影响程度较重。根据类似公路施工期间对</w:t>
      </w:r>
      <w:bookmarkStart w:id="691" w:name="hmcheck_944f8d87b6e94fb186f4ae9263adfa11"/>
      <w:r>
        <w:rPr>
          <w:rFonts w:hint="eastAsia"/>
          <w:color w:val="000000" w:themeColor="text1"/>
          <w:shd w:val="clear" w:fill="FFAFAA"/>
          <w14:textFill>
            <w14:solidFill>
              <w14:schemeClr w14:val="tx1"/>
            </w14:solidFill>
          </w14:textFill>
        </w:rPr>
        <w:t>拌和</w:t>
      </w:r>
      <w:bookmarkEnd w:id="691"/>
      <w:r>
        <w:rPr>
          <w:rFonts w:hint="eastAsia"/>
          <w:color w:val="000000" w:themeColor="text1"/>
          <w14:textFill>
            <w14:solidFill>
              <w14:schemeClr w14:val="tx1"/>
            </w14:solidFill>
          </w14:textFill>
        </w:rPr>
        <w:t>场站TSP监测结果，施工过程中，</w:t>
      </w:r>
      <w:bookmarkStart w:id="692" w:name="hmcheck_ac728b013de14bc286f2143b4c6eaf24"/>
      <w:r>
        <w:rPr>
          <w:rFonts w:hint="eastAsia"/>
          <w:color w:val="000000" w:themeColor="text1"/>
          <w:shd w:val="clear" w:fill="FFAFAA"/>
          <w14:textFill>
            <w14:solidFill>
              <w14:schemeClr w14:val="tx1"/>
            </w14:solidFill>
          </w14:textFill>
        </w:rPr>
        <w:t>拌和</w:t>
      </w:r>
      <w:bookmarkEnd w:id="692"/>
      <w:r>
        <w:rPr>
          <w:rFonts w:hint="eastAsia"/>
          <w:color w:val="000000" w:themeColor="text1"/>
          <w14:textFill>
            <w14:solidFill>
              <w14:schemeClr w14:val="tx1"/>
            </w14:solidFill>
          </w14:textFill>
        </w:rPr>
        <w:t>站附近相距50m下风向TSP浓度为8.90mg/m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；相距100m处浓度为1.65mg/m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；相距150m处已基本无影响。</w:t>
      </w:r>
    </w:p>
    <w:p w14:paraId="4A1C5E7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根据本项目的施工组织，采用站拌方式施工，水稳</w:t>
      </w:r>
      <w:bookmarkStart w:id="693" w:name="hmcheck_cdcfe7f8c1e64785ad03cf159c1575ee"/>
      <w:r>
        <w:rPr>
          <w:rFonts w:hint="eastAsia"/>
          <w:color w:val="000000" w:themeColor="text1"/>
          <w:shd w:val="clear" w:fill="FFAFAA"/>
          <w14:textFill>
            <w14:solidFill>
              <w14:schemeClr w14:val="tx1"/>
            </w14:solidFill>
          </w14:textFill>
        </w:rPr>
        <w:t>拌合站</w:t>
      </w:r>
      <w:bookmarkEnd w:id="693"/>
      <w:r>
        <w:rPr>
          <w:rFonts w:hint="eastAsia"/>
          <w:color w:val="000000" w:themeColor="text1"/>
          <w14:textFill>
            <w14:solidFill>
              <w14:schemeClr w14:val="tx1"/>
            </w14:solidFill>
          </w14:textFill>
        </w:rPr>
        <w:t>位于</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施工场地内，加强密闭措施，对材料运输车辆遮盖严密，对</w:t>
      </w:r>
      <w:bookmarkStart w:id="694" w:name="hmcheck_b09646380a274ec3b01d3dc1b2f57153"/>
      <w:r>
        <w:rPr>
          <w:rFonts w:hint="eastAsia"/>
          <w:color w:val="000000" w:themeColor="text1"/>
          <w:shd w:val="clear" w:fill="FFAFAA"/>
          <w14:textFill>
            <w14:solidFill>
              <w14:schemeClr w14:val="tx1"/>
            </w14:solidFill>
          </w14:textFill>
        </w:rPr>
        <w:t>拌和</w:t>
      </w:r>
      <w:bookmarkEnd w:id="694"/>
      <w:r>
        <w:rPr>
          <w:rFonts w:hint="eastAsia"/>
          <w:color w:val="000000" w:themeColor="text1"/>
          <w14:textFill>
            <w14:solidFill>
              <w14:schemeClr w14:val="tx1"/>
            </w14:solidFill>
          </w14:textFill>
        </w:rPr>
        <w:t>站设置围挡，同时对场地定期洒水，可使TSP污染在此过程中减至最小。项目</w:t>
      </w:r>
      <w:bookmarkStart w:id="695" w:name="hmcheck_cbd0d2f7c36f402b86257680ff09fe28"/>
      <w:r>
        <w:rPr>
          <w:rFonts w:hint="eastAsia"/>
          <w:color w:val="000000" w:themeColor="text1"/>
          <w:shd w:val="clear" w:fill="FFAFAA"/>
          <w14:textFill>
            <w14:solidFill>
              <w14:schemeClr w14:val="tx1"/>
            </w14:solidFill>
          </w14:textFill>
        </w:rPr>
        <w:t>拌和</w:t>
      </w:r>
      <w:bookmarkEnd w:id="695"/>
      <w:r>
        <w:rPr>
          <w:rFonts w:hint="eastAsia"/>
          <w:color w:val="000000" w:themeColor="text1"/>
          <w14:textFill>
            <w14:solidFill>
              <w14:schemeClr w14:val="tx1"/>
            </w14:solidFill>
          </w14:textFill>
        </w:rPr>
        <w:t>站2</w:t>
      </w:r>
      <w:r>
        <w:rPr>
          <w:color w:val="000000" w:themeColor="text1"/>
          <w14:textFill>
            <w14:solidFill>
              <w14:schemeClr w14:val="tx1"/>
            </w14:solidFill>
          </w14:textFill>
        </w:rPr>
        <w:t>00m范围无居民居住点</w:t>
      </w:r>
      <w:r>
        <w:rPr>
          <w:rFonts w:hint="eastAsia"/>
          <w:color w:val="000000" w:themeColor="text1"/>
          <w14:textFill>
            <w14:solidFill>
              <w14:schemeClr w14:val="tx1"/>
            </w14:solidFill>
          </w14:textFill>
        </w:rPr>
        <w:t>，因此，水稳</w:t>
      </w:r>
      <w:bookmarkStart w:id="696" w:name="hmcheck_2bf3591b1fd645aa867f8b054edef119"/>
      <w:r>
        <w:rPr>
          <w:rFonts w:hint="eastAsia"/>
          <w:color w:val="000000" w:themeColor="text1"/>
          <w:shd w:val="clear" w:fill="FFAFAA"/>
          <w14:textFill>
            <w14:solidFill>
              <w14:schemeClr w14:val="tx1"/>
            </w14:solidFill>
          </w14:textFill>
        </w:rPr>
        <w:t>拌合站</w:t>
      </w:r>
      <w:bookmarkEnd w:id="696"/>
      <w:r>
        <w:rPr>
          <w:rFonts w:hint="eastAsia"/>
          <w:color w:val="000000" w:themeColor="text1"/>
          <w14:textFill>
            <w14:solidFill>
              <w14:schemeClr w14:val="tx1"/>
            </w14:solidFill>
          </w14:textFill>
        </w:rPr>
        <w:t>扬尘对周边居民点影响相对较小。</w:t>
      </w:r>
    </w:p>
    <w:p w14:paraId="49BCDCD6">
      <w:pPr>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（4）</w:t>
      </w:r>
      <w:r>
        <w:rPr>
          <w:b/>
          <w:bCs/>
          <w:color w:val="000000" w:themeColor="text1"/>
          <w14:textFill>
            <w14:solidFill>
              <w14:schemeClr w14:val="tx1"/>
            </w14:solidFill>
          </w14:textFill>
        </w:rPr>
        <w:t>施工扬尘</w:t>
      </w:r>
      <w:r>
        <w:rPr>
          <w:rFonts w:hint="eastAsia"/>
          <w:b/>
          <w:bCs/>
          <w:color w:val="000000" w:themeColor="text1"/>
          <w14:textFill>
            <w14:solidFill>
              <w14:schemeClr w14:val="tx1"/>
            </w14:solidFill>
          </w14:textFill>
        </w:rPr>
        <w:t>：</w:t>
      </w:r>
      <w:r>
        <w:rPr>
          <w:color w:val="000000" w:themeColor="text1"/>
          <w14:textFill>
            <w14:solidFill>
              <w14:schemeClr w14:val="tx1"/>
            </w14:solidFill>
          </w14:textFill>
        </w:rPr>
        <w:t>本工程施工过程中，</w:t>
      </w:r>
      <w:r>
        <w:rPr>
          <w:rFonts w:hint="eastAsia"/>
          <w:color w:val="000000" w:themeColor="text1"/>
          <w14:textFill>
            <w14:solidFill>
              <w14:schemeClr w14:val="tx1"/>
            </w14:solidFill>
          </w14:textFill>
        </w:rPr>
        <w:t>路基平整等使得</w:t>
      </w:r>
      <w:r>
        <w:rPr>
          <w:color w:val="000000" w:themeColor="text1"/>
          <w14:textFill>
            <w14:solidFill>
              <w14:schemeClr w14:val="tx1"/>
            </w14:solidFill>
          </w14:textFill>
        </w:rPr>
        <w:t>原生植被破坏殆尽，土地裸露，施工区域各种机械往复作业、填挖地表、土石方和材料运输等各环节在风力作用下会对施工现场及周边环境产生扬尘污染。根据类比分析，由于粉尘颗粒的重力沉降作用，施工工地扬尘的污染影响范围和程度随着距离的不同而有所差异，在扬尘点下风向0～50m为较重污染带，50～100m为污染带，100～200m为轻污染带，200m以外对大气影响甚微。本项目200m范围内有</w:t>
      </w:r>
      <w:r>
        <w:rPr>
          <w:rFonts w:hint="eastAsia"/>
          <w:color w:val="000000" w:themeColor="text1"/>
          <w14:textFill>
            <w14:solidFill>
              <w14:schemeClr w14:val="tx1"/>
            </w14:solidFill>
          </w14:textFill>
        </w:rPr>
        <w:t>牌边村新桥，上张村林泉、王房，联华村后郑、火烧埔、田楼</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西山、朱里、木厝洋、三落厝等居民点</w:t>
      </w:r>
      <w:r>
        <w:rPr>
          <w:color w:val="000000" w:themeColor="text1"/>
          <w14:textFill>
            <w14:solidFill>
              <w14:schemeClr w14:val="tx1"/>
            </w14:solidFill>
          </w14:textFill>
        </w:rPr>
        <w:t>。本项目建设期间将对沿线的</w:t>
      </w:r>
      <w:r>
        <w:rPr>
          <w:rFonts w:hint="eastAsia"/>
          <w:color w:val="000000" w:themeColor="text1"/>
          <w14:textFill>
            <w14:solidFill>
              <w14:schemeClr w14:val="tx1"/>
            </w14:solidFill>
          </w14:textFill>
        </w:rPr>
        <w:t>村民生活</w:t>
      </w:r>
      <w:r>
        <w:rPr>
          <w:color w:val="000000" w:themeColor="text1"/>
          <w14:textFill>
            <w14:solidFill>
              <w14:schemeClr w14:val="tx1"/>
            </w14:solidFill>
          </w14:textFill>
        </w:rPr>
        <w:t>造成一定影响，大风天更为明显。</w:t>
      </w:r>
    </w:p>
    <w:p w14:paraId="088266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减小施工行为带来的扬尘影响，可以采取围挡、洒水的办法。有资料显示，在有围挡情况下，施工扬尘比无围挡情况下有明显改善，扬尘污染在施工场地下风向200m之内，可使被污染地区TSP的浓度减少1/4。本次评价要求，施工期间加强对施工便道、路基施工等洒水抑尘，将扬尘影响降至最低。</w:t>
      </w:r>
    </w:p>
    <w:p w14:paraId="20C1CA36">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沥青烟</w:t>
      </w:r>
    </w:p>
    <w:p w14:paraId="0656BF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本项目沥青混凝土全部采用外购成品沥青砼，现场不设置沥青混凝土</w:t>
      </w:r>
      <w:bookmarkStart w:id="697" w:name="hmcheck_43f9eefe4d734ba48336c3b28a38863f"/>
      <w:r>
        <w:rPr>
          <w:rFonts w:hint="eastAsia"/>
          <w:color w:val="000000" w:themeColor="text1"/>
          <w:shd w:val="clear" w:fill="FFAFAA"/>
          <w14:textFill>
            <w14:solidFill>
              <w14:schemeClr w14:val="tx1"/>
            </w14:solidFill>
          </w14:textFill>
        </w:rPr>
        <w:t>拌和</w:t>
      </w:r>
      <w:bookmarkEnd w:id="697"/>
      <w:r>
        <w:rPr>
          <w:rFonts w:hint="eastAsia"/>
          <w:color w:val="000000" w:themeColor="text1"/>
          <w14:textFill>
            <w14:solidFill>
              <w14:schemeClr w14:val="tx1"/>
            </w14:solidFill>
          </w14:textFill>
        </w:rPr>
        <w:t>站，项目施工</w:t>
      </w:r>
      <w:bookmarkStart w:id="698" w:name="hmcheck_a296e76d42db44d69cda7b76f8487e65"/>
      <w:r>
        <w:rPr>
          <w:rFonts w:hint="eastAsia"/>
          <w:color w:val="000000" w:themeColor="text1"/>
          <w:shd w:val="clear" w:fill="FFAFAA"/>
          <w14:textFill>
            <w14:solidFill>
              <w14:schemeClr w14:val="tx1"/>
            </w14:solidFill>
          </w14:textFill>
        </w:rPr>
        <w:t>期仅</w:t>
      </w:r>
      <w:bookmarkEnd w:id="698"/>
      <w:r>
        <w:rPr>
          <w:rFonts w:hint="eastAsia"/>
          <w:color w:val="000000" w:themeColor="text1"/>
          <w14:textFill>
            <w14:solidFill>
              <w14:schemeClr w14:val="tx1"/>
            </w14:solidFill>
          </w14:textFill>
        </w:rPr>
        <w:t>在摊铺过程中会产生少量沥青烟，这部分沥青烟气为无组织排放，主要污染物为THC、酚和苯并（a）芘，其污染影响范围一般在周边50m范围之内。沥青摊铺是流动推进作业，对某一固定点的影响只是暂时或是瞬时的，危害较小，只是路面摊铺完成后，一定时期还会有挥发性有机化合物排出，排出量与固化速度有关，其浓度值低于作业时的浓度值。因此，本项目沥青烟气产生量较小，对周围环境的影响较小。但摊铺过程产生的沥青烟气会让人产生不愉悦的感受。</w:t>
      </w:r>
    </w:p>
    <w:p w14:paraId="174A9D3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于本项目沿线多个敏感目标距公路边界红线在50m之内，沥青摊铺对敏感目标会造成一定影响。因此，本项目在沥青摊铺时应在靠近敏感目标路段在沥青摊铺前告知周边居民，选择大气扩散条件好的时段，避开人群活动高峰时段施工。</w:t>
      </w:r>
    </w:p>
    <w:p w14:paraId="5401E069">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施工机械尾气</w:t>
      </w:r>
    </w:p>
    <w:p w14:paraId="7DE2855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各类建材、土石方运输车辆以及燃油压路机（路面平整）、燃油推土机（路基处理）等施工机械运行过程，主要污染物有NO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THC等。据类比分析，施工废气污染物影响距离为施工场所下风向50m左右。施工车辆、施工机械尾气呈面源污染形式，尾气扩散范围有限，所以不会对周围环境空气有明显影响，与运营期路面车辆尾气排放量相比，施工期尾气排放非常有限，对周边环境空气的影响在可接受范围内。</w:t>
      </w:r>
    </w:p>
    <w:p w14:paraId="4325AAA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运营期大气环境影响分析</w:t>
      </w:r>
    </w:p>
    <w:p w14:paraId="58BCB51E">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本项目不设置车站、服务区等集中式排放源，运营期产生的大气污染物为路面行驶的车辆排放的尾气及车辆轮胎接触路面使路面积尘扬起产生的二次扬尘污染。</w:t>
      </w:r>
      <w:r>
        <w:rPr>
          <w:rFonts w:hint="eastAsia"/>
          <w:color w:val="000000" w:themeColor="text1"/>
          <w14:textFill>
            <w14:solidFill>
              <w14:schemeClr w14:val="tx1"/>
            </w14:solidFill>
          </w14:textFill>
        </w:rPr>
        <w:t>公路运营期车辆排放污染物的扩散与道路沿线地形和气象条件有关，扩散后所覆盖的地域为道路两侧与线形平行的带状区域。</w:t>
      </w:r>
    </w:p>
    <w:p w14:paraId="365BA10F">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本工程所处区域地势相对平缓开阔，扩散能力较好，沿线环境空气质量良好，结合地形地貌、气候条件等因素，运营期汽车尾气对沿线区域环境空气质量影响较小，不会造成评价区环境空气质量超标。另外，</w:t>
      </w:r>
      <w:r>
        <w:rPr>
          <w:rFonts w:hint="eastAsia"/>
          <w:color w:val="000000" w:themeColor="text1"/>
          <w14:textFill>
            <w14:solidFill>
              <w14:schemeClr w14:val="tx1"/>
            </w14:solidFill>
          </w14:textFill>
        </w:rPr>
        <w:t>公路</w:t>
      </w:r>
      <w:r>
        <w:rPr>
          <w:color w:val="000000" w:themeColor="text1"/>
          <w14:textFill>
            <w14:solidFill>
              <w14:schemeClr w14:val="tx1"/>
            </w14:solidFill>
          </w14:textFill>
        </w:rPr>
        <w:t>两侧绿化工程的实施在很大程度上可以降低道路汽车尾气对</w:t>
      </w:r>
      <w:r>
        <w:rPr>
          <w:rFonts w:hint="eastAsia"/>
          <w:color w:val="000000" w:themeColor="text1"/>
          <w14:textFill>
            <w14:solidFill>
              <w14:schemeClr w14:val="tx1"/>
            </w14:solidFill>
          </w14:textFill>
        </w:rPr>
        <w:t>公路</w:t>
      </w:r>
      <w:r>
        <w:rPr>
          <w:color w:val="000000" w:themeColor="text1"/>
          <w14:textFill>
            <w14:solidFill>
              <w14:schemeClr w14:val="tx1"/>
            </w14:solidFill>
          </w14:textFill>
        </w:rPr>
        <w:t>两侧区域环境空气质量的影响，根据同类项目类比调查可知，道路沿线环境空气质量能够满足《环境空气质量标准》（GB3095-2012）及其2018年修改单二级标准。</w:t>
      </w:r>
    </w:p>
    <w:p w14:paraId="606BFB1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随着我国汽车排放标准的不断提高，单车尾气的排放量将会不断降低，运输车种构成比例将更为优化，高能耗、高排污的车种比例逐步减少，汽车尾气排放将大大降低，道路对沿线空气质量带来的影响逐步减小</w:t>
      </w:r>
      <w:r>
        <w:rPr>
          <w:color w:val="000000" w:themeColor="text1"/>
          <w14:textFill>
            <w14:solidFill>
              <w14:schemeClr w14:val="tx1"/>
            </w14:solidFill>
          </w14:textFill>
        </w:rPr>
        <w:t>。</w:t>
      </w:r>
    </w:p>
    <w:p w14:paraId="183AA12D">
      <w:pPr>
        <w:pStyle w:val="116"/>
        <w:rPr>
          <w:color w:val="000000" w:themeColor="text1"/>
          <w14:textFill>
            <w14:solidFill>
              <w14:schemeClr w14:val="tx1"/>
            </w14:solidFill>
          </w14:textFill>
        </w:rPr>
      </w:pPr>
      <w:bookmarkStart w:id="699" w:name="_Toc193912383"/>
      <w:bookmarkStart w:id="700" w:name="_Toc154668046"/>
      <w:bookmarkStart w:id="701" w:name="_Toc152152049"/>
      <w:bookmarkStart w:id="702" w:name="_Toc159405476"/>
      <w:r>
        <w:rPr>
          <w:rFonts w:hint="eastAsia"/>
          <w:color w:val="000000" w:themeColor="text1"/>
          <w14:textFill>
            <w14:solidFill>
              <w14:schemeClr w14:val="tx1"/>
            </w14:solidFill>
          </w14:textFill>
        </w:rPr>
        <w:t>声环境影响评价</w:t>
      </w:r>
      <w:bookmarkEnd w:id="699"/>
      <w:bookmarkEnd w:id="700"/>
      <w:bookmarkEnd w:id="701"/>
      <w:bookmarkEnd w:id="702"/>
    </w:p>
    <w:p w14:paraId="236552CD">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施工期声环境影响分析</w:t>
      </w:r>
    </w:p>
    <w:p w14:paraId="1FD481A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施工期噪声影响</w:t>
      </w:r>
    </w:p>
    <w:p w14:paraId="5C25A0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鉴于施工噪声的复杂性和施工噪声影响的区域性、阶段性，根据国家《建筑施工场界环境噪声排放标准》（GB12523-2011），针对不同施工阶段计算出不同施工设备的噪声影响范围，以便施工单位在施工时结合实际情况来采取适当的噪声污染控制措施。</w:t>
      </w:r>
    </w:p>
    <w:p w14:paraId="0145864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①预测模式：施工设备噪声源按点声源计算，其噪声预测模式为：</w:t>
      </w:r>
    </w:p>
    <w:p w14:paraId="549F364C">
      <w:pPr>
        <w:pStyle w:val="67"/>
        <w:ind w:left="84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L</w:t>
      </w:r>
      <w:r>
        <w:rPr>
          <w:rFonts w:hint="eastAsia"/>
          <w:i/>
          <w:iCs/>
          <w:color w:val="000000" w:themeColor="text1"/>
          <w:vertAlign w:val="subscript"/>
          <w14:textFill>
            <w14:solidFill>
              <w14:schemeClr w14:val="tx1"/>
            </w14:solidFill>
          </w14:textFill>
        </w:rPr>
        <w:t>i</w:t>
      </w:r>
      <w:r>
        <w:rPr>
          <w:i/>
          <w:iCs/>
          <w:color w:val="000000" w:themeColor="text1"/>
          <w:vertAlign w:val="subscript"/>
          <w14:textFill>
            <w14:solidFill>
              <w14:schemeClr w14:val="tx1"/>
            </w14:solidFill>
          </w14:textFill>
        </w:rPr>
        <w:t xml:space="preserve"> </w:t>
      </w:r>
      <w:r>
        <w:rPr>
          <w:rFonts w:hint="eastAsia"/>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-20lg(r</w:t>
      </w:r>
      <w:r>
        <w:rPr>
          <w:rFonts w:hint="eastAsia"/>
          <w:i/>
          <w:iCs/>
          <w:color w:val="000000" w:themeColor="text1"/>
          <w:vertAlign w:val="subscript"/>
          <w14:textFill>
            <w14:solidFill>
              <w14:schemeClr w14:val="tx1"/>
            </w14:solidFill>
          </w14:textFill>
        </w:rPr>
        <w:t>i</w:t>
      </w:r>
      <w:r>
        <w:rPr>
          <w:i/>
          <w:iCs/>
          <w:color w:val="000000" w:themeColor="text1"/>
          <w:vertAlign w:val="subscript"/>
          <w14:textFill>
            <w14:solidFill>
              <w14:schemeClr w14:val="tx1"/>
            </w14:solidFill>
          </w14:textFill>
        </w:rPr>
        <w:t xml:space="preserve"> </w:t>
      </w:r>
      <w:r>
        <w:rPr>
          <w:rFonts w:hint="eastAsia"/>
          <w:color w:val="000000" w:themeColor="text1"/>
          <w14:textFill>
            <w14:solidFill>
              <w14:schemeClr w14:val="tx1"/>
            </w14:solidFill>
          </w14:textFill>
        </w:rPr>
        <w:t>/r</w:t>
      </w:r>
      <w:r>
        <w:rPr>
          <w:rFonts w:hint="eastAsia"/>
          <w:color w:val="000000" w:themeColor="text1"/>
          <w:vertAlign w:val="subscript"/>
          <w14:textFill>
            <w14:solidFill>
              <w14:schemeClr w14:val="tx1"/>
            </w14:solidFill>
          </w14:textFill>
        </w:rPr>
        <w:t>0)</w:t>
      </w:r>
    </w:p>
    <w:p w14:paraId="6BEA10B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式中：L</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——点声源在预测点产生的声压级，dB(A)；</w:t>
      </w:r>
    </w:p>
    <w:p w14:paraId="7741F9C7">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——参照点处的声压级，dB(A)；</w:t>
      </w:r>
    </w:p>
    <w:p w14:paraId="0E2EAB07">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r</w:t>
      </w:r>
      <w:r>
        <w:rPr>
          <w:rFonts w:hint="eastAsia"/>
          <w:i/>
          <w:iCs/>
          <w:color w:val="000000" w:themeColor="text1"/>
          <w:vertAlign w:val="subscript"/>
          <w14:textFill>
            <w14:solidFill>
              <w14:schemeClr w14:val="tx1"/>
            </w14:solidFill>
          </w14:textFill>
        </w:rPr>
        <w:t>i</w:t>
      </w:r>
      <w:r>
        <w:rPr>
          <w:rFonts w:hint="eastAsia"/>
          <w:color w:val="000000" w:themeColor="text1"/>
          <w14:textFill>
            <w14:solidFill>
              <w14:schemeClr w14:val="tx1"/>
            </w14:solidFill>
          </w14:textFill>
        </w:rPr>
        <w:t>——预测点距声源的距离，m；</w:t>
      </w:r>
    </w:p>
    <w:p w14:paraId="20AB9B2D">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r</w:t>
      </w:r>
      <w:r>
        <w:rPr>
          <w:rFonts w:hint="eastAsia"/>
          <w:i/>
          <w:iCs/>
          <w:color w:val="000000" w:themeColor="text1"/>
          <w:vertAlign w:val="subscript"/>
          <w14:textFill>
            <w14:solidFill>
              <w14:schemeClr w14:val="tx1"/>
            </w14:solidFill>
          </w14:textFill>
        </w:rPr>
        <w:t>0</w:t>
      </w:r>
      <w:r>
        <w:rPr>
          <w:rFonts w:hint="eastAsia"/>
          <w:color w:val="000000" w:themeColor="text1"/>
          <w14:textFill>
            <w14:solidFill>
              <w14:schemeClr w14:val="tx1"/>
            </w14:solidFill>
          </w14:textFill>
        </w:rPr>
        <w:t>——参照点距声源的距离，m。</w:t>
      </w:r>
    </w:p>
    <w:p w14:paraId="7A75EA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②预测结果：根据前述的预测方法和预测模式，对施工过程中各种设备噪声影响范围进行计算，本项目主要施工机械不同距离处的噪声源强见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_Ref141255741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表3.9-2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46B6994E">
      <w:pPr>
        <w:pStyle w:val="87"/>
        <w:spacing w:before="163"/>
        <w:rPr>
          <w:color w:val="000000" w:themeColor="text1"/>
          <w14:textFill>
            <w14:solidFill>
              <w14:schemeClr w14:val="tx1"/>
            </w14:solidFill>
          </w14:textFill>
        </w:rPr>
      </w:pPr>
      <w:bookmarkStart w:id="703" w:name="_Ref78830717"/>
      <w:r>
        <w:rPr>
          <w:rFonts w:hint="eastAsia"/>
          <w:color w:val="000000" w:themeColor="text1"/>
          <w14:textFill>
            <w14:solidFill>
              <w14:schemeClr w14:val="tx1"/>
            </w14:solidFill>
          </w14:textFill>
        </w:rPr>
        <w:t xml:space="preserve">主要施工机械不同距离处的噪声级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单位：dB（A）</w:t>
      </w:r>
      <w:bookmarkEnd w:id="703"/>
    </w:p>
    <w:tbl>
      <w:tblPr>
        <w:tblStyle w:val="15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713"/>
        <w:gridCol w:w="540"/>
        <w:gridCol w:w="540"/>
        <w:gridCol w:w="540"/>
        <w:gridCol w:w="540"/>
        <w:gridCol w:w="540"/>
        <w:gridCol w:w="540"/>
        <w:gridCol w:w="540"/>
        <w:gridCol w:w="540"/>
        <w:gridCol w:w="540"/>
        <w:gridCol w:w="540"/>
        <w:gridCol w:w="540"/>
        <w:gridCol w:w="531"/>
      </w:tblGrid>
      <w:tr w14:paraId="6DB4A6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77" w:type="pct"/>
            <w:vMerge w:val="restart"/>
            <w:tcBorders>
              <w:top w:val="single" w:color="auto" w:sz="12" w:space="0"/>
              <w:bottom w:val="single" w:color="auto" w:sz="6" w:space="0"/>
              <w:tl2br w:val="single" w:color="auto" w:sz="4" w:space="0"/>
            </w:tcBorders>
            <w:tcMar>
              <w:left w:w="57" w:type="dxa"/>
              <w:right w:w="57" w:type="dxa"/>
            </w:tcMar>
            <w:vAlign w:val="center"/>
          </w:tcPr>
          <w:p w14:paraId="1623ADB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衰减距离m</w:t>
            </w:r>
          </w:p>
          <w:p w14:paraId="67EAD55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施工机械</w:t>
            </w:r>
          </w:p>
        </w:tc>
        <w:tc>
          <w:tcPr>
            <w:tcW w:w="3523" w:type="pct"/>
            <w:gridSpan w:val="12"/>
            <w:tcMar>
              <w:left w:w="57" w:type="dxa"/>
              <w:right w:w="57" w:type="dxa"/>
            </w:tcMar>
            <w:vAlign w:val="center"/>
          </w:tcPr>
          <w:p w14:paraId="227D1BA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距离（</w:t>
            </w:r>
            <w:r>
              <w:rPr>
                <w:color w:val="000000" w:themeColor="text1"/>
                <w14:textFill>
                  <w14:solidFill>
                    <w14:schemeClr w14:val="tx1"/>
                  </w14:solidFill>
                </w14:textFill>
              </w:rPr>
              <w:t>m</w:t>
            </w:r>
            <w:r>
              <w:rPr>
                <w:rFonts w:hint="eastAsia"/>
                <w:color w:val="000000" w:themeColor="text1"/>
                <w14:textFill>
                  <w14:solidFill>
                    <w14:schemeClr w14:val="tx1"/>
                  </w14:solidFill>
                </w14:textFill>
              </w:rPr>
              <w:t>）</w:t>
            </w:r>
          </w:p>
          <w:p w14:paraId="23D4E1F2">
            <w:pPr>
              <w:pStyle w:val="105"/>
              <w:widowControl w:val="0"/>
              <w:jc w:val="center"/>
              <w:rPr>
                <w:color w:val="000000" w:themeColor="text1"/>
                <w14:textFill>
                  <w14:solidFill>
                    <w14:schemeClr w14:val="tx1"/>
                  </w14:solidFill>
                </w14:textFill>
              </w:rPr>
            </w:pPr>
          </w:p>
        </w:tc>
      </w:tr>
      <w:tr w14:paraId="0EC2E1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477" w:type="pct"/>
            <w:vMerge w:val="continue"/>
            <w:tcBorders>
              <w:top w:val="single" w:color="auto" w:sz="6" w:space="0"/>
              <w:bottom w:val="single" w:color="auto" w:sz="6" w:space="0"/>
              <w:tl2br w:val="single" w:color="auto" w:sz="4" w:space="0"/>
            </w:tcBorders>
            <w:tcMar>
              <w:left w:w="57" w:type="dxa"/>
              <w:right w:w="57" w:type="dxa"/>
            </w:tcMar>
            <w:vAlign w:val="center"/>
          </w:tcPr>
          <w:p w14:paraId="76729CA7">
            <w:pPr>
              <w:pStyle w:val="105"/>
              <w:widowControl w:val="0"/>
              <w:jc w:val="center"/>
              <w:rPr>
                <w:color w:val="000000" w:themeColor="text1"/>
                <w14:textFill>
                  <w14:solidFill>
                    <w14:schemeClr w14:val="tx1"/>
                  </w14:solidFill>
                </w14:textFill>
              </w:rPr>
            </w:pPr>
          </w:p>
        </w:tc>
        <w:tc>
          <w:tcPr>
            <w:tcW w:w="294" w:type="pct"/>
            <w:tcMar>
              <w:left w:w="57" w:type="dxa"/>
              <w:right w:w="57" w:type="dxa"/>
            </w:tcMar>
            <w:vAlign w:val="center"/>
          </w:tcPr>
          <w:p w14:paraId="40DF373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294" w:type="pct"/>
            <w:tcMar>
              <w:left w:w="57" w:type="dxa"/>
              <w:right w:w="57" w:type="dxa"/>
            </w:tcMar>
            <w:vAlign w:val="center"/>
          </w:tcPr>
          <w:p w14:paraId="2F1B2C0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20</w:t>
            </w:r>
          </w:p>
        </w:tc>
        <w:tc>
          <w:tcPr>
            <w:tcW w:w="294" w:type="pct"/>
            <w:tcMar>
              <w:left w:w="57" w:type="dxa"/>
              <w:right w:w="57" w:type="dxa"/>
            </w:tcMar>
            <w:vAlign w:val="center"/>
          </w:tcPr>
          <w:p w14:paraId="74E7D0E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30</w:t>
            </w:r>
          </w:p>
        </w:tc>
        <w:tc>
          <w:tcPr>
            <w:tcW w:w="294" w:type="pct"/>
            <w:tcMar>
              <w:left w:w="57" w:type="dxa"/>
              <w:right w:w="57" w:type="dxa"/>
            </w:tcMar>
            <w:vAlign w:val="center"/>
          </w:tcPr>
          <w:p w14:paraId="1210A84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294" w:type="pct"/>
            <w:tcMar>
              <w:left w:w="57" w:type="dxa"/>
              <w:right w:w="57" w:type="dxa"/>
            </w:tcMar>
            <w:vAlign w:val="center"/>
          </w:tcPr>
          <w:p w14:paraId="064C5EB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50</w:t>
            </w:r>
          </w:p>
        </w:tc>
        <w:tc>
          <w:tcPr>
            <w:tcW w:w="294" w:type="pct"/>
            <w:tcMar>
              <w:left w:w="57" w:type="dxa"/>
              <w:right w:w="57" w:type="dxa"/>
            </w:tcMar>
            <w:vAlign w:val="center"/>
          </w:tcPr>
          <w:p w14:paraId="36A1FC4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80</w:t>
            </w:r>
          </w:p>
        </w:tc>
        <w:tc>
          <w:tcPr>
            <w:tcW w:w="294" w:type="pct"/>
            <w:tcMar>
              <w:left w:w="57" w:type="dxa"/>
              <w:right w:w="57" w:type="dxa"/>
            </w:tcMar>
            <w:vAlign w:val="center"/>
          </w:tcPr>
          <w:p w14:paraId="6B147C5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100</w:t>
            </w:r>
          </w:p>
        </w:tc>
        <w:tc>
          <w:tcPr>
            <w:tcW w:w="294" w:type="pct"/>
            <w:tcMar>
              <w:left w:w="57" w:type="dxa"/>
              <w:right w:w="57" w:type="dxa"/>
            </w:tcMar>
            <w:vAlign w:val="center"/>
          </w:tcPr>
          <w:p w14:paraId="163972B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150</w:t>
            </w:r>
          </w:p>
        </w:tc>
        <w:tc>
          <w:tcPr>
            <w:tcW w:w="294" w:type="pct"/>
            <w:tcMar>
              <w:left w:w="57" w:type="dxa"/>
              <w:right w:w="57" w:type="dxa"/>
            </w:tcMar>
            <w:vAlign w:val="center"/>
          </w:tcPr>
          <w:p w14:paraId="0EDC22E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200</w:t>
            </w:r>
          </w:p>
        </w:tc>
        <w:tc>
          <w:tcPr>
            <w:tcW w:w="294" w:type="pct"/>
            <w:tcMar>
              <w:left w:w="57" w:type="dxa"/>
              <w:right w:w="57" w:type="dxa"/>
            </w:tcMar>
            <w:vAlign w:val="center"/>
          </w:tcPr>
          <w:p w14:paraId="69926CC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294" w:type="pct"/>
            <w:tcMar>
              <w:left w:w="57" w:type="dxa"/>
              <w:right w:w="57" w:type="dxa"/>
            </w:tcMar>
            <w:vAlign w:val="center"/>
          </w:tcPr>
          <w:p w14:paraId="5810F08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289" w:type="pct"/>
            <w:tcMar>
              <w:left w:w="57" w:type="dxa"/>
              <w:right w:w="57" w:type="dxa"/>
            </w:tcMar>
            <w:vAlign w:val="center"/>
          </w:tcPr>
          <w:p w14:paraId="10894FB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500</w:t>
            </w:r>
          </w:p>
        </w:tc>
      </w:tr>
      <w:tr w14:paraId="0E619B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4194347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压路机/平地机/商砼搅拌车/液压挖掘机/液压岩石劈裂机</w:t>
            </w:r>
          </w:p>
        </w:tc>
        <w:tc>
          <w:tcPr>
            <w:tcW w:w="294" w:type="pct"/>
            <w:tcMar>
              <w:left w:w="57" w:type="dxa"/>
              <w:right w:w="57" w:type="dxa"/>
            </w:tcMar>
            <w:vAlign w:val="center"/>
          </w:tcPr>
          <w:p w14:paraId="6EB7CA0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84.0</w:t>
            </w:r>
          </w:p>
        </w:tc>
        <w:tc>
          <w:tcPr>
            <w:tcW w:w="294" w:type="pct"/>
            <w:tcMar>
              <w:left w:w="57" w:type="dxa"/>
              <w:right w:w="57" w:type="dxa"/>
            </w:tcMar>
            <w:vAlign w:val="center"/>
          </w:tcPr>
          <w:p w14:paraId="71D6C696">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78.0</w:t>
            </w:r>
          </w:p>
        </w:tc>
        <w:tc>
          <w:tcPr>
            <w:tcW w:w="294" w:type="pct"/>
            <w:tcMar>
              <w:left w:w="57" w:type="dxa"/>
              <w:right w:w="57" w:type="dxa"/>
            </w:tcMar>
            <w:vAlign w:val="center"/>
          </w:tcPr>
          <w:p w14:paraId="4604477E">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74.4</w:t>
            </w:r>
          </w:p>
        </w:tc>
        <w:tc>
          <w:tcPr>
            <w:tcW w:w="294" w:type="pct"/>
            <w:tcMar>
              <w:left w:w="57" w:type="dxa"/>
              <w:right w:w="57" w:type="dxa"/>
            </w:tcMar>
            <w:vAlign w:val="center"/>
          </w:tcPr>
          <w:p w14:paraId="2B317084">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71.9</w:t>
            </w:r>
          </w:p>
        </w:tc>
        <w:tc>
          <w:tcPr>
            <w:tcW w:w="294" w:type="pct"/>
            <w:tcMar>
              <w:left w:w="57" w:type="dxa"/>
              <w:right w:w="57" w:type="dxa"/>
            </w:tcMar>
            <w:vAlign w:val="center"/>
          </w:tcPr>
          <w:p w14:paraId="493B670B">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70.0</w:t>
            </w:r>
          </w:p>
        </w:tc>
        <w:tc>
          <w:tcPr>
            <w:tcW w:w="294" w:type="pct"/>
            <w:tcMar>
              <w:left w:w="57" w:type="dxa"/>
              <w:right w:w="57" w:type="dxa"/>
            </w:tcMar>
            <w:vAlign w:val="center"/>
          </w:tcPr>
          <w:p w14:paraId="5153F092">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65.9</w:t>
            </w:r>
          </w:p>
        </w:tc>
        <w:tc>
          <w:tcPr>
            <w:tcW w:w="294" w:type="pct"/>
            <w:tcMar>
              <w:left w:w="57" w:type="dxa"/>
              <w:right w:w="57" w:type="dxa"/>
            </w:tcMar>
            <w:vAlign w:val="center"/>
          </w:tcPr>
          <w:p w14:paraId="091D1CF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64.0</w:t>
            </w:r>
          </w:p>
        </w:tc>
        <w:tc>
          <w:tcPr>
            <w:tcW w:w="294" w:type="pct"/>
            <w:tcMar>
              <w:left w:w="57" w:type="dxa"/>
              <w:right w:w="57" w:type="dxa"/>
            </w:tcMar>
            <w:vAlign w:val="center"/>
          </w:tcPr>
          <w:p w14:paraId="4DBB35DB">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60.5</w:t>
            </w:r>
          </w:p>
        </w:tc>
        <w:tc>
          <w:tcPr>
            <w:tcW w:w="294" w:type="pct"/>
            <w:tcMar>
              <w:left w:w="57" w:type="dxa"/>
              <w:right w:w="57" w:type="dxa"/>
            </w:tcMar>
            <w:vAlign w:val="center"/>
          </w:tcPr>
          <w:p w14:paraId="275FC0B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58.0</w:t>
            </w:r>
          </w:p>
        </w:tc>
        <w:tc>
          <w:tcPr>
            <w:tcW w:w="294" w:type="pct"/>
            <w:tcMar>
              <w:left w:w="57" w:type="dxa"/>
              <w:right w:w="57" w:type="dxa"/>
            </w:tcMar>
            <w:vAlign w:val="center"/>
          </w:tcPr>
          <w:p w14:paraId="302EB15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54.4</w:t>
            </w:r>
          </w:p>
        </w:tc>
        <w:tc>
          <w:tcPr>
            <w:tcW w:w="294" w:type="pct"/>
            <w:tcMar>
              <w:left w:w="57" w:type="dxa"/>
              <w:right w:w="57" w:type="dxa"/>
            </w:tcMar>
            <w:vAlign w:val="center"/>
          </w:tcPr>
          <w:p w14:paraId="1567721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51.9</w:t>
            </w:r>
          </w:p>
        </w:tc>
        <w:tc>
          <w:tcPr>
            <w:tcW w:w="289" w:type="pct"/>
            <w:tcMar>
              <w:left w:w="57" w:type="dxa"/>
              <w:right w:w="57" w:type="dxa"/>
            </w:tcMar>
            <w:vAlign w:val="center"/>
          </w:tcPr>
          <w:p w14:paraId="11F29A1E">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50.0</w:t>
            </w:r>
          </w:p>
        </w:tc>
      </w:tr>
      <w:tr w14:paraId="732AB4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62D95A9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推土机/混凝土振捣器</w:t>
            </w:r>
          </w:p>
        </w:tc>
        <w:tc>
          <w:tcPr>
            <w:tcW w:w="294" w:type="pct"/>
            <w:tcMar>
              <w:left w:w="57" w:type="dxa"/>
              <w:right w:w="57" w:type="dxa"/>
            </w:tcMar>
            <w:vAlign w:val="center"/>
          </w:tcPr>
          <w:p w14:paraId="521502C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82.0</w:t>
            </w:r>
          </w:p>
        </w:tc>
        <w:tc>
          <w:tcPr>
            <w:tcW w:w="294" w:type="pct"/>
            <w:tcMar>
              <w:left w:w="57" w:type="dxa"/>
              <w:right w:w="57" w:type="dxa"/>
            </w:tcMar>
            <w:vAlign w:val="center"/>
          </w:tcPr>
          <w:p w14:paraId="4C9E45F4">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76.0</w:t>
            </w:r>
          </w:p>
        </w:tc>
        <w:tc>
          <w:tcPr>
            <w:tcW w:w="294" w:type="pct"/>
            <w:tcMar>
              <w:left w:w="57" w:type="dxa"/>
              <w:right w:w="57" w:type="dxa"/>
            </w:tcMar>
            <w:vAlign w:val="center"/>
          </w:tcPr>
          <w:p w14:paraId="103EFDA1">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72.4</w:t>
            </w:r>
          </w:p>
        </w:tc>
        <w:tc>
          <w:tcPr>
            <w:tcW w:w="294" w:type="pct"/>
            <w:tcMar>
              <w:left w:w="57" w:type="dxa"/>
              <w:right w:w="57" w:type="dxa"/>
            </w:tcMar>
            <w:vAlign w:val="center"/>
          </w:tcPr>
          <w:p w14:paraId="0FD99D7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69.9</w:t>
            </w:r>
          </w:p>
        </w:tc>
        <w:tc>
          <w:tcPr>
            <w:tcW w:w="294" w:type="pct"/>
            <w:tcMar>
              <w:left w:w="57" w:type="dxa"/>
              <w:right w:w="57" w:type="dxa"/>
            </w:tcMar>
            <w:vAlign w:val="center"/>
          </w:tcPr>
          <w:p w14:paraId="5F2CC82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68.0</w:t>
            </w:r>
          </w:p>
        </w:tc>
        <w:tc>
          <w:tcPr>
            <w:tcW w:w="294" w:type="pct"/>
            <w:tcMar>
              <w:left w:w="57" w:type="dxa"/>
              <w:right w:w="57" w:type="dxa"/>
            </w:tcMar>
            <w:vAlign w:val="center"/>
          </w:tcPr>
          <w:p w14:paraId="54D02AA2">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63.9</w:t>
            </w:r>
          </w:p>
        </w:tc>
        <w:tc>
          <w:tcPr>
            <w:tcW w:w="294" w:type="pct"/>
            <w:tcMar>
              <w:left w:w="57" w:type="dxa"/>
              <w:right w:w="57" w:type="dxa"/>
            </w:tcMar>
            <w:vAlign w:val="center"/>
          </w:tcPr>
          <w:p w14:paraId="332159FE">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62.0</w:t>
            </w:r>
          </w:p>
        </w:tc>
        <w:tc>
          <w:tcPr>
            <w:tcW w:w="294" w:type="pct"/>
            <w:tcMar>
              <w:left w:w="57" w:type="dxa"/>
              <w:right w:w="57" w:type="dxa"/>
            </w:tcMar>
            <w:vAlign w:val="center"/>
          </w:tcPr>
          <w:p w14:paraId="6D47B1B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58.5</w:t>
            </w:r>
          </w:p>
        </w:tc>
        <w:tc>
          <w:tcPr>
            <w:tcW w:w="294" w:type="pct"/>
            <w:tcMar>
              <w:left w:w="57" w:type="dxa"/>
              <w:right w:w="57" w:type="dxa"/>
            </w:tcMar>
            <w:vAlign w:val="center"/>
          </w:tcPr>
          <w:p w14:paraId="7E52BA8B">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56.0</w:t>
            </w:r>
          </w:p>
        </w:tc>
        <w:tc>
          <w:tcPr>
            <w:tcW w:w="294" w:type="pct"/>
            <w:tcMar>
              <w:left w:w="57" w:type="dxa"/>
              <w:right w:w="57" w:type="dxa"/>
            </w:tcMar>
            <w:vAlign w:val="center"/>
          </w:tcPr>
          <w:p w14:paraId="183C29E2">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52.4</w:t>
            </w:r>
          </w:p>
        </w:tc>
        <w:tc>
          <w:tcPr>
            <w:tcW w:w="294" w:type="pct"/>
            <w:tcMar>
              <w:left w:w="57" w:type="dxa"/>
              <w:right w:w="57" w:type="dxa"/>
            </w:tcMar>
            <w:vAlign w:val="center"/>
          </w:tcPr>
          <w:p w14:paraId="2B0CEB4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49.9</w:t>
            </w:r>
          </w:p>
        </w:tc>
        <w:tc>
          <w:tcPr>
            <w:tcW w:w="289" w:type="pct"/>
            <w:tcMar>
              <w:left w:w="57" w:type="dxa"/>
              <w:right w:w="57" w:type="dxa"/>
            </w:tcMar>
            <w:vAlign w:val="center"/>
          </w:tcPr>
          <w:p w14:paraId="0109C6C0">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48.0</w:t>
            </w:r>
          </w:p>
        </w:tc>
      </w:tr>
      <w:tr w14:paraId="6764D0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6746548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移动式发电机</w:t>
            </w:r>
          </w:p>
        </w:tc>
        <w:tc>
          <w:tcPr>
            <w:tcW w:w="294" w:type="pct"/>
            <w:tcMar>
              <w:left w:w="57" w:type="dxa"/>
              <w:right w:w="57" w:type="dxa"/>
            </w:tcMar>
            <w:vAlign w:val="center"/>
          </w:tcPr>
          <w:p w14:paraId="36C5797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96.0</w:t>
            </w:r>
          </w:p>
        </w:tc>
        <w:tc>
          <w:tcPr>
            <w:tcW w:w="294" w:type="pct"/>
            <w:tcMar>
              <w:left w:w="57" w:type="dxa"/>
              <w:right w:w="57" w:type="dxa"/>
            </w:tcMar>
            <w:vAlign w:val="center"/>
          </w:tcPr>
          <w:p w14:paraId="48241698">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90.0</w:t>
            </w:r>
          </w:p>
        </w:tc>
        <w:tc>
          <w:tcPr>
            <w:tcW w:w="294" w:type="pct"/>
            <w:tcMar>
              <w:left w:w="57" w:type="dxa"/>
              <w:right w:w="57" w:type="dxa"/>
            </w:tcMar>
            <w:vAlign w:val="center"/>
          </w:tcPr>
          <w:p w14:paraId="620FD6E8">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86.4</w:t>
            </w:r>
          </w:p>
        </w:tc>
        <w:tc>
          <w:tcPr>
            <w:tcW w:w="294" w:type="pct"/>
            <w:tcMar>
              <w:left w:w="57" w:type="dxa"/>
              <w:right w:w="57" w:type="dxa"/>
            </w:tcMar>
            <w:vAlign w:val="center"/>
          </w:tcPr>
          <w:p w14:paraId="19A24DC6">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83.9</w:t>
            </w:r>
          </w:p>
        </w:tc>
        <w:tc>
          <w:tcPr>
            <w:tcW w:w="294" w:type="pct"/>
            <w:tcMar>
              <w:left w:w="57" w:type="dxa"/>
              <w:right w:w="57" w:type="dxa"/>
            </w:tcMar>
            <w:vAlign w:val="center"/>
          </w:tcPr>
          <w:p w14:paraId="6A110C5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82.0</w:t>
            </w:r>
          </w:p>
        </w:tc>
        <w:tc>
          <w:tcPr>
            <w:tcW w:w="294" w:type="pct"/>
            <w:tcMar>
              <w:left w:w="57" w:type="dxa"/>
              <w:right w:w="57" w:type="dxa"/>
            </w:tcMar>
            <w:vAlign w:val="center"/>
          </w:tcPr>
          <w:p w14:paraId="3024D3D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77.9</w:t>
            </w:r>
          </w:p>
        </w:tc>
        <w:tc>
          <w:tcPr>
            <w:tcW w:w="294" w:type="pct"/>
            <w:tcMar>
              <w:left w:w="57" w:type="dxa"/>
              <w:right w:w="57" w:type="dxa"/>
            </w:tcMar>
            <w:vAlign w:val="center"/>
          </w:tcPr>
          <w:p w14:paraId="0CFCDF5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76.0</w:t>
            </w:r>
          </w:p>
        </w:tc>
        <w:tc>
          <w:tcPr>
            <w:tcW w:w="294" w:type="pct"/>
            <w:tcMar>
              <w:left w:w="57" w:type="dxa"/>
              <w:right w:w="57" w:type="dxa"/>
            </w:tcMar>
            <w:vAlign w:val="center"/>
          </w:tcPr>
          <w:p w14:paraId="19B4272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72.5</w:t>
            </w:r>
          </w:p>
        </w:tc>
        <w:tc>
          <w:tcPr>
            <w:tcW w:w="294" w:type="pct"/>
            <w:tcMar>
              <w:left w:w="57" w:type="dxa"/>
              <w:right w:w="57" w:type="dxa"/>
            </w:tcMar>
            <w:vAlign w:val="center"/>
          </w:tcPr>
          <w:p w14:paraId="61C6FCC6">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70.0</w:t>
            </w:r>
          </w:p>
        </w:tc>
        <w:tc>
          <w:tcPr>
            <w:tcW w:w="294" w:type="pct"/>
            <w:tcMar>
              <w:left w:w="57" w:type="dxa"/>
              <w:right w:w="57" w:type="dxa"/>
            </w:tcMar>
            <w:vAlign w:val="center"/>
          </w:tcPr>
          <w:p w14:paraId="2EC086C8">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66.4</w:t>
            </w:r>
          </w:p>
        </w:tc>
        <w:tc>
          <w:tcPr>
            <w:tcW w:w="294" w:type="pct"/>
            <w:tcMar>
              <w:left w:w="57" w:type="dxa"/>
              <w:right w:w="57" w:type="dxa"/>
            </w:tcMar>
            <w:vAlign w:val="center"/>
          </w:tcPr>
          <w:p w14:paraId="344583F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63.9</w:t>
            </w:r>
          </w:p>
        </w:tc>
        <w:tc>
          <w:tcPr>
            <w:tcW w:w="289" w:type="pct"/>
            <w:tcMar>
              <w:left w:w="57" w:type="dxa"/>
              <w:right w:w="57" w:type="dxa"/>
            </w:tcMar>
            <w:vAlign w:val="center"/>
          </w:tcPr>
          <w:p w14:paraId="34CD6654">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62.0</w:t>
            </w:r>
          </w:p>
        </w:tc>
      </w:tr>
      <w:tr w14:paraId="1BB0DB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248D14B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振动夯锤</w:t>
            </w:r>
          </w:p>
        </w:tc>
        <w:tc>
          <w:tcPr>
            <w:tcW w:w="294" w:type="pct"/>
            <w:tcMar>
              <w:left w:w="57" w:type="dxa"/>
              <w:right w:w="57" w:type="dxa"/>
            </w:tcMar>
            <w:vAlign w:val="center"/>
          </w:tcPr>
          <w:p w14:paraId="39441AD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94.0</w:t>
            </w:r>
          </w:p>
        </w:tc>
        <w:tc>
          <w:tcPr>
            <w:tcW w:w="294" w:type="pct"/>
            <w:tcMar>
              <w:left w:w="57" w:type="dxa"/>
              <w:right w:w="57" w:type="dxa"/>
            </w:tcMar>
            <w:vAlign w:val="center"/>
          </w:tcPr>
          <w:p w14:paraId="1525933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88.0</w:t>
            </w:r>
          </w:p>
        </w:tc>
        <w:tc>
          <w:tcPr>
            <w:tcW w:w="294" w:type="pct"/>
            <w:tcMar>
              <w:left w:w="57" w:type="dxa"/>
              <w:right w:w="57" w:type="dxa"/>
            </w:tcMar>
            <w:vAlign w:val="center"/>
          </w:tcPr>
          <w:p w14:paraId="657DA2B0">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84.4</w:t>
            </w:r>
          </w:p>
        </w:tc>
        <w:tc>
          <w:tcPr>
            <w:tcW w:w="294" w:type="pct"/>
            <w:tcMar>
              <w:left w:w="57" w:type="dxa"/>
              <w:right w:w="57" w:type="dxa"/>
            </w:tcMar>
            <w:vAlign w:val="center"/>
          </w:tcPr>
          <w:p w14:paraId="0076CA5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81.9</w:t>
            </w:r>
          </w:p>
        </w:tc>
        <w:tc>
          <w:tcPr>
            <w:tcW w:w="294" w:type="pct"/>
            <w:tcMar>
              <w:left w:w="57" w:type="dxa"/>
              <w:right w:w="57" w:type="dxa"/>
            </w:tcMar>
            <w:vAlign w:val="center"/>
          </w:tcPr>
          <w:p w14:paraId="59EA00D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80.0</w:t>
            </w:r>
          </w:p>
        </w:tc>
        <w:tc>
          <w:tcPr>
            <w:tcW w:w="294" w:type="pct"/>
            <w:tcMar>
              <w:left w:w="57" w:type="dxa"/>
              <w:right w:w="57" w:type="dxa"/>
            </w:tcMar>
            <w:vAlign w:val="center"/>
          </w:tcPr>
          <w:p w14:paraId="7F03A27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75.9</w:t>
            </w:r>
          </w:p>
        </w:tc>
        <w:tc>
          <w:tcPr>
            <w:tcW w:w="294" w:type="pct"/>
            <w:tcMar>
              <w:left w:w="57" w:type="dxa"/>
              <w:right w:w="57" w:type="dxa"/>
            </w:tcMar>
            <w:vAlign w:val="center"/>
          </w:tcPr>
          <w:p w14:paraId="6AC3127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74.0</w:t>
            </w:r>
          </w:p>
        </w:tc>
        <w:tc>
          <w:tcPr>
            <w:tcW w:w="294" w:type="pct"/>
            <w:tcMar>
              <w:left w:w="57" w:type="dxa"/>
              <w:right w:w="57" w:type="dxa"/>
            </w:tcMar>
            <w:vAlign w:val="center"/>
          </w:tcPr>
          <w:p w14:paraId="0A10DCC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70.5</w:t>
            </w:r>
          </w:p>
        </w:tc>
        <w:tc>
          <w:tcPr>
            <w:tcW w:w="294" w:type="pct"/>
            <w:tcMar>
              <w:left w:w="57" w:type="dxa"/>
              <w:right w:w="57" w:type="dxa"/>
            </w:tcMar>
            <w:vAlign w:val="center"/>
          </w:tcPr>
          <w:p w14:paraId="5BAFB070">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68.0</w:t>
            </w:r>
          </w:p>
        </w:tc>
        <w:tc>
          <w:tcPr>
            <w:tcW w:w="294" w:type="pct"/>
            <w:tcMar>
              <w:left w:w="57" w:type="dxa"/>
              <w:right w:w="57" w:type="dxa"/>
            </w:tcMar>
            <w:vAlign w:val="center"/>
          </w:tcPr>
          <w:p w14:paraId="2D6A308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64.4</w:t>
            </w:r>
          </w:p>
        </w:tc>
        <w:tc>
          <w:tcPr>
            <w:tcW w:w="294" w:type="pct"/>
            <w:tcMar>
              <w:left w:w="57" w:type="dxa"/>
              <w:right w:w="57" w:type="dxa"/>
            </w:tcMar>
            <w:vAlign w:val="center"/>
          </w:tcPr>
          <w:p w14:paraId="73056F7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61.9</w:t>
            </w:r>
          </w:p>
        </w:tc>
        <w:tc>
          <w:tcPr>
            <w:tcW w:w="289" w:type="pct"/>
            <w:tcMar>
              <w:left w:w="57" w:type="dxa"/>
              <w:right w:w="57" w:type="dxa"/>
            </w:tcMar>
            <w:vAlign w:val="center"/>
          </w:tcPr>
          <w:p w14:paraId="6F8EB0F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60.0</w:t>
            </w:r>
          </w:p>
        </w:tc>
      </w:tr>
      <w:tr w14:paraId="51FDC7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13FA31D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风镐</w:t>
            </w:r>
          </w:p>
        </w:tc>
        <w:tc>
          <w:tcPr>
            <w:tcW w:w="294" w:type="pct"/>
            <w:tcMar>
              <w:left w:w="57" w:type="dxa"/>
              <w:right w:w="57" w:type="dxa"/>
            </w:tcMar>
            <w:vAlign w:val="center"/>
          </w:tcPr>
          <w:p w14:paraId="25015226">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86.0</w:t>
            </w:r>
          </w:p>
        </w:tc>
        <w:tc>
          <w:tcPr>
            <w:tcW w:w="294" w:type="pct"/>
            <w:tcMar>
              <w:left w:w="57" w:type="dxa"/>
              <w:right w:w="57" w:type="dxa"/>
            </w:tcMar>
            <w:vAlign w:val="center"/>
          </w:tcPr>
          <w:p w14:paraId="43BCEE1B">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80.0</w:t>
            </w:r>
          </w:p>
        </w:tc>
        <w:tc>
          <w:tcPr>
            <w:tcW w:w="294" w:type="pct"/>
            <w:tcMar>
              <w:left w:w="57" w:type="dxa"/>
              <w:right w:w="57" w:type="dxa"/>
            </w:tcMar>
            <w:vAlign w:val="center"/>
          </w:tcPr>
          <w:p w14:paraId="737705F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76.4</w:t>
            </w:r>
          </w:p>
        </w:tc>
        <w:tc>
          <w:tcPr>
            <w:tcW w:w="294" w:type="pct"/>
            <w:tcMar>
              <w:left w:w="57" w:type="dxa"/>
              <w:right w:w="57" w:type="dxa"/>
            </w:tcMar>
            <w:vAlign w:val="center"/>
          </w:tcPr>
          <w:p w14:paraId="5E093291">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73.9</w:t>
            </w:r>
          </w:p>
        </w:tc>
        <w:tc>
          <w:tcPr>
            <w:tcW w:w="294" w:type="pct"/>
            <w:tcMar>
              <w:left w:w="57" w:type="dxa"/>
              <w:right w:w="57" w:type="dxa"/>
            </w:tcMar>
            <w:vAlign w:val="center"/>
          </w:tcPr>
          <w:p w14:paraId="1603099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72.0</w:t>
            </w:r>
          </w:p>
        </w:tc>
        <w:tc>
          <w:tcPr>
            <w:tcW w:w="294" w:type="pct"/>
            <w:tcMar>
              <w:left w:w="57" w:type="dxa"/>
              <w:right w:w="57" w:type="dxa"/>
            </w:tcMar>
            <w:vAlign w:val="center"/>
          </w:tcPr>
          <w:p w14:paraId="21B30F58">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67.9</w:t>
            </w:r>
          </w:p>
        </w:tc>
        <w:tc>
          <w:tcPr>
            <w:tcW w:w="294" w:type="pct"/>
            <w:tcMar>
              <w:left w:w="57" w:type="dxa"/>
              <w:right w:w="57" w:type="dxa"/>
            </w:tcMar>
            <w:vAlign w:val="center"/>
          </w:tcPr>
          <w:p w14:paraId="11F289A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66.0</w:t>
            </w:r>
          </w:p>
        </w:tc>
        <w:tc>
          <w:tcPr>
            <w:tcW w:w="294" w:type="pct"/>
            <w:tcMar>
              <w:left w:w="57" w:type="dxa"/>
              <w:right w:w="57" w:type="dxa"/>
            </w:tcMar>
            <w:vAlign w:val="center"/>
          </w:tcPr>
          <w:p w14:paraId="28A4F741">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62.5</w:t>
            </w:r>
          </w:p>
        </w:tc>
        <w:tc>
          <w:tcPr>
            <w:tcW w:w="294" w:type="pct"/>
            <w:tcMar>
              <w:left w:w="57" w:type="dxa"/>
              <w:right w:w="57" w:type="dxa"/>
            </w:tcMar>
            <w:vAlign w:val="center"/>
          </w:tcPr>
          <w:p w14:paraId="7590C61C">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60.0</w:t>
            </w:r>
          </w:p>
        </w:tc>
        <w:tc>
          <w:tcPr>
            <w:tcW w:w="294" w:type="pct"/>
            <w:tcMar>
              <w:left w:w="57" w:type="dxa"/>
              <w:right w:w="57" w:type="dxa"/>
            </w:tcMar>
            <w:vAlign w:val="center"/>
          </w:tcPr>
          <w:p w14:paraId="2E020BC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56.4</w:t>
            </w:r>
          </w:p>
        </w:tc>
        <w:tc>
          <w:tcPr>
            <w:tcW w:w="294" w:type="pct"/>
            <w:tcMar>
              <w:left w:w="57" w:type="dxa"/>
              <w:right w:w="57" w:type="dxa"/>
            </w:tcMar>
            <w:vAlign w:val="center"/>
          </w:tcPr>
          <w:p w14:paraId="21865D6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53.9</w:t>
            </w:r>
          </w:p>
        </w:tc>
        <w:tc>
          <w:tcPr>
            <w:tcW w:w="289" w:type="pct"/>
            <w:tcMar>
              <w:left w:w="57" w:type="dxa"/>
              <w:right w:w="57" w:type="dxa"/>
            </w:tcMar>
            <w:vAlign w:val="center"/>
          </w:tcPr>
          <w:p w14:paraId="21ACB0A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52.0</w:t>
            </w:r>
          </w:p>
        </w:tc>
      </w:tr>
      <w:tr w14:paraId="6C11C5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71A99A7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混凝土输送泵</w:t>
            </w:r>
          </w:p>
        </w:tc>
        <w:tc>
          <w:tcPr>
            <w:tcW w:w="294" w:type="pct"/>
            <w:tcMar>
              <w:left w:w="57" w:type="dxa"/>
              <w:right w:w="57" w:type="dxa"/>
            </w:tcMar>
            <w:vAlign w:val="center"/>
          </w:tcPr>
          <w:p w14:paraId="0B84D151">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89.0</w:t>
            </w:r>
          </w:p>
        </w:tc>
        <w:tc>
          <w:tcPr>
            <w:tcW w:w="294" w:type="pct"/>
            <w:tcMar>
              <w:left w:w="57" w:type="dxa"/>
              <w:right w:w="57" w:type="dxa"/>
            </w:tcMar>
            <w:vAlign w:val="center"/>
          </w:tcPr>
          <w:p w14:paraId="764D6C4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83.0</w:t>
            </w:r>
          </w:p>
        </w:tc>
        <w:tc>
          <w:tcPr>
            <w:tcW w:w="294" w:type="pct"/>
            <w:tcMar>
              <w:left w:w="57" w:type="dxa"/>
              <w:right w:w="57" w:type="dxa"/>
            </w:tcMar>
            <w:vAlign w:val="center"/>
          </w:tcPr>
          <w:p w14:paraId="6547B2F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79.4</w:t>
            </w:r>
          </w:p>
        </w:tc>
        <w:tc>
          <w:tcPr>
            <w:tcW w:w="294" w:type="pct"/>
            <w:tcMar>
              <w:left w:w="57" w:type="dxa"/>
              <w:right w:w="57" w:type="dxa"/>
            </w:tcMar>
            <w:vAlign w:val="center"/>
          </w:tcPr>
          <w:p w14:paraId="6CFFCE56">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76.9</w:t>
            </w:r>
          </w:p>
        </w:tc>
        <w:tc>
          <w:tcPr>
            <w:tcW w:w="294" w:type="pct"/>
            <w:tcMar>
              <w:left w:w="57" w:type="dxa"/>
              <w:right w:w="57" w:type="dxa"/>
            </w:tcMar>
            <w:vAlign w:val="center"/>
          </w:tcPr>
          <w:p w14:paraId="7D31386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75.0</w:t>
            </w:r>
          </w:p>
        </w:tc>
        <w:tc>
          <w:tcPr>
            <w:tcW w:w="294" w:type="pct"/>
            <w:tcMar>
              <w:left w:w="57" w:type="dxa"/>
              <w:right w:w="57" w:type="dxa"/>
            </w:tcMar>
            <w:vAlign w:val="center"/>
          </w:tcPr>
          <w:p w14:paraId="76219E9B">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70.9</w:t>
            </w:r>
          </w:p>
        </w:tc>
        <w:tc>
          <w:tcPr>
            <w:tcW w:w="294" w:type="pct"/>
            <w:tcMar>
              <w:left w:w="57" w:type="dxa"/>
              <w:right w:w="57" w:type="dxa"/>
            </w:tcMar>
            <w:vAlign w:val="center"/>
          </w:tcPr>
          <w:p w14:paraId="7C83698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69.0</w:t>
            </w:r>
          </w:p>
        </w:tc>
        <w:tc>
          <w:tcPr>
            <w:tcW w:w="294" w:type="pct"/>
            <w:tcMar>
              <w:left w:w="57" w:type="dxa"/>
              <w:right w:w="57" w:type="dxa"/>
            </w:tcMar>
            <w:vAlign w:val="center"/>
          </w:tcPr>
          <w:p w14:paraId="703779C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65.5</w:t>
            </w:r>
          </w:p>
        </w:tc>
        <w:tc>
          <w:tcPr>
            <w:tcW w:w="294" w:type="pct"/>
            <w:tcMar>
              <w:left w:w="57" w:type="dxa"/>
              <w:right w:w="57" w:type="dxa"/>
            </w:tcMar>
            <w:vAlign w:val="center"/>
          </w:tcPr>
          <w:p w14:paraId="5CA4BD4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63.0</w:t>
            </w:r>
          </w:p>
        </w:tc>
        <w:tc>
          <w:tcPr>
            <w:tcW w:w="294" w:type="pct"/>
            <w:tcMar>
              <w:left w:w="57" w:type="dxa"/>
              <w:right w:w="57" w:type="dxa"/>
            </w:tcMar>
            <w:vAlign w:val="center"/>
          </w:tcPr>
          <w:p w14:paraId="72E7CBE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59.4</w:t>
            </w:r>
          </w:p>
        </w:tc>
        <w:tc>
          <w:tcPr>
            <w:tcW w:w="294" w:type="pct"/>
            <w:tcMar>
              <w:left w:w="57" w:type="dxa"/>
              <w:right w:w="57" w:type="dxa"/>
            </w:tcMar>
            <w:vAlign w:val="center"/>
          </w:tcPr>
          <w:p w14:paraId="735AC76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56.9</w:t>
            </w:r>
          </w:p>
        </w:tc>
        <w:tc>
          <w:tcPr>
            <w:tcW w:w="289" w:type="pct"/>
            <w:tcMar>
              <w:left w:w="57" w:type="dxa"/>
              <w:right w:w="57" w:type="dxa"/>
            </w:tcMar>
            <w:vAlign w:val="center"/>
          </w:tcPr>
          <w:p w14:paraId="2FBE8852">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55.0</w:t>
            </w:r>
          </w:p>
        </w:tc>
      </w:tr>
      <w:tr w14:paraId="52F06B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3CFE1A9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摊铺机</w:t>
            </w:r>
          </w:p>
        </w:tc>
        <w:tc>
          <w:tcPr>
            <w:tcW w:w="294" w:type="pct"/>
            <w:tcMar>
              <w:left w:w="57" w:type="dxa"/>
              <w:right w:w="57" w:type="dxa"/>
            </w:tcMar>
            <w:vAlign w:val="center"/>
          </w:tcPr>
          <w:p w14:paraId="2CCBD1E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81.0</w:t>
            </w:r>
          </w:p>
        </w:tc>
        <w:tc>
          <w:tcPr>
            <w:tcW w:w="294" w:type="pct"/>
            <w:tcMar>
              <w:left w:w="57" w:type="dxa"/>
              <w:right w:w="57" w:type="dxa"/>
            </w:tcMar>
            <w:vAlign w:val="center"/>
          </w:tcPr>
          <w:p w14:paraId="54A142E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75.0</w:t>
            </w:r>
          </w:p>
        </w:tc>
        <w:tc>
          <w:tcPr>
            <w:tcW w:w="294" w:type="pct"/>
            <w:tcMar>
              <w:left w:w="57" w:type="dxa"/>
              <w:right w:w="57" w:type="dxa"/>
            </w:tcMar>
            <w:vAlign w:val="center"/>
          </w:tcPr>
          <w:p w14:paraId="4A67B9E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71.4</w:t>
            </w:r>
          </w:p>
        </w:tc>
        <w:tc>
          <w:tcPr>
            <w:tcW w:w="294" w:type="pct"/>
            <w:tcMar>
              <w:left w:w="57" w:type="dxa"/>
              <w:right w:w="57" w:type="dxa"/>
            </w:tcMar>
            <w:vAlign w:val="center"/>
          </w:tcPr>
          <w:p w14:paraId="1E8D2FF8">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68.9</w:t>
            </w:r>
          </w:p>
        </w:tc>
        <w:tc>
          <w:tcPr>
            <w:tcW w:w="294" w:type="pct"/>
            <w:tcMar>
              <w:left w:w="57" w:type="dxa"/>
              <w:right w:w="57" w:type="dxa"/>
            </w:tcMar>
            <w:vAlign w:val="center"/>
          </w:tcPr>
          <w:p w14:paraId="5FF2166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67.0</w:t>
            </w:r>
          </w:p>
        </w:tc>
        <w:tc>
          <w:tcPr>
            <w:tcW w:w="294" w:type="pct"/>
            <w:tcMar>
              <w:left w:w="57" w:type="dxa"/>
              <w:right w:w="57" w:type="dxa"/>
            </w:tcMar>
            <w:vAlign w:val="center"/>
          </w:tcPr>
          <w:p w14:paraId="318B630C">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62.9</w:t>
            </w:r>
          </w:p>
        </w:tc>
        <w:tc>
          <w:tcPr>
            <w:tcW w:w="294" w:type="pct"/>
            <w:tcMar>
              <w:left w:w="57" w:type="dxa"/>
              <w:right w:w="57" w:type="dxa"/>
            </w:tcMar>
            <w:vAlign w:val="center"/>
          </w:tcPr>
          <w:p w14:paraId="7DF6DA4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61.0</w:t>
            </w:r>
          </w:p>
        </w:tc>
        <w:tc>
          <w:tcPr>
            <w:tcW w:w="294" w:type="pct"/>
            <w:tcMar>
              <w:left w:w="57" w:type="dxa"/>
              <w:right w:w="57" w:type="dxa"/>
            </w:tcMar>
            <w:vAlign w:val="center"/>
          </w:tcPr>
          <w:p w14:paraId="4F6C7A9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57.5</w:t>
            </w:r>
          </w:p>
        </w:tc>
        <w:tc>
          <w:tcPr>
            <w:tcW w:w="294" w:type="pct"/>
            <w:tcMar>
              <w:left w:w="57" w:type="dxa"/>
              <w:right w:w="57" w:type="dxa"/>
            </w:tcMar>
            <w:vAlign w:val="center"/>
          </w:tcPr>
          <w:p w14:paraId="0CEBDD70">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55.0</w:t>
            </w:r>
          </w:p>
        </w:tc>
        <w:tc>
          <w:tcPr>
            <w:tcW w:w="294" w:type="pct"/>
            <w:tcMar>
              <w:left w:w="57" w:type="dxa"/>
              <w:right w:w="57" w:type="dxa"/>
            </w:tcMar>
            <w:vAlign w:val="center"/>
          </w:tcPr>
          <w:p w14:paraId="225CD4C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51.4</w:t>
            </w:r>
          </w:p>
        </w:tc>
        <w:tc>
          <w:tcPr>
            <w:tcW w:w="294" w:type="pct"/>
            <w:tcMar>
              <w:left w:w="57" w:type="dxa"/>
              <w:right w:w="57" w:type="dxa"/>
            </w:tcMar>
            <w:vAlign w:val="center"/>
          </w:tcPr>
          <w:p w14:paraId="79EAFAD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48.9</w:t>
            </w:r>
          </w:p>
        </w:tc>
        <w:tc>
          <w:tcPr>
            <w:tcW w:w="289" w:type="pct"/>
            <w:tcMar>
              <w:left w:w="57" w:type="dxa"/>
              <w:right w:w="57" w:type="dxa"/>
            </w:tcMar>
            <w:vAlign w:val="center"/>
          </w:tcPr>
          <w:p w14:paraId="274F07E8">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47.0</w:t>
            </w:r>
          </w:p>
        </w:tc>
      </w:tr>
      <w:tr w14:paraId="28750BD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2B68EC3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发电机组</w:t>
            </w:r>
          </w:p>
        </w:tc>
        <w:tc>
          <w:tcPr>
            <w:tcW w:w="294" w:type="pct"/>
            <w:tcMar>
              <w:left w:w="57" w:type="dxa"/>
              <w:right w:w="57" w:type="dxa"/>
            </w:tcMar>
            <w:vAlign w:val="center"/>
          </w:tcPr>
          <w:p w14:paraId="3CD18981">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92.0</w:t>
            </w:r>
          </w:p>
        </w:tc>
        <w:tc>
          <w:tcPr>
            <w:tcW w:w="294" w:type="pct"/>
            <w:tcMar>
              <w:left w:w="57" w:type="dxa"/>
              <w:right w:w="57" w:type="dxa"/>
            </w:tcMar>
            <w:vAlign w:val="center"/>
          </w:tcPr>
          <w:p w14:paraId="68902184">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86.0</w:t>
            </w:r>
          </w:p>
        </w:tc>
        <w:tc>
          <w:tcPr>
            <w:tcW w:w="294" w:type="pct"/>
            <w:tcMar>
              <w:left w:w="57" w:type="dxa"/>
              <w:right w:w="57" w:type="dxa"/>
            </w:tcMar>
            <w:vAlign w:val="center"/>
          </w:tcPr>
          <w:p w14:paraId="1EF05F8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82.4</w:t>
            </w:r>
          </w:p>
        </w:tc>
        <w:tc>
          <w:tcPr>
            <w:tcW w:w="294" w:type="pct"/>
            <w:tcMar>
              <w:left w:w="57" w:type="dxa"/>
              <w:right w:w="57" w:type="dxa"/>
            </w:tcMar>
            <w:vAlign w:val="center"/>
          </w:tcPr>
          <w:p w14:paraId="4DA3453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79.9</w:t>
            </w:r>
          </w:p>
        </w:tc>
        <w:tc>
          <w:tcPr>
            <w:tcW w:w="294" w:type="pct"/>
            <w:tcMar>
              <w:left w:w="57" w:type="dxa"/>
              <w:right w:w="57" w:type="dxa"/>
            </w:tcMar>
            <w:vAlign w:val="center"/>
          </w:tcPr>
          <w:p w14:paraId="60BF0EE0">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78.0</w:t>
            </w:r>
          </w:p>
        </w:tc>
        <w:tc>
          <w:tcPr>
            <w:tcW w:w="294" w:type="pct"/>
            <w:tcMar>
              <w:left w:w="57" w:type="dxa"/>
              <w:right w:w="57" w:type="dxa"/>
            </w:tcMar>
            <w:vAlign w:val="center"/>
          </w:tcPr>
          <w:p w14:paraId="526455A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73.9</w:t>
            </w:r>
          </w:p>
        </w:tc>
        <w:tc>
          <w:tcPr>
            <w:tcW w:w="294" w:type="pct"/>
            <w:tcMar>
              <w:left w:w="57" w:type="dxa"/>
              <w:right w:w="57" w:type="dxa"/>
            </w:tcMar>
            <w:vAlign w:val="center"/>
          </w:tcPr>
          <w:p w14:paraId="78D94C7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72.0</w:t>
            </w:r>
          </w:p>
        </w:tc>
        <w:tc>
          <w:tcPr>
            <w:tcW w:w="294" w:type="pct"/>
            <w:tcMar>
              <w:left w:w="57" w:type="dxa"/>
              <w:right w:w="57" w:type="dxa"/>
            </w:tcMar>
            <w:vAlign w:val="center"/>
          </w:tcPr>
          <w:p w14:paraId="7BF5F81C">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68.5</w:t>
            </w:r>
          </w:p>
        </w:tc>
        <w:tc>
          <w:tcPr>
            <w:tcW w:w="294" w:type="pct"/>
            <w:tcMar>
              <w:left w:w="57" w:type="dxa"/>
              <w:right w:w="57" w:type="dxa"/>
            </w:tcMar>
            <w:vAlign w:val="center"/>
          </w:tcPr>
          <w:p w14:paraId="058A021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66.0</w:t>
            </w:r>
          </w:p>
        </w:tc>
        <w:tc>
          <w:tcPr>
            <w:tcW w:w="294" w:type="pct"/>
            <w:tcMar>
              <w:left w:w="57" w:type="dxa"/>
              <w:right w:w="57" w:type="dxa"/>
            </w:tcMar>
            <w:vAlign w:val="center"/>
          </w:tcPr>
          <w:p w14:paraId="544A97FC">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62.4</w:t>
            </w:r>
          </w:p>
        </w:tc>
        <w:tc>
          <w:tcPr>
            <w:tcW w:w="294" w:type="pct"/>
            <w:tcMar>
              <w:left w:w="57" w:type="dxa"/>
              <w:right w:w="57" w:type="dxa"/>
            </w:tcMar>
            <w:vAlign w:val="center"/>
          </w:tcPr>
          <w:p w14:paraId="4E59FCC2">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59.9</w:t>
            </w:r>
          </w:p>
        </w:tc>
        <w:tc>
          <w:tcPr>
            <w:tcW w:w="289" w:type="pct"/>
            <w:tcMar>
              <w:left w:w="57" w:type="dxa"/>
              <w:right w:w="57" w:type="dxa"/>
            </w:tcMar>
            <w:vAlign w:val="center"/>
          </w:tcPr>
          <w:p w14:paraId="5A62BB7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58.0</w:t>
            </w:r>
          </w:p>
        </w:tc>
      </w:tr>
      <w:tr w14:paraId="5B61BE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07F60A1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空压机</w:t>
            </w:r>
          </w:p>
        </w:tc>
        <w:tc>
          <w:tcPr>
            <w:tcW w:w="294" w:type="pct"/>
            <w:tcMar>
              <w:left w:w="57" w:type="dxa"/>
              <w:right w:w="57" w:type="dxa"/>
            </w:tcMar>
            <w:vAlign w:val="center"/>
          </w:tcPr>
          <w:p w14:paraId="1AAE4C4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86.0</w:t>
            </w:r>
          </w:p>
        </w:tc>
        <w:tc>
          <w:tcPr>
            <w:tcW w:w="294" w:type="pct"/>
            <w:tcMar>
              <w:left w:w="57" w:type="dxa"/>
              <w:right w:w="57" w:type="dxa"/>
            </w:tcMar>
            <w:vAlign w:val="center"/>
          </w:tcPr>
          <w:p w14:paraId="68A45AC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80.0</w:t>
            </w:r>
          </w:p>
        </w:tc>
        <w:tc>
          <w:tcPr>
            <w:tcW w:w="294" w:type="pct"/>
            <w:tcMar>
              <w:left w:w="57" w:type="dxa"/>
              <w:right w:w="57" w:type="dxa"/>
            </w:tcMar>
            <w:vAlign w:val="center"/>
          </w:tcPr>
          <w:p w14:paraId="3D02F393">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76.4</w:t>
            </w:r>
          </w:p>
        </w:tc>
        <w:tc>
          <w:tcPr>
            <w:tcW w:w="294" w:type="pct"/>
            <w:tcMar>
              <w:left w:w="57" w:type="dxa"/>
              <w:right w:w="57" w:type="dxa"/>
            </w:tcMar>
            <w:vAlign w:val="center"/>
          </w:tcPr>
          <w:p w14:paraId="0A4B2964">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73.9</w:t>
            </w:r>
          </w:p>
        </w:tc>
        <w:tc>
          <w:tcPr>
            <w:tcW w:w="294" w:type="pct"/>
            <w:tcMar>
              <w:left w:w="57" w:type="dxa"/>
              <w:right w:w="57" w:type="dxa"/>
            </w:tcMar>
            <w:vAlign w:val="center"/>
          </w:tcPr>
          <w:p w14:paraId="215F9676">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72.0</w:t>
            </w:r>
          </w:p>
        </w:tc>
        <w:tc>
          <w:tcPr>
            <w:tcW w:w="294" w:type="pct"/>
            <w:tcMar>
              <w:left w:w="57" w:type="dxa"/>
              <w:right w:w="57" w:type="dxa"/>
            </w:tcMar>
            <w:vAlign w:val="center"/>
          </w:tcPr>
          <w:p w14:paraId="54DE114E">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67.9</w:t>
            </w:r>
          </w:p>
        </w:tc>
        <w:tc>
          <w:tcPr>
            <w:tcW w:w="294" w:type="pct"/>
            <w:tcMar>
              <w:left w:w="57" w:type="dxa"/>
              <w:right w:w="57" w:type="dxa"/>
            </w:tcMar>
            <w:vAlign w:val="center"/>
          </w:tcPr>
          <w:p w14:paraId="297EC61E">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66.0</w:t>
            </w:r>
          </w:p>
        </w:tc>
        <w:tc>
          <w:tcPr>
            <w:tcW w:w="294" w:type="pct"/>
            <w:tcMar>
              <w:left w:w="57" w:type="dxa"/>
              <w:right w:w="57" w:type="dxa"/>
            </w:tcMar>
            <w:vAlign w:val="center"/>
          </w:tcPr>
          <w:p w14:paraId="47D8F442">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62.5</w:t>
            </w:r>
          </w:p>
        </w:tc>
        <w:tc>
          <w:tcPr>
            <w:tcW w:w="294" w:type="pct"/>
            <w:tcMar>
              <w:left w:w="57" w:type="dxa"/>
              <w:right w:w="57" w:type="dxa"/>
            </w:tcMar>
            <w:vAlign w:val="center"/>
          </w:tcPr>
          <w:p w14:paraId="277BCCF6">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60.0</w:t>
            </w:r>
          </w:p>
        </w:tc>
        <w:tc>
          <w:tcPr>
            <w:tcW w:w="294" w:type="pct"/>
            <w:tcMar>
              <w:left w:w="57" w:type="dxa"/>
              <w:right w:w="57" w:type="dxa"/>
            </w:tcMar>
            <w:vAlign w:val="center"/>
          </w:tcPr>
          <w:p w14:paraId="1621CC35">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56.4</w:t>
            </w:r>
          </w:p>
        </w:tc>
        <w:tc>
          <w:tcPr>
            <w:tcW w:w="294" w:type="pct"/>
            <w:tcMar>
              <w:left w:w="57" w:type="dxa"/>
              <w:right w:w="57" w:type="dxa"/>
            </w:tcMar>
            <w:vAlign w:val="center"/>
          </w:tcPr>
          <w:p w14:paraId="22826D1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53.9</w:t>
            </w:r>
          </w:p>
        </w:tc>
        <w:tc>
          <w:tcPr>
            <w:tcW w:w="289" w:type="pct"/>
            <w:tcMar>
              <w:left w:w="57" w:type="dxa"/>
              <w:right w:w="57" w:type="dxa"/>
            </w:tcMar>
            <w:vAlign w:val="center"/>
          </w:tcPr>
          <w:p w14:paraId="7E3E171D">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52.0</w:t>
            </w:r>
          </w:p>
        </w:tc>
      </w:tr>
      <w:tr w14:paraId="37D1A6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477" w:type="pct"/>
            <w:tcBorders>
              <w:top w:val="single" w:color="auto" w:sz="6" w:space="0"/>
            </w:tcBorders>
            <w:tcMar>
              <w:left w:w="57" w:type="dxa"/>
              <w:right w:w="57" w:type="dxa"/>
            </w:tcMar>
            <w:vAlign w:val="center"/>
          </w:tcPr>
          <w:p w14:paraId="69620DE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沥青混凝土搅拌机</w:t>
            </w:r>
          </w:p>
        </w:tc>
        <w:tc>
          <w:tcPr>
            <w:tcW w:w="294" w:type="pct"/>
            <w:tcMar>
              <w:left w:w="57" w:type="dxa"/>
              <w:right w:w="57" w:type="dxa"/>
            </w:tcMar>
            <w:vAlign w:val="center"/>
          </w:tcPr>
          <w:p w14:paraId="17E08DF4">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76.0</w:t>
            </w:r>
          </w:p>
        </w:tc>
        <w:tc>
          <w:tcPr>
            <w:tcW w:w="294" w:type="pct"/>
            <w:tcMar>
              <w:left w:w="57" w:type="dxa"/>
              <w:right w:w="57" w:type="dxa"/>
            </w:tcMar>
            <w:vAlign w:val="center"/>
          </w:tcPr>
          <w:p w14:paraId="665AF2E9">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70.0</w:t>
            </w:r>
          </w:p>
        </w:tc>
        <w:tc>
          <w:tcPr>
            <w:tcW w:w="294" w:type="pct"/>
            <w:tcMar>
              <w:left w:w="57" w:type="dxa"/>
              <w:right w:w="57" w:type="dxa"/>
            </w:tcMar>
            <w:vAlign w:val="center"/>
          </w:tcPr>
          <w:p w14:paraId="7B13F0DA">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66.5</w:t>
            </w:r>
          </w:p>
        </w:tc>
        <w:tc>
          <w:tcPr>
            <w:tcW w:w="294" w:type="pct"/>
            <w:tcMar>
              <w:left w:w="57" w:type="dxa"/>
              <w:right w:w="57" w:type="dxa"/>
            </w:tcMar>
            <w:vAlign w:val="center"/>
          </w:tcPr>
          <w:p w14:paraId="0BDE418E">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64.0</w:t>
            </w:r>
          </w:p>
        </w:tc>
        <w:tc>
          <w:tcPr>
            <w:tcW w:w="294" w:type="pct"/>
            <w:tcMar>
              <w:left w:w="57" w:type="dxa"/>
              <w:right w:w="57" w:type="dxa"/>
            </w:tcMar>
            <w:vAlign w:val="center"/>
          </w:tcPr>
          <w:p w14:paraId="098AA6D0">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62.0</w:t>
            </w:r>
          </w:p>
        </w:tc>
        <w:tc>
          <w:tcPr>
            <w:tcW w:w="294" w:type="pct"/>
            <w:tcMar>
              <w:left w:w="57" w:type="dxa"/>
              <w:right w:w="57" w:type="dxa"/>
            </w:tcMar>
            <w:vAlign w:val="center"/>
          </w:tcPr>
          <w:p w14:paraId="4286F1C8">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58.0</w:t>
            </w:r>
          </w:p>
        </w:tc>
        <w:tc>
          <w:tcPr>
            <w:tcW w:w="294" w:type="pct"/>
            <w:tcMar>
              <w:left w:w="57" w:type="dxa"/>
              <w:right w:w="57" w:type="dxa"/>
            </w:tcMar>
            <w:vAlign w:val="center"/>
          </w:tcPr>
          <w:p w14:paraId="585C5A9B">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56.0</w:t>
            </w:r>
          </w:p>
        </w:tc>
        <w:tc>
          <w:tcPr>
            <w:tcW w:w="294" w:type="pct"/>
            <w:tcMar>
              <w:left w:w="57" w:type="dxa"/>
              <w:right w:w="57" w:type="dxa"/>
            </w:tcMar>
            <w:vAlign w:val="center"/>
          </w:tcPr>
          <w:p w14:paraId="0A437607">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52.5</w:t>
            </w:r>
          </w:p>
        </w:tc>
        <w:tc>
          <w:tcPr>
            <w:tcW w:w="294" w:type="pct"/>
            <w:tcMar>
              <w:left w:w="57" w:type="dxa"/>
              <w:right w:w="57" w:type="dxa"/>
            </w:tcMar>
            <w:vAlign w:val="center"/>
          </w:tcPr>
          <w:p w14:paraId="7A917750">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50.0</w:t>
            </w:r>
          </w:p>
        </w:tc>
        <w:tc>
          <w:tcPr>
            <w:tcW w:w="294" w:type="pct"/>
            <w:tcMar>
              <w:left w:w="57" w:type="dxa"/>
              <w:right w:w="57" w:type="dxa"/>
            </w:tcMar>
            <w:vAlign w:val="center"/>
          </w:tcPr>
          <w:p w14:paraId="131B10E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46.5</w:t>
            </w:r>
          </w:p>
        </w:tc>
        <w:tc>
          <w:tcPr>
            <w:tcW w:w="294" w:type="pct"/>
            <w:tcMar>
              <w:left w:w="57" w:type="dxa"/>
              <w:right w:w="57" w:type="dxa"/>
            </w:tcMar>
            <w:vAlign w:val="center"/>
          </w:tcPr>
          <w:p w14:paraId="4A18878F">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44.0</w:t>
            </w:r>
          </w:p>
        </w:tc>
        <w:tc>
          <w:tcPr>
            <w:tcW w:w="289" w:type="pct"/>
            <w:tcMar>
              <w:left w:w="57" w:type="dxa"/>
              <w:right w:w="57" w:type="dxa"/>
            </w:tcMar>
            <w:vAlign w:val="center"/>
          </w:tcPr>
          <w:p w14:paraId="085E560C">
            <w:pPr>
              <w:pStyle w:val="105"/>
              <w:widowControl w:val="0"/>
              <w:jc w:val="center"/>
              <w:rPr>
                <w:color w:val="000000" w:themeColor="text1"/>
                <w14:textFill>
                  <w14:solidFill>
                    <w14:schemeClr w14:val="tx1"/>
                  </w14:solidFill>
                </w14:textFill>
              </w:rPr>
            </w:pPr>
            <w:r>
              <w:rPr>
                <w:rFonts w:eastAsia="等线" w:cs="Times New Roman"/>
                <w:color w:val="000000" w:themeColor="text1"/>
                <w14:textFill>
                  <w14:solidFill>
                    <w14:schemeClr w14:val="tx1"/>
                  </w14:solidFill>
                </w14:textFill>
              </w:rPr>
              <w:t>42.0</w:t>
            </w:r>
          </w:p>
        </w:tc>
      </w:tr>
    </w:tbl>
    <w:p w14:paraId="7A3ACAC4">
      <w:pPr>
        <w:pStyle w:val="124"/>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（1）由预测结果可知，施工机械噪声在无遮挡情况下，产生的噪声声级比较大，施工场界及公路作业带边界超过《建筑施工场界环境噪声排放标准》(GB12523-2011)（排放限值昼间≤70dB，夜间≤5</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dB）。</w:t>
      </w:r>
    </w:p>
    <w:p w14:paraId="1B2678E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在施工实际过程中可能出现多台机械同时在一处作业，则此时施工噪声影响的范围比单一机械产生的噪声预测值还要大。但由于在实际施工中各施工机械组合情况较为复杂，则很难一一用声级叠加方法计算得出其可能的实际影响结果。</w:t>
      </w:r>
    </w:p>
    <w:p w14:paraId="422263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（3）公路施工噪声主要发生在场地平整阶段、路基施工和路面施工阶段。</w:t>
      </w:r>
    </w:p>
    <w:p w14:paraId="6AC0ADD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本项目建设时间虽然较长，但对固定路段而言施工时间要短得多，因此实际施工噪声的影响程度应比推算值低一些，因此一般的居民均能理解。但是作为建设施工单位为保护沿线居民的正常生活和休息，应合理地安排施工进度和时间，文明施工、环保施工，并采取必要的噪声控制措施（如设置移动式声屏障等），降低施工噪声对环境的影响。</w:t>
      </w:r>
    </w:p>
    <w:p w14:paraId="7C9E293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（5）本项目周边现状声环境敏感目标为牌边村新桥，上张村林泉、王房，联华村后郑、火烧埔、田楼</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西山、朱里、木厝洋、三落厝等。全线设置</w:t>
      </w:r>
      <w:r>
        <w:rPr>
          <w:color w:val="000000" w:themeColor="text1"/>
          <w14:textFill>
            <w14:solidFill>
              <w14:schemeClr w14:val="tx1"/>
            </w14:solidFill>
          </w14:textFill>
        </w:rPr>
        <w:t>2处</w:t>
      </w:r>
      <w:r>
        <w:rPr>
          <w:rFonts w:hint="eastAsia"/>
          <w:color w:val="000000" w:themeColor="text1"/>
          <w14:textFill>
            <w14:solidFill>
              <w14:schemeClr w14:val="tx1"/>
            </w14:solidFill>
          </w14:textFill>
        </w:rPr>
        <w:t>施工场地，3个表土堆场，因线路沿线的农田和地形制约，</w:t>
      </w:r>
      <w:r>
        <w:rPr>
          <w:snapToGrid w:val="0"/>
          <w:color w:val="000000" w:themeColor="text1"/>
          <w14:textFill>
            <w14:solidFill>
              <w14:schemeClr w14:val="tx1"/>
            </w14:solidFill>
          </w14:textFill>
        </w:rPr>
        <w:t>2#</w:t>
      </w:r>
      <w:r>
        <w:rPr>
          <w:rFonts w:hint="eastAsia"/>
          <w:snapToGrid w:val="0"/>
          <w:color w:val="000000" w:themeColor="text1"/>
          <w14:textFill>
            <w14:solidFill>
              <w14:schemeClr w14:val="tx1"/>
            </w14:solidFill>
          </w14:textFill>
        </w:rPr>
        <w:t>表土堆场</w:t>
      </w:r>
      <w:r>
        <w:rPr>
          <w:rFonts w:hint="eastAsia"/>
          <w:color w:val="000000" w:themeColor="text1"/>
          <w14:textFill>
            <w14:solidFill>
              <w14:schemeClr w14:val="tx1"/>
            </w14:solidFill>
          </w14:textFill>
        </w:rPr>
        <w:t>距离</w:t>
      </w:r>
      <w:r>
        <w:rPr>
          <w:color w:val="000000" w:themeColor="text1"/>
          <w14:textFill>
            <w14:solidFill>
              <w14:schemeClr w14:val="tx1"/>
            </w14:solidFill>
          </w14:textFill>
        </w:rPr>
        <w:t>联华村</w:t>
      </w:r>
      <w:r>
        <w:rPr>
          <w:rFonts w:hint="eastAsia"/>
          <w:color w:val="000000" w:themeColor="text1"/>
          <w14:textFill>
            <w14:solidFill>
              <w14:schemeClr w14:val="tx1"/>
            </w14:solidFill>
          </w14:textFill>
        </w:rPr>
        <w:t>木厝洋、朱里、</w:t>
      </w:r>
      <w:r>
        <w:rPr>
          <w:color w:val="000000" w:themeColor="text1"/>
          <w14:textFill>
            <w14:solidFill>
              <w14:schemeClr w14:val="tx1"/>
            </w14:solidFill>
          </w14:textFill>
        </w:rPr>
        <w:t>西山</w:t>
      </w:r>
      <w:r>
        <w:rPr>
          <w:rFonts w:hint="eastAsia"/>
          <w:color w:val="000000" w:themeColor="text1"/>
          <w14:textFill>
            <w14:solidFill>
              <w14:schemeClr w14:val="tx1"/>
            </w14:solidFill>
          </w14:textFill>
        </w:rPr>
        <w:t>较近，其施工噪声对其产生一定的影响。因此，施工单位在组织施工时，选用低噪声的设备，在施工场界做围挡措施，特别是村民住宅一侧应采取必要的隔声减噪措施（如设置施工围挡、移动式声屏障等措施），降低施工噪声对周边敏感点的影响，同时禁止夜间施工、避开午间休息时间，使噪声的影响降至最低程度。若确属施工工艺需要昼夜连续作业的，则应向标段所属生态环境局书面申请，说明具体路段、时段以及必须昼夜连续施工作业的理由，以获得夜间连续施工许可，获批并公示后，方可施工。</w:t>
      </w:r>
    </w:p>
    <w:p w14:paraId="3A2FD5F7">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运营期声环境影响分析</w:t>
      </w:r>
    </w:p>
    <w:p w14:paraId="62F6AD6D">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预测模式</w:t>
      </w:r>
    </w:p>
    <w:p w14:paraId="0593B79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根据拟建道路特点、沿线的环境特征，以及工程设计的交通量等因素，本评价采用《环境影响评价技术导则——公路建设项目》（</w:t>
      </w:r>
      <w:r>
        <w:rPr>
          <w:color w:val="000000" w:themeColor="text1"/>
          <w14:textFill>
            <w14:solidFill>
              <w14:schemeClr w14:val="tx1"/>
            </w14:solidFill>
          </w14:textFill>
        </w:rPr>
        <w:t>HJ1358—2024</w:t>
      </w:r>
      <w:r>
        <w:rPr>
          <w:rFonts w:hint="eastAsia"/>
          <w:color w:val="000000" w:themeColor="text1"/>
          <w14:textFill>
            <w14:solidFill>
              <w14:schemeClr w14:val="tx1"/>
            </w14:solidFill>
          </w14:textFill>
        </w:rPr>
        <w:t>）中的公路交通运输噪声预测模式进行预测。</w:t>
      </w:r>
    </w:p>
    <w:p w14:paraId="39F0123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第</w:t>
      </w:r>
      <w:r>
        <w:rPr>
          <w:rFonts w:eastAsia="Times New Roman"/>
          <w:color w:val="000000" w:themeColor="text1"/>
          <w14:textFill>
            <w14:solidFill>
              <w14:schemeClr w14:val="tx1"/>
            </w14:solidFill>
          </w14:textFill>
        </w:rPr>
        <w:t>i</w:t>
      </w:r>
      <w:r>
        <w:rPr>
          <w:color w:val="000000" w:themeColor="text1"/>
          <w14:textFill>
            <w14:solidFill>
              <w14:schemeClr w14:val="tx1"/>
            </w14:solidFill>
          </w14:textFill>
        </w:rPr>
        <w:t>类车等效声级的预测模式</w:t>
      </w:r>
    </w:p>
    <w:p w14:paraId="00A0224D">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363595" cy="418465"/>
            <wp:effectExtent l="0" t="0" r="0" b="63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23" cstate="email"/>
                    <a:stretch>
                      <a:fillRect/>
                    </a:stretch>
                  </pic:blipFill>
                  <pic:spPr>
                    <a:xfrm>
                      <a:off x="0" y="0"/>
                      <a:ext cx="3403992" cy="423716"/>
                    </a:xfrm>
                    <a:prstGeom prst="rect">
                      <a:avLst/>
                    </a:prstGeom>
                  </pic:spPr>
                </pic:pic>
              </a:graphicData>
            </a:graphic>
          </wp:inline>
        </w:drawing>
      </w:r>
    </w:p>
    <w:p w14:paraId="4A127B2F">
      <w:pPr>
        <w:widowControl/>
        <w:ind w:firstLine="480"/>
        <w:rPr>
          <w:snapToGrid w:val="0"/>
          <w:color w:val="000000" w:themeColor="text1"/>
          <w:kern w:val="0"/>
          <w:szCs w:val="21"/>
          <w14:textFill>
            <w14:solidFill>
              <w14:schemeClr w14:val="tx1"/>
            </w14:solidFill>
          </w14:textFill>
        </w:rPr>
      </w:pPr>
      <w:r>
        <w:rPr>
          <w:snapToGrid w:val="0"/>
          <w:color w:val="000000" w:themeColor="text1"/>
          <w:kern w:val="0"/>
          <w:szCs w:val="21"/>
          <w14:textFill>
            <w14:solidFill>
              <w14:schemeClr w14:val="tx1"/>
            </w14:solidFill>
          </w14:textFill>
        </w:rPr>
        <w:t>式中：</w:t>
      </w:r>
      <w:r>
        <w:rPr>
          <w:snapToGrid w:val="0"/>
          <w:color w:val="000000" w:themeColor="text1"/>
          <w:kern w:val="0"/>
          <w:szCs w:val="21"/>
          <w14:textFill>
            <w14:solidFill>
              <w14:schemeClr w14:val="tx1"/>
            </w14:solidFill>
          </w14:textFill>
        </w:rPr>
        <w:drawing>
          <wp:inline distT="0" distB="0" distL="0" distR="0">
            <wp:extent cx="336550" cy="179705"/>
            <wp:effectExtent l="0" t="0" r="635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noChangeArrowheads="1"/>
                    </pic:cNvPicPr>
                  </pic:nvPicPr>
                  <pic:blipFill>
                    <a:blip r:embed="rId124" cstate="email"/>
                    <a:srcRect/>
                    <a:stretch>
                      <a:fillRect/>
                    </a:stretch>
                  </pic:blipFill>
                  <pic:spPr>
                    <a:xfrm>
                      <a:off x="0" y="0"/>
                      <a:ext cx="336624" cy="180000"/>
                    </a:xfrm>
                    <a:prstGeom prst="rect">
                      <a:avLst/>
                    </a:prstGeom>
                    <a:noFill/>
                    <a:ln>
                      <a:noFill/>
                    </a:ln>
                  </pic:spPr>
                </pic:pic>
              </a:graphicData>
            </a:graphic>
          </wp:inline>
        </w:drawing>
      </w:r>
      <w:r>
        <w:rPr>
          <w:snapToGrid w:val="0"/>
          <w:color w:val="000000" w:themeColor="text1"/>
          <w:kern w:val="0"/>
          <w:szCs w:val="21"/>
          <w14:textFill>
            <w14:solidFill>
              <w14:schemeClr w14:val="tx1"/>
            </w14:solidFill>
          </w14:textFill>
        </w:rPr>
        <w:t xml:space="preserve"> ---第</w:t>
      </w:r>
      <w:r>
        <w:rPr>
          <w:i/>
          <w:iCs/>
          <w:snapToGrid w:val="0"/>
          <w:color w:val="000000" w:themeColor="text1"/>
          <w:kern w:val="0"/>
          <w:szCs w:val="21"/>
          <w14:textFill>
            <w14:solidFill>
              <w14:schemeClr w14:val="tx1"/>
            </w14:solidFill>
          </w14:textFill>
        </w:rPr>
        <w:t>i</w:t>
      </w:r>
      <w:r>
        <w:rPr>
          <w:snapToGrid w:val="0"/>
          <w:color w:val="000000" w:themeColor="text1"/>
          <w:kern w:val="0"/>
          <w:szCs w:val="21"/>
          <w14:textFill>
            <w14:solidFill>
              <w14:schemeClr w14:val="tx1"/>
            </w14:solidFill>
          </w14:textFill>
        </w:rPr>
        <w:t>类车的小时等效声级，dB(A)；</w:t>
      </w:r>
    </w:p>
    <w:p w14:paraId="36A06154">
      <w:pPr>
        <w:widowControl/>
        <w:ind w:firstLine="1200" w:firstLineChars="500"/>
        <w:rPr>
          <w:color w:val="000000" w:themeColor="text1"/>
          <w:szCs w:val="21"/>
          <w14:textFill>
            <w14:solidFill>
              <w14:schemeClr w14:val="tx1"/>
            </w14:solidFill>
          </w14:textFill>
        </w:rPr>
      </w:pPr>
      <w:r>
        <w:rPr>
          <w:color w:val="000000" w:themeColor="text1"/>
          <w14:textFill>
            <w14:solidFill>
              <w14:schemeClr w14:val="tx1"/>
            </w14:solidFill>
          </w14:textFill>
        </w:rPr>
        <w:drawing>
          <wp:inline distT="0" distB="0" distL="0" distR="0">
            <wp:extent cx="264795" cy="179705"/>
            <wp:effectExtent l="0" t="0" r="1905" b="0"/>
            <wp:docPr id="1622346468" name="图片 1622346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68" name="图片 1622346468"/>
                    <pic:cNvPicPr>
                      <a:picLocks noChangeAspect="1"/>
                    </pic:cNvPicPr>
                  </pic:nvPicPr>
                  <pic:blipFill>
                    <a:blip r:embed="rId125" cstate="email"/>
                    <a:stretch>
                      <a:fillRect/>
                    </a:stretch>
                  </pic:blipFill>
                  <pic:spPr>
                    <a:xfrm>
                      <a:off x="0" y="0"/>
                      <a:ext cx="265263" cy="180000"/>
                    </a:xfrm>
                    <a:prstGeom prst="rect">
                      <a:avLst/>
                    </a:prstGeom>
                  </pic:spPr>
                </pic:pic>
              </a:graphicData>
            </a:graphic>
          </wp:inline>
        </w:drawing>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距第 </w:t>
      </w:r>
      <w:r>
        <w:rPr>
          <w:rFonts w:hint="eastAsia"/>
          <w:i/>
          <w:iCs/>
          <w:color w:val="000000" w:themeColor="text1"/>
          <w:szCs w:val="21"/>
          <w14:textFill>
            <w14:solidFill>
              <w14:schemeClr w14:val="tx1"/>
            </w14:solidFill>
          </w14:textFill>
        </w:rPr>
        <w:t xml:space="preserve">i </w:t>
      </w:r>
      <w:r>
        <w:rPr>
          <w:rFonts w:hint="eastAsia"/>
          <w:color w:val="000000" w:themeColor="text1"/>
          <w:szCs w:val="21"/>
          <w14:textFill>
            <w14:solidFill>
              <w14:schemeClr w14:val="tx1"/>
            </w14:solidFill>
          </w14:textFill>
        </w:rPr>
        <w:t>类车水平距离为 7.5m 处的平均辐射噪声级，dB(A)；</w:t>
      </w:r>
    </w:p>
    <w:p w14:paraId="3CB6E8AD">
      <w:pPr>
        <w:widowControl/>
        <w:ind w:firstLine="1200" w:firstLineChars="500"/>
        <w:rPr>
          <w:color w:val="000000" w:themeColor="text1"/>
          <w:szCs w:val="21"/>
          <w14:textFill>
            <w14:solidFill>
              <w14:schemeClr w14:val="tx1"/>
            </w14:solidFill>
          </w14:textFill>
        </w:rPr>
      </w:pPr>
      <w:r>
        <w:rPr>
          <w:i/>
          <w:iCs/>
          <w:color w:val="000000" w:themeColor="text1"/>
          <w14:textFill>
            <w14:solidFill>
              <w14:schemeClr w14:val="tx1"/>
            </w14:solidFill>
          </w14:textFill>
        </w:rPr>
        <w:t>N</w:t>
      </w:r>
      <w:r>
        <w:rPr>
          <w:i/>
          <w:iCs/>
          <w:color w:val="000000" w:themeColor="text1"/>
          <w:vertAlign w:val="subscript"/>
          <w14:textFill>
            <w14:solidFill>
              <w14:schemeClr w14:val="tx1"/>
            </w14:solidFill>
          </w14:textFill>
        </w:rPr>
        <w:t xml:space="preserve">i </w:t>
      </w:r>
      <w:r>
        <w:rPr>
          <w:color w:val="000000" w:themeColor="text1"/>
          <w14:textFill>
            <w14:solidFill>
              <w14:schemeClr w14:val="tx1"/>
            </w14:solidFill>
          </w14:textFill>
        </w:rPr>
        <w:t>——昼间、夜间通过某预测点的第 i 类车平均小时车流量，辆/h</w:t>
      </w:r>
      <w:r>
        <w:rPr>
          <w:rFonts w:hint="eastAsia"/>
          <w:color w:val="000000" w:themeColor="text1"/>
          <w14:textFill>
            <w14:solidFill>
              <w14:schemeClr w14:val="tx1"/>
            </w14:solidFill>
          </w14:textFill>
        </w:rPr>
        <w:t>；</w:t>
      </w:r>
    </w:p>
    <w:p w14:paraId="6F581D83">
      <w:pPr>
        <w:widowControl/>
        <w:ind w:firstLine="1200" w:firstLineChars="500"/>
        <w:rPr>
          <w:color w:val="000000" w:themeColor="text1"/>
          <w:szCs w:val="21"/>
          <w14:textFill>
            <w14:solidFill>
              <w14:schemeClr w14:val="tx1"/>
            </w14:solidFill>
          </w14:textFill>
        </w:rPr>
      </w:pPr>
      <w:r>
        <w:rPr>
          <w:rFonts w:hint="eastAsia"/>
          <w:i/>
          <w:iCs/>
          <w:color w:val="000000" w:themeColor="text1"/>
          <w:szCs w:val="21"/>
          <w14:textFill>
            <w14:solidFill>
              <w14:schemeClr w14:val="tx1"/>
            </w14:solidFill>
          </w14:textFill>
        </w:rPr>
        <w:t>V</w:t>
      </w:r>
      <w:r>
        <w:rPr>
          <w:rFonts w:hint="eastAsia"/>
          <w:i/>
          <w:iCs/>
          <w:color w:val="000000" w:themeColor="text1"/>
          <w:szCs w:val="21"/>
          <w:vertAlign w:val="subscript"/>
          <w14:textFill>
            <w14:solidFill>
              <w14:schemeClr w14:val="tx1"/>
            </w14:solidFill>
          </w14:textFill>
        </w:rPr>
        <w:t>i</w:t>
      </w:r>
      <w:r>
        <w:rPr>
          <w:rFonts w:hint="eastAsia"/>
          <w:i/>
          <w:iCs/>
          <w:color w:val="000000" w:themeColor="text1"/>
          <w:szCs w:val="21"/>
          <w14:textFill>
            <w14:solidFill>
              <w14:schemeClr w14:val="tx1"/>
            </w14:solidFill>
          </w14:textFill>
        </w:rPr>
        <w:t xml:space="preserve"> </w:t>
      </w:r>
      <w:r>
        <w:rPr>
          <w:i/>
          <w:iCs/>
          <w:color w:val="000000" w:themeColor="text1"/>
          <w:vertAlign w:val="subscript"/>
          <w14:textFill>
            <w14:solidFill>
              <w14:schemeClr w14:val="tx1"/>
            </w14:solidFill>
          </w14:textFill>
        </w:rPr>
        <w:t xml:space="preserve"> </w:t>
      </w:r>
      <w:r>
        <w:rPr>
          <w:color w:val="000000" w:themeColor="text1"/>
          <w14:textFill>
            <w14:solidFill>
              <w14:schemeClr w14:val="tx1"/>
            </w14:solidFill>
          </w14:textFill>
        </w:rPr>
        <w:t>——</w:t>
      </w:r>
      <w:r>
        <w:rPr>
          <w:rFonts w:hint="eastAsia"/>
          <w:color w:val="000000" w:themeColor="text1"/>
          <w:szCs w:val="21"/>
          <w14:textFill>
            <w14:solidFill>
              <w14:schemeClr w14:val="tx1"/>
            </w14:solidFill>
          </w14:textFill>
        </w:rPr>
        <w:t xml:space="preserve">第 </w:t>
      </w:r>
      <w:r>
        <w:rPr>
          <w:rFonts w:hint="eastAsia"/>
          <w:i/>
          <w:iCs/>
          <w:color w:val="000000" w:themeColor="text1"/>
          <w:szCs w:val="21"/>
          <w14:textFill>
            <w14:solidFill>
              <w14:schemeClr w14:val="tx1"/>
            </w14:solidFill>
          </w14:textFill>
        </w:rPr>
        <w:t>i</w:t>
      </w:r>
      <w:r>
        <w:rPr>
          <w:rFonts w:hint="eastAsia"/>
          <w:color w:val="000000" w:themeColor="text1"/>
          <w:szCs w:val="21"/>
          <w14:textFill>
            <w14:solidFill>
              <w14:schemeClr w14:val="tx1"/>
            </w14:solidFill>
          </w14:textFill>
        </w:rPr>
        <w:t xml:space="preserve"> 类车的平均车速，km/h；</w:t>
      </w:r>
    </w:p>
    <w:p w14:paraId="6E2356E3">
      <w:pPr>
        <w:widowControl/>
        <w:ind w:firstLine="1200" w:firstLineChars="500"/>
        <w:rPr>
          <w:color w:val="000000" w:themeColor="text1"/>
          <w:szCs w:val="21"/>
          <w14:textFill>
            <w14:solidFill>
              <w14:schemeClr w14:val="tx1"/>
            </w14:solidFill>
          </w14:textFill>
        </w:rPr>
      </w:pPr>
      <w:r>
        <w:rPr>
          <w:color w:val="000000" w:themeColor="text1"/>
          <w:szCs w:val="21"/>
          <w14:textFill>
            <w14:solidFill>
              <w14:schemeClr w14:val="tx1"/>
            </w14:solidFill>
          </w14:textFill>
        </w:rPr>
        <w:t>T</w:t>
      </w:r>
      <w:r>
        <w:rPr>
          <w:i/>
          <w:iCs/>
          <w:color w:val="000000" w:themeColor="text1"/>
          <w:vertAlign w:val="subscript"/>
          <w14:textFill>
            <w14:solidFill>
              <w14:schemeClr w14:val="tx1"/>
            </w14:solidFill>
          </w14:textFill>
        </w:rPr>
        <w:t xml:space="preserve"> </w:t>
      </w:r>
      <w:r>
        <w:rPr>
          <w:color w:val="000000" w:themeColor="text1"/>
          <w14:textFill>
            <w14:solidFill>
              <w14:schemeClr w14:val="tx1"/>
            </w14:solidFill>
          </w14:textFill>
        </w:rPr>
        <w:t>——</w:t>
      </w:r>
      <w:r>
        <w:rPr>
          <w:rFonts w:hint="eastAsia"/>
          <w:color w:val="000000" w:themeColor="text1"/>
          <w:szCs w:val="21"/>
          <w14:textFill>
            <w14:solidFill>
              <w14:schemeClr w14:val="tx1"/>
            </w14:solidFill>
          </w14:textFill>
        </w:rPr>
        <w:t>计算等效声级的时间，</w:t>
      </w:r>
      <w:r>
        <w:rPr>
          <w:color w:val="000000" w:themeColor="text1"/>
          <w:szCs w:val="21"/>
          <w14:textFill>
            <w14:solidFill>
              <w14:schemeClr w14:val="tx1"/>
            </w14:solidFill>
          </w14:textFill>
        </w:rPr>
        <w:t>1h</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w:t>
      </w:r>
    </w:p>
    <w:p w14:paraId="6AA53F65">
      <w:pPr>
        <w:widowControl/>
        <w:ind w:firstLine="1200" w:firstLineChars="500"/>
        <w:rPr>
          <w:color w:val="000000" w:themeColor="text1"/>
          <w14:textFill>
            <w14:solidFill>
              <w14:schemeClr w14:val="tx1"/>
            </w14:solidFill>
          </w14:textFill>
        </w:rPr>
      </w:pP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距离</w:t>
      </w:r>
      <w:r>
        <w:rPr>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距离衰减量，</w:t>
      </w:r>
      <w:r>
        <w:rPr>
          <w:color w:val="000000" w:themeColor="text1"/>
          <w:szCs w:val="21"/>
          <w14:textFill>
            <w14:solidFill>
              <w14:schemeClr w14:val="tx1"/>
            </w14:solidFill>
          </w14:textFill>
        </w:rPr>
        <w:t>dB(A)</w:t>
      </w:r>
      <w:r>
        <w:rPr>
          <w:rFonts w:hint="eastAsia"/>
          <w:color w:val="000000" w:themeColor="text1"/>
          <w:szCs w:val="21"/>
          <w14:textFill>
            <w14:solidFill>
              <w14:schemeClr w14:val="tx1"/>
            </w14:solidFill>
          </w14:textFill>
        </w:rPr>
        <w:t>；距离衰减量，dB(A)，</w:t>
      </w:r>
      <w:bookmarkStart w:id="704" w:name="hmcheck_13e68435ad794ea9afb42b830d913cfd"/>
      <w:r>
        <w:rPr>
          <w:rFonts w:hint="eastAsia"/>
          <w:color w:val="000000" w:themeColor="text1"/>
          <w:shd w:val="clear" w:fill="FFAFAA"/>
          <w14:textFill>
            <w14:solidFill>
              <w14:schemeClr w14:val="tx1"/>
            </w14:solidFill>
          </w14:textFill>
        </w:rPr>
        <w:t>N</w:t>
      </w:r>
      <w:r>
        <w:rPr>
          <w:rFonts w:hint="eastAsia"/>
          <w:color w:val="000000" w:themeColor="text1"/>
          <w:shd w:val="clear" w:fill="FFAFAA"/>
          <w:vertAlign w:val="subscript"/>
          <w14:textFill>
            <w14:solidFill>
              <w14:schemeClr w14:val="tx1"/>
            </w14:solidFill>
          </w14:textFill>
        </w:rPr>
        <w:t>max</w:t>
      </w:r>
      <w:bookmarkEnd w:id="704"/>
      <w:r>
        <w:rPr>
          <w:rFonts w:hint="eastAsia"/>
          <w:color w:val="000000" w:themeColor="text1"/>
          <w:szCs w:val="21"/>
          <w14:textFill>
            <w14:solidFill>
              <w14:schemeClr w14:val="tx1"/>
            </w14:solidFill>
          </w14:textFill>
        </w:rPr>
        <w:t>小时车流量大于等于300 辆/小时：</w:t>
      </w: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距离</w:t>
      </w:r>
      <w:r>
        <w:rPr>
          <w:color w:val="000000" w:themeColor="text1"/>
          <w:szCs w:val="21"/>
          <w14:textFill>
            <w14:solidFill>
              <w14:schemeClr w14:val="tx1"/>
            </w14:solidFill>
          </w14:textFill>
        </w:rPr>
        <w:t>=10lg 7.5/L</w:t>
      </w:r>
      <w:r>
        <w:rPr>
          <w:color w:val="000000" w:themeColor="text1"/>
          <w:szCs w:val="21"/>
          <w:vertAlign w:val="subscript"/>
          <w14:textFill>
            <w14:solidFill>
              <w14:schemeClr w14:val="tx1"/>
            </w14:solidFill>
          </w14:textFill>
        </w:rPr>
        <w:t>r</w:t>
      </w:r>
      <w:r>
        <w:rPr>
          <w:rFonts w:hint="eastAsia"/>
          <w:color w:val="000000" w:themeColor="text1"/>
          <w:szCs w:val="21"/>
          <w14:textFill>
            <w14:solidFill>
              <w14:schemeClr w14:val="tx1"/>
            </w14:solidFill>
          </w14:textFill>
        </w:rPr>
        <w:t>，</w:t>
      </w:r>
      <w:bookmarkStart w:id="705" w:name="hmcheck_b99dcb7904ff4a66828844ce236813b5"/>
      <w:r>
        <w:rPr>
          <w:rFonts w:hint="eastAsia"/>
          <w:color w:val="000000" w:themeColor="text1"/>
          <w:shd w:val="clear" w:fill="FFAFAA"/>
          <w14:textFill>
            <w14:solidFill>
              <w14:schemeClr w14:val="tx1"/>
            </w14:solidFill>
          </w14:textFill>
        </w:rPr>
        <w:t>N</w:t>
      </w:r>
      <w:r>
        <w:rPr>
          <w:rFonts w:hint="eastAsia"/>
          <w:color w:val="000000" w:themeColor="text1"/>
          <w:shd w:val="clear" w:fill="FFAFAA"/>
          <w:vertAlign w:val="subscript"/>
          <w14:textFill>
            <w14:solidFill>
              <w14:schemeClr w14:val="tx1"/>
            </w14:solidFill>
          </w14:textFill>
        </w:rPr>
        <w:t>max</w:t>
      </w:r>
      <w:bookmarkEnd w:id="705"/>
      <w:r>
        <w:rPr>
          <w:rFonts w:hint="eastAsia"/>
          <w:color w:val="000000" w:themeColor="text1"/>
          <w:szCs w:val="21"/>
          <w14:textFill>
            <w14:solidFill>
              <w14:schemeClr w14:val="tx1"/>
            </w14:solidFill>
          </w14:textFill>
        </w:rPr>
        <w:t>小时车流量小于300 辆/小时：</w:t>
      </w:r>
      <w:r>
        <w:rPr>
          <w:color w:val="000000" w:themeColor="text1"/>
          <w:szCs w:val="21"/>
          <w14:textFill>
            <w14:solidFill>
              <w14:schemeClr w14:val="tx1"/>
            </w14:solidFill>
          </w14:textFill>
        </w:rPr>
        <w:t xml:space="preserve"> </w:t>
      </w:r>
      <w:r>
        <w:rPr>
          <w:color w:val="000000" w:themeColor="text1"/>
          <w14:textFill>
            <w14:solidFill>
              <w14:schemeClr w14:val="tx1"/>
            </w14:solidFill>
          </w14:textFill>
        </w:rPr>
        <w:t>ΔL</w:t>
      </w:r>
      <w:r>
        <w:rPr>
          <w:rFonts w:hint="eastAsia"/>
          <w:color w:val="000000" w:themeColor="text1"/>
          <w:szCs w:val="21"/>
          <w:vertAlign w:val="subscript"/>
          <w14:textFill>
            <w14:solidFill>
              <w14:schemeClr w14:val="tx1"/>
            </w14:solidFill>
          </w14:textFill>
        </w:rPr>
        <w:t>距离</w:t>
      </w:r>
      <w:r>
        <w:rPr>
          <w:color w:val="000000" w:themeColor="text1"/>
          <w:szCs w:val="21"/>
          <w14:textFill>
            <w14:solidFill>
              <w14:schemeClr w14:val="tx1"/>
            </w14:solidFill>
          </w14:textFill>
        </w:rPr>
        <w:t>=15lg 7.5/L</w:t>
      </w:r>
      <w:r>
        <w:rPr>
          <w:color w:val="000000" w:themeColor="text1"/>
          <w:szCs w:val="21"/>
          <w:vertAlign w:val="subscript"/>
          <w14:textFill>
            <w14:solidFill>
              <w14:schemeClr w14:val="tx1"/>
            </w14:solidFill>
          </w14:textFill>
        </w:rPr>
        <w:t>r</w:t>
      </w:r>
      <w:r>
        <w:rPr>
          <w:color w:val="000000" w:themeColor="text1"/>
          <w14:textFill>
            <w14:solidFill>
              <w14:schemeClr w14:val="tx1"/>
            </w14:solidFill>
          </w14:textFill>
        </w:rPr>
        <w:t>；</w:t>
      </w:r>
      <w:bookmarkStart w:id="706" w:name="hmcheck_4dfa3080d2eb4c8db432b977ec0ed3fb"/>
      <w:r>
        <w:rPr>
          <w:rFonts w:hint="eastAsia"/>
          <w:color w:val="000000" w:themeColor="text1"/>
          <w:shd w:val="clear" w:fill="FFAFAA"/>
          <w14:textFill>
            <w14:solidFill>
              <w14:schemeClr w14:val="tx1"/>
            </w14:solidFill>
          </w14:textFill>
        </w:rPr>
        <w:t>N</w:t>
      </w:r>
      <w:r>
        <w:rPr>
          <w:rFonts w:hint="eastAsia"/>
          <w:color w:val="000000" w:themeColor="text1"/>
          <w:shd w:val="clear" w:fill="FFAFAA"/>
          <w:vertAlign w:val="subscript"/>
          <w14:textFill>
            <w14:solidFill>
              <w14:schemeClr w14:val="tx1"/>
            </w14:solidFill>
          </w14:textFill>
        </w:rPr>
        <w:t>max</w:t>
      </w:r>
      <w:bookmarkEnd w:id="706"/>
      <w:r>
        <w:rPr>
          <w:rFonts w:hint="eastAsia"/>
          <w:color w:val="000000" w:themeColor="text1"/>
          <w14:textFill>
            <w14:solidFill>
              <w14:schemeClr w14:val="tx1"/>
            </w14:solidFill>
          </w14:textFill>
        </w:rPr>
        <w:t>——最大平均小时车流量，辆/h ，同一个公路建设项目采用同一个值，取公路运营期各代表年份、各路段平均小时车流量中的最大值。</w:t>
      </w:r>
    </w:p>
    <w:p w14:paraId="764488C0">
      <w:pPr>
        <w:widowControl/>
        <w:ind w:firstLine="1200" w:firstLineChars="500"/>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θ</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预测点到有限长路段两端的张角，弧度，见</w:t>
      </w:r>
      <w:r>
        <w:rPr>
          <w:color w:val="000000" w:themeColor="text1"/>
          <w:szCs w:val="21"/>
          <w14:textFill>
            <w14:solidFill>
              <w14:schemeClr w14:val="tx1"/>
            </w14:solidFill>
          </w14:textFill>
        </w:rPr>
        <w:fldChar w:fldCharType="begin"/>
      </w:r>
      <w:r>
        <w:rPr>
          <w:color w:val="000000" w:themeColor="text1"/>
          <w:szCs w:val="21"/>
          <w14:textFill>
            <w14:solidFill>
              <w14:schemeClr w14:val="tx1"/>
            </w14:solidFill>
          </w14:textFill>
        </w:rPr>
        <w:instrText xml:space="preserve"> </w:instrText>
      </w:r>
      <w:r>
        <w:rPr>
          <w:rFonts w:hint="eastAsia"/>
          <w:color w:val="000000" w:themeColor="text1"/>
          <w:szCs w:val="21"/>
          <w14:textFill>
            <w14:solidFill>
              <w14:schemeClr w14:val="tx1"/>
            </w14:solidFill>
          </w14:textFill>
        </w:rPr>
        <w:instrText xml:space="preserve">REF _Ref177218758 \r \h</w:instrText>
      </w:r>
      <w:r>
        <w:rPr>
          <w:color w:val="000000" w:themeColor="text1"/>
          <w:szCs w:val="21"/>
          <w14:textFill>
            <w14:solidFill>
              <w14:schemeClr w14:val="tx1"/>
            </w14:solidFill>
          </w14:textFill>
        </w:rPr>
        <w:instrText xml:space="preserve"> </w:instrText>
      </w:r>
      <w:r>
        <w:rPr>
          <w:color w:val="000000" w:themeColor="text1"/>
          <w:szCs w:val="21"/>
          <w14:textFill>
            <w14:solidFill>
              <w14:schemeClr w14:val="tx1"/>
            </w14:solidFill>
          </w14:textFill>
        </w:rPr>
        <w:fldChar w:fldCharType="separate"/>
      </w:r>
      <w:r>
        <w:rPr>
          <w:rFonts w:hint="eastAsia"/>
          <w:color w:val="000000" w:themeColor="text1"/>
          <w:szCs w:val="21"/>
          <w14:textFill>
            <w14:solidFill>
              <w14:schemeClr w14:val="tx1"/>
            </w14:solidFill>
          </w14:textFill>
        </w:rPr>
        <w:t>图5.4-1</w:t>
      </w:r>
      <w:r>
        <w:rPr>
          <w:color w:val="000000" w:themeColor="text1"/>
          <w:szCs w:val="21"/>
          <w14:textFill>
            <w14:solidFill>
              <w14:schemeClr w14:val="tx1"/>
            </w14:solidFill>
          </w14:textFill>
        </w:rPr>
        <w:fldChar w:fldCharType="end"/>
      </w:r>
      <w:r>
        <w:rPr>
          <w:rFonts w:hint="eastAsia"/>
          <w:color w:val="000000" w:themeColor="text1"/>
          <w:szCs w:val="21"/>
          <w14:textFill>
            <w14:solidFill>
              <w14:schemeClr w14:val="tx1"/>
            </w14:solidFill>
          </w14:textFill>
        </w:rPr>
        <w:t>；</w:t>
      </w:r>
    </w:p>
    <w:p w14:paraId="7D6EF2C2">
      <w:pPr>
        <w:pStyle w:val="105"/>
        <w:jc w:val="center"/>
        <w:rPr>
          <w:color w:val="000000" w:themeColor="text1"/>
          <w:szCs w:val="21"/>
          <w14:textFill>
            <w14:solidFill>
              <w14:schemeClr w14:val="tx1"/>
            </w14:solidFill>
          </w14:textFill>
        </w:rPr>
      </w:pPr>
      <w:r>
        <w:rPr>
          <w:color w:val="000000" w:themeColor="text1"/>
          <w14:textFill>
            <w14:solidFill>
              <w14:schemeClr w14:val="tx1"/>
            </w14:solidFill>
          </w14:textFill>
        </w:rPr>
        <w:drawing>
          <wp:inline distT="0" distB="0" distL="0" distR="0">
            <wp:extent cx="5055870" cy="1151255"/>
            <wp:effectExtent l="0" t="0" r="0" b="0"/>
            <wp:docPr id="1622346482" name="图片 1622346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82" name="图片 1622346482"/>
                    <pic:cNvPicPr>
                      <a:picLocks noChangeAspect="1"/>
                    </pic:cNvPicPr>
                  </pic:nvPicPr>
                  <pic:blipFill>
                    <a:blip r:embed="rId126" cstate="email"/>
                    <a:stretch>
                      <a:fillRect/>
                    </a:stretch>
                  </pic:blipFill>
                  <pic:spPr>
                    <a:xfrm>
                      <a:off x="0" y="0"/>
                      <a:ext cx="5073634" cy="1155692"/>
                    </a:xfrm>
                    <a:prstGeom prst="rect">
                      <a:avLst/>
                    </a:prstGeom>
                  </pic:spPr>
                </pic:pic>
              </a:graphicData>
            </a:graphic>
          </wp:inline>
        </w:drawing>
      </w:r>
    </w:p>
    <w:p w14:paraId="314BCA2D">
      <w:pPr>
        <w:pStyle w:val="122"/>
        <w:rPr>
          <w:color w:val="000000" w:themeColor="text1"/>
          <w14:textFill>
            <w14:solidFill>
              <w14:schemeClr w14:val="tx1"/>
            </w14:solidFill>
          </w14:textFill>
        </w:rPr>
      </w:pPr>
      <w:bookmarkStart w:id="707" w:name="_Ref177218758"/>
      <w:r>
        <w:rPr>
          <w:rFonts w:hint="eastAsia"/>
          <w:color w:val="000000" w:themeColor="text1"/>
          <w14:textFill>
            <w14:solidFill>
              <w14:schemeClr w14:val="tx1"/>
            </w14:solidFill>
          </w14:textFill>
        </w:rPr>
        <w:t>预测点到有限长路段两端的</w:t>
      </w:r>
      <w:bookmarkStart w:id="708" w:name="hmcheck_fb605df7cd844225916a95b3ebaaa1df"/>
      <w:r>
        <w:rPr>
          <w:rFonts w:hint="eastAsia"/>
          <w:color w:val="000000" w:themeColor="text1"/>
          <w:shd w:val="clear" w:fill="FFAFAA"/>
          <w14:textFill>
            <w14:solidFill>
              <w14:schemeClr w14:val="tx1"/>
            </w14:solidFill>
          </w14:textFill>
        </w:rPr>
        <w:t>张角</w:t>
      </w:r>
      <w:bookmarkEnd w:id="707"/>
      <w:bookmarkEnd w:id="708"/>
    </w:p>
    <w:p w14:paraId="5C55A858">
      <w:pPr>
        <w:ind w:firstLine="1200" w:firstLineChars="500"/>
        <w:rPr>
          <w:rFonts w:cs="Times New Roman"/>
          <w:color w:val="000000" w:themeColor="text1"/>
          <w:szCs w:val="21"/>
          <w14:textFill>
            <w14:solidFill>
              <w14:schemeClr w14:val="tx1"/>
            </w14:solidFill>
          </w14:textFill>
        </w:rPr>
      </w:pPr>
      <w:r>
        <w:rPr>
          <w:rFonts w:eastAsia="微软雅黑" w:cs="Times New Roman"/>
          <w:color w:val="000000" w:themeColor="text1"/>
          <w14:textFill>
            <w14:solidFill>
              <w14:schemeClr w14:val="tx1"/>
            </w14:solidFill>
          </w14:textFill>
        </w:rPr>
        <w:t>∆</w:t>
      </w:r>
      <w:r>
        <w:rPr>
          <w:rFonts w:cs="Times New Roman"/>
          <w:color w:val="000000" w:themeColor="text1"/>
          <w14:textFill>
            <w14:solidFill>
              <w14:schemeClr w14:val="tx1"/>
            </w14:solidFill>
          </w14:textFill>
        </w:rPr>
        <w:t>L ——</w:t>
      </w:r>
      <w:r>
        <w:rPr>
          <w:rFonts w:hint="eastAsia" w:cs="Times New Roman"/>
          <w:color w:val="000000" w:themeColor="text1"/>
          <w14:textFill>
            <w14:solidFill>
              <w14:schemeClr w14:val="tx1"/>
            </w14:solidFill>
          </w14:textFill>
        </w:rPr>
        <w:t>由其他</w:t>
      </w:r>
      <w:r>
        <w:rPr>
          <w:rFonts w:cs="Times New Roman"/>
          <w:color w:val="000000" w:themeColor="text1"/>
          <w14:textFill>
            <w14:solidFill>
              <w14:schemeClr w14:val="tx1"/>
            </w14:solidFill>
          </w14:textFill>
        </w:rPr>
        <w:t>因素引起的修正量，dB(A)</w:t>
      </w:r>
      <w:r>
        <w:rPr>
          <w:rFonts w:cs="Times New Roman"/>
          <w:color w:val="000000" w:themeColor="text1"/>
          <w:szCs w:val="21"/>
          <w14:textFill>
            <w14:solidFill>
              <w14:schemeClr w14:val="tx1"/>
            </w14:solidFill>
          </w14:textFill>
        </w:rPr>
        <w:t>，可按下式计算：</w:t>
      </w:r>
    </w:p>
    <w:p w14:paraId="61DDF2F7">
      <w:pPr>
        <w:autoSpaceDE w:val="0"/>
        <w:autoSpaceDN w:val="0"/>
        <w:ind w:firstLine="1920" w:firstLineChars="800"/>
        <w:jc w:val="left"/>
        <w:rPr>
          <w:color w:val="000000" w:themeColor="text1"/>
          <w14:textFill>
            <w14:solidFill>
              <w14:schemeClr w14:val="tx1"/>
            </w14:solidFill>
          </w14:textFill>
        </w:rPr>
      </w:pPr>
      <w:r>
        <w:rPr>
          <w:color w:val="000000" w:themeColor="text1"/>
          <w14:textFill>
            <w14:solidFill>
              <w14:schemeClr w14:val="tx1"/>
            </w14:solidFill>
          </w14:textFill>
        </w:rPr>
        <w:t>ΔL=ΔL</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2</w:t>
      </w:r>
    </w:p>
    <w:p w14:paraId="414EE2AB">
      <w:pPr>
        <w:autoSpaceDE w:val="0"/>
        <w:autoSpaceDN w:val="0"/>
        <w:ind w:firstLine="1920" w:firstLineChars="800"/>
        <w:jc w:val="left"/>
        <w:rPr>
          <w:color w:val="000000" w:themeColor="text1"/>
          <w14:textFill>
            <w14:solidFill>
              <w14:schemeClr w14:val="tx1"/>
            </w14:solidFill>
          </w14:textFill>
        </w:rPr>
      </w:pP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坡度</w:t>
      </w: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路面</w:t>
      </w:r>
    </w:p>
    <w:p w14:paraId="55C75EED">
      <w:pPr>
        <w:autoSpaceDE w:val="0"/>
        <w:autoSpaceDN w:val="0"/>
        <w:ind w:firstLine="1920" w:firstLineChars="800"/>
        <w:jc w:val="left"/>
        <w:rPr>
          <w:color w:val="000000" w:themeColor="text1"/>
          <w14:textFill>
            <w14:solidFill>
              <w14:schemeClr w14:val="tx1"/>
            </w14:solidFill>
          </w14:textFill>
        </w:rPr>
      </w:pP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w:t>
      </w:r>
      <w:bookmarkStart w:id="709" w:name="hmcheck_0510fc259a5f403eb63afc9ce319ce35"/>
      <w:r>
        <w:rPr>
          <w:color w:val="000000" w:themeColor="text1"/>
          <w:shd w:val="clear" w:fill="FFAFAA"/>
          <w14:textFill>
            <w14:solidFill>
              <w14:schemeClr w14:val="tx1"/>
            </w14:solidFill>
          </w14:textFill>
        </w:rPr>
        <w:t>A</w:t>
      </w:r>
      <w:r>
        <w:rPr>
          <w:color w:val="000000" w:themeColor="text1"/>
          <w:shd w:val="clear" w:fill="FFAFAA"/>
          <w:vertAlign w:val="subscript"/>
          <w14:textFill>
            <w14:solidFill>
              <w14:schemeClr w14:val="tx1"/>
            </w14:solidFill>
          </w14:textFill>
        </w:rPr>
        <w:t>atm</w:t>
      </w:r>
      <w:bookmarkEnd w:id="709"/>
      <w:r>
        <w:rPr>
          <w:color w:val="000000" w:themeColor="text1"/>
          <w14:textFill>
            <w14:solidFill>
              <w14:schemeClr w14:val="tx1"/>
            </w14:solidFill>
          </w14:textFill>
        </w:rPr>
        <w:t>+A</w:t>
      </w:r>
      <w:r>
        <w:rPr>
          <w:color w:val="000000" w:themeColor="text1"/>
          <w:vertAlign w:val="subscript"/>
          <w14:textFill>
            <w14:solidFill>
              <w14:schemeClr w14:val="tx1"/>
            </w14:solidFill>
          </w14:textFill>
        </w:rPr>
        <w:t>gr</w:t>
      </w:r>
      <w:r>
        <w:rPr>
          <w:color w:val="000000" w:themeColor="text1"/>
          <w14:textFill>
            <w14:solidFill>
              <w14:schemeClr w14:val="tx1"/>
            </w14:solidFill>
          </w14:textFill>
        </w:rPr>
        <w:t>+</w:t>
      </w:r>
      <w:bookmarkStart w:id="710" w:name="hmcheck_b67c7f8709624f9d95ecec44a12c99c8"/>
      <w:r>
        <w:rPr>
          <w:color w:val="000000" w:themeColor="text1"/>
          <w:shd w:val="clear" w:fill="FFAFAA"/>
          <w14:textFill>
            <w14:solidFill>
              <w14:schemeClr w14:val="tx1"/>
            </w14:solidFill>
          </w14:textFill>
        </w:rPr>
        <w:t>A</w:t>
      </w:r>
      <w:r>
        <w:rPr>
          <w:color w:val="000000" w:themeColor="text1"/>
          <w:shd w:val="clear" w:fill="FFAFAA"/>
          <w:vertAlign w:val="subscript"/>
          <w14:textFill>
            <w14:solidFill>
              <w14:schemeClr w14:val="tx1"/>
            </w14:solidFill>
          </w14:textFill>
        </w:rPr>
        <w:t>bar</w:t>
      </w:r>
      <w:bookmarkEnd w:id="710"/>
      <w:r>
        <w:rPr>
          <w:color w:val="000000" w:themeColor="text1"/>
          <w14:textFill>
            <w14:solidFill>
              <w14:schemeClr w14:val="tx1"/>
            </w14:solidFill>
          </w14:textFill>
        </w:rPr>
        <w:t>+</w:t>
      </w:r>
      <w:bookmarkStart w:id="711" w:name="hmcheck_52ba984566644e46a671f5a3cf42d816"/>
      <w:r>
        <w:rPr>
          <w:color w:val="000000" w:themeColor="text1"/>
          <w:shd w:val="clear" w:fill="FFAFAA"/>
          <w14:textFill>
            <w14:solidFill>
              <w14:schemeClr w14:val="tx1"/>
            </w14:solidFill>
          </w14:textFill>
        </w:rPr>
        <w:t>A</w:t>
      </w:r>
      <w:r>
        <w:rPr>
          <w:rFonts w:hint="eastAsia"/>
          <w:color w:val="000000" w:themeColor="text1"/>
          <w:shd w:val="clear" w:fill="FFAFAA"/>
          <w:vertAlign w:val="subscript"/>
          <w14:textFill>
            <w14:solidFill>
              <w14:schemeClr w14:val="tx1"/>
            </w14:solidFill>
          </w14:textFill>
        </w:rPr>
        <w:t>fol</w:t>
      </w:r>
      <w:bookmarkEnd w:id="711"/>
    </w:p>
    <w:p w14:paraId="02BBAB60">
      <w:pPr>
        <w:ind w:firstLine="480"/>
        <w:rPr>
          <w:color w:val="000000" w:themeColor="text1"/>
          <w14:textFill>
            <w14:solidFill>
              <w14:schemeClr w14:val="tx1"/>
            </w14:solidFill>
          </w14:textFill>
        </w:rPr>
      </w:pPr>
      <w:r>
        <w:rPr>
          <w:color w:val="000000" w:themeColor="text1"/>
          <w14:textFill>
            <w14:solidFill>
              <w14:schemeClr w14:val="tx1"/>
            </w14:solidFill>
          </w14:textFill>
        </w:rPr>
        <w:t>式中：ΔL</w:t>
      </w:r>
      <w:r>
        <w:rPr>
          <w:color w:val="000000" w:themeColor="text1"/>
          <w:vertAlign w:val="subscript"/>
          <w14:textFill>
            <w14:solidFill>
              <w14:schemeClr w14:val="tx1"/>
            </w14:solidFill>
          </w14:textFill>
        </w:rPr>
        <w:t>1</w:t>
      </w:r>
      <w:r>
        <w:rPr>
          <w:color w:val="000000" w:themeColor="text1"/>
          <w14:textFill>
            <w14:solidFill>
              <w14:schemeClr w14:val="tx1"/>
            </w14:solidFill>
          </w14:textFill>
        </w:rPr>
        <w:t>—线路因素引起的修正量，dB（A）；</w:t>
      </w:r>
    </w:p>
    <w:p w14:paraId="693A7CA9">
      <w:pPr>
        <w:ind w:firstLine="1200" w:firstLineChars="500"/>
        <w:rPr>
          <w:color w:val="000000" w:themeColor="text1"/>
          <w14:textFill>
            <w14:solidFill>
              <w14:schemeClr w14:val="tx1"/>
            </w14:solidFill>
          </w14:textFill>
        </w:rPr>
      </w:pP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坡度</w:t>
      </w:r>
      <w:r>
        <w:rPr>
          <w:color w:val="000000" w:themeColor="text1"/>
          <w14:textFill>
            <w14:solidFill>
              <w14:schemeClr w14:val="tx1"/>
            </w14:solidFill>
          </w14:textFill>
        </w:rPr>
        <w:t>—公路纵坡修正量，dB（A）；</w:t>
      </w:r>
    </w:p>
    <w:p w14:paraId="51F2F3B2">
      <w:pPr>
        <w:ind w:firstLine="1200" w:firstLineChars="500"/>
        <w:rPr>
          <w:color w:val="000000" w:themeColor="text1"/>
          <w14:textFill>
            <w14:solidFill>
              <w14:schemeClr w14:val="tx1"/>
            </w14:solidFill>
          </w14:textFill>
        </w:rPr>
      </w:pP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路面</w:t>
      </w:r>
      <w:r>
        <w:rPr>
          <w:color w:val="000000" w:themeColor="text1"/>
          <w14:textFill>
            <w14:solidFill>
              <w14:schemeClr w14:val="tx1"/>
            </w14:solidFill>
          </w14:textFill>
        </w:rPr>
        <w:t>—公路路面引起的修正量，dB（A）；</w:t>
      </w:r>
    </w:p>
    <w:p w14:paraId="3A3A987F">
      <w:pPr>
        <w:ind w:firstLine="1200" w:firstLineChars="500"/>
        <w:rPr>
          <w:color w:val="000000" w:themeColor="text1"/>
          <w14:textFill>
            <w14:solidFill>
              <w14:schemeClr w14:val="tx1"/>
            </w14:solidFill>
          </w14:textFill>
        </w:rPr>
      </w:pPr>
      <w:r>
        <w:rPr>
          <w:color w:val="000000" w:themeColor="text1"/>
          <w14:textFill>
            <w14:solidFill>
              <w14:schemeClr w14:val="tx1"/>
            </w14:solidFill>
          </w14:textFill>
        </w:rPr>
        <w:t>ΔL</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—声波传播途径中引起的衰减量，dB（A）；</w:t>
      </w:r>
    </w:p>
    <w:p w14:paraId="22120762">
      <w:pPr>
        <w:ind w:firstLine="1200" w:firstLineChars="500"/>
        <w:rPr>
          <w:color w:val="000000" w:themeColor="text1"/>
          <w14:textFill>
            <w14:solidFill>
              <w14:schemeClr w14:val="tx1"/>
            </w14:solidFill>
          </w14:textFill>
        </w:rPr>
      </w:pPr>
      <w:r>
        <w:rPr>
          <w:rFonts w:eastAsia="Times New Roman" w:cs="Times New Roman"/>
          <w:i/>
          <w:iCs/>
          <w:color w:val="000000" w:themeColor="text1"/>
          <w14:textFill>
            <w14:solidFill>
              <w14:schemeClr w14:val="tx1"/>
            </w14:solidFill>
          </w14:textFill>
        </w:rPr>
        <w:t>A</w:t>
      </w:r>
      <w:r>
        <w:rPr>
          <w:rFonts w:eastAsia="Times New Roman" w:cs="Times New Roman"/>
          <w:color w:val="000000" w:themeColor="text1"/>
          <w:position w:val="-1"/>
          <w:sz w:val="13"/>
          <w:szCs w:val="13"/>
          <w14:textFill>
            <w14:solidFill>
              <w14:schemeClr w14:val="tx1"/>
            </w14:solidFill>
          </w14:textFill>
        </w:rPr>
        <w:t>gr</w:t>
      </w:r>
      <w:r>
        <w:rPr>
          <w:rFonts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地面吸收引起的衰减量，</w:t>
      </w:r>
      <w:r>
        <w:rPr>
          <w:rFonts w:eastAsia="Times New Roman" w:cs="Times New Roman"/>
          <w:color w:val="000000" w:themeColor="text1"/>
          <w14:textFill>
            <w14:solidFill>
              <w14:schemeClr w14:val="tx1"/>
            </w14:solidFill>
          </w14:textFill>
        </w:rPr>
        <w:t>dB(A)</w:t>
      </w:r>
      <w:r>
        <w:rPr>
          <w:color w:val="000000" w:themeColor="text1"/>
          <w14:textFill>
            <w14:solidFill>
              <w14:schemeClr w14:val="tx1"/>
            </w14:solidFill>
          </w14:textFill>
        </w:rPr>
        <w:t>；</w:t>
      </w:r>
    </w:p>
    <w:p w14:paraId="14312C4F">
      <w:pPr>
        <w:ind w:firstLine="1200" w:firstLineChars="500"/>
        <w:rPr>
          <w:color w:val="000000" w:themeColor="text1"/>
          <w14:textFill>
            <w14:solidFill>
              <w14:schemeClr w14:val="tx1"/>
            </w14:solidFill>
          </w14:textFill>
        </w:rPr>
      </w:pPr>
      <w:bookmarkStart w:id="712" w:name="hmcheck_123e03523e9848ff94681c13f539f0e2"/>
      <w:r>
        <w:rPr>
          <w:rFonts w:eastAsia="Times New Roman" w:cs="Times New Roman"/>
          <w:i/>
          <w:iCs/>
          <w:color w:val="000000" w:themeColor="text1"/>
          <w:shd w:val="clear" w:fill="FFAFAA"/>
          <w14:textFill>
            <w14:solidFill>
              <w14:schemeClr w14:val="tx1"/>
            </w14:solidFill>
          </w14:textFill>
        </w:rPr>
        <w:t>A</w:t>
      </w:r>
      <w:r>
        <w:rPr>
          <w:rFonts w:eastAsia="Times New Roman" w:cs="Times New Roman"/>
          <w:color w:val="000000" w:themeColor="text1"/>
          <w:position w:val="-1"/>
          <w:sz w:val="13"/>
          <w:szCs w:val="13"/>
          <w:shd w:val="clear" w:fill="FFAFAA"/>
          <w14:textFill>
            <w14:solidFill>
              <w14:schemeClr w14:val="tx1"/>
            </w14:solidFill>
          </w14:textFill>
        </w:rPr>
        <w:t>bar</w:t>
      </w:r>
      <w:bookmarkEnd w:id="712"/>
      <w:r>
        <w:rPr>
          <w:rFonts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遮挡物引起的衰减量，</w:t>
      </w:r>
      <w:r>
        <w:rPr>
          <w:rFonts w:eastAsia="Times New Roman" w:cs="Times New Roman"/>
          <w:color w:val="000000" w:themeColor="text1"/>
          <w14:textFill>
            <w14:solidFill>
              <w14:schemeClr w14:val="tx1"/>
            </w14:solidFill>
          </w14:textFill>
        </w:rPr>
        <w:t>dB(A)</w:t>
      </w:r>
      <w:r>
        <w:rPr>
          <w:color w:val="000000" w:themeColor="text1"/>
          <w14:textFill>
            <w14:solidFill>
              <w14:schemeClr w14:val="tx1"/>
            </w14:solidFill>
          </w14:textFill>
        </w:rPr>
        <w:t>；</w:t>
      </w:r>
    </w:p>
    <w:p w14:paraId="0ADE27DB">
      <w:pPr>
        <w:ind w:firstLine="1200" w:firstLineChars="500"/>
        <w:rPr>
          <w:color w:val="000000" w:themeColor="text1"/>
          <w14:textFill>
            <w14:solidFill>
              <w14:schemeClr w14:val="tx1"/>
            </w14:solidFill>
          </w14:textFill>
        </w:rPr>
      </w:pPr>
      <w:bookmarkStart w:id="713" w:name="hmcheck_9aadff7e72ad4818a7b0c768324e51e7"/>
      <w:r>
        <w:rPr>
          <w:rFonts w:eastAsia="Times New Roman" w:cs="Times New Roman"/>
          <w:i/>
          <w:iCs/>
          <w:color w:val="000000" w:themeColor="text1"/>
          <w:shd w:val="clear" w:fill="FFAFAA"/>
          <w14:textFill>
            <w14:solidFill>
              <w14:schemeClr w14:val="tx1"/>
            </w14:solidFill>
          </w14:textFill>
        </w:rPr>
        <w:t>A</w:t>
      </w:r>
      <w:r>
        <w:rPr>
          <w:rFonts w:eastAsia="Times New Roman" w:cs="Times New Roman"/>
          <w:color w:val="000000" w:themeColor="text1"/>
          <w:position w:val="-1"/>
          <w:sz w:val="13"/>
          <w:szCs w:val="13"/>
          <w:shd w:val="clear" w:fill="FFAFAA"/>
          <w14:textFill>
            <w14:solidFill>
              <w14:schemeClr w14:val="tx1"/>
            </w14:solidFill>
          </w14:textFill>
        </w:rPr>
        <w:t>fol</w:t>
      </w:r>
      <w:bookmarkEnd w:id="713"/>
      <w:r>
        <w:rPr>
          <w:rFonts w:eastAsia="Times New Roman" w:cs="Times New Roman"/>
          <w:color w:val="000000" w:themeColor="text1"/>
          <w:spacing w:val="8"/>
          <w14:textFill>
            <w14:solidFill>
              <w14:schemeClr w14:val="tx1"/>
            </w14:solidFill>
          </w14:textFill>
        </w:rPr>
        <w:t>——</w:t>
      </w:r>
      <w:r>
        <w:rPr>
          <w:color w:val="000000" w:themeColor="text1"/>
          <w:spacing w:val="8"/>
          <w14:textFill>
            <w14:solidFill>
              <w14:schemeClr w14:val="tx1"/>
            </w14:solidFill>
          </w14:textFill>
        </w:rPr>
        <w:t>绿化林带</w:t>
      </w:r>
      <w:r>
        <w:rPr>
          <w:rFonts w:hint="eastAsia"/>
          <w:color w:val="000000" w:themeColor="text1"/>
          <w:spacing w:val="8"/>
          <w14:textFill>
            <w14:solidFill>
              <w14:schemeClr w14:val="tx1"/>
            </w14:solidFill>
          </w14:textFill>
        </w:rPr>
        <w:t>引起的</w:t>
      </w:r>
      <w:r>
        <w:rPr>
          <w:color w:val="000000" w:themeColor="text1"/>
          <w:spacing w:val="8"/>
          <w14:textFill>
            <w14:solidFill>
              <w14:schemeClr w14:val="tx1"/>
            </w14:solidFill>
          </w14:textFill>
        </w:rPr>
        <w:t>衰减量，</w:t>
      </w:r>
      <w:r>
        <w:rPr>
          <w:rFonts w:eastAsia="Times New Roman" w:cs="Times New Roman"/>
          <w:color w:val="000000" w:themeColor="text1"/>
          <w14:textFill>
            <w14:solidFill>
              <w14:schemeClr w14:val="tx1"/>
            </w14:solidFill>
          </w14:textFill>
        </w:rPr>
        <w:t>dB</w:t>
      </w:r>
      <w:r>
        <w:rPr>
          <w:rFonts w:eastAsia="Times New Roman" w:cs="Times New Roman"/>
          <w:color w:val="000000" w:themeColor="text1"/>
          <w:spacing w:val="8"/>
          <w14:textFill>
            <w14:solidFill>
              <w14:schemeClr w14:val="tx1"/>
            </w14:solidFill>
          </w14:textFill>
        </w:rPr>
        <w:t>(A)</w:t>
      </w:r>
      <w:r>
        <w:rPr>
          <w:color w:val="000000" w:themeColor="text1"/>
          <w:spacing w:val="8"/>
          <w14:textFill>
            <w14:solidFill>
              <w14:schemeClr w14:val="tx1"/>
            </w14:solidFill>
          </w14:textFill>
        </w:rPr>
        <w:t>；</w:t>
      </w:r>
    </w:p>
    <w:p w14:paraId="29258D0A">
      <w:pPr>
        <w:ind w:firstLine="1200" w:firstLineChars="500"/>
        <w:rPr>
          <w:color w:val="000000" w:themeColor="text1"/>
          <w14:textFill>
            <w14:solidFill>
              <w14:schemeClr w14:val="tx1"/>
            </w14:solidFill>
          </w14:textFill>
        </w:rPr>
      </w:pPr>
      <w:bookmarkStart w:id="714" w:name="hmcheck_e1b0793f6f76432b9523ee44e491c38a"/>
      <w:r>
        <w:rPr>
          <w:rFonts w:eastAsia="Times New Roman" w:cs="Times New Roman"/>
          <w:i/>
          <w:iCs/>
          <w:color w:val="000000" w:themeColor="text1"/>
          <w:shd w:val="clear" w:fill="FFAFAA"/>
          <w14:textFill>
            <w14:solidFill>
              <w14:schemeClr w14:val="tx1"/>
            </w14:solidFill>
          </w14:textFill>
        </w:rPr>
        <w:t>A</w:t>
      </w:r>
      <w:r>
        <w:rPr>
          <w:rFonts w:eastAsia="Times New Roman" w:cs="Times New Roman"/>
          <w:color w:val="000000" w:themeColor="text1"/>
          <w:position w:val="-1"/>
          <w:sz w:val="13"/>
          <w:szCs w:val="13"/>
          <w:shd w:val="clear" w:fill="FFAFAA"/>
          <w14:textFill>
            <w14:solidFill>
              <w14:schemeClr w14:val="tx1"/>
            </w14:solidFill>
          </w14:textFill>
        </w:rPr>
        <w:t>atm</w:t>
      </w:r>
      <w:bookmarkEnd w:id="714"/>
      <w:r>
        <w:rPr>
          <w:rFonts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大气吸收引起的衰减量，</w:t>
      </w:r>
      <w:r>
        <w:rPr>
          <w:rFonts w:eastAsia="Times New Roman" w:cs="Times New Roman"/>
          <w:color w:val="000000" w:themeColor="text1"/>
          <w14:textFill>
            <w14:solidFill>
              <w14:schemeClr w14:val="tx1"/>
            </w14:solidFill>
          </w14:textFill>
        </w:rPr>
        <w:t>dB(A)</w:t>
      </w:r>
      <w:r>
        <w:rPr>
          <w:color w:val="000000" w:themeColor="text1"/>
          <w14:textFill>
            <w14:solidFill>
              <w14:schemeClr w14:val="tx1"/>
            </w14:solidFill>
          </w14:textFill>
        </w:rPr>
        <w:t>。</w:t>
      </w:r>
    </w:p>
    <w:p w14:paraId="72E5DD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（2）噪声贡献值</w:t>
      </w:r>
    </w:p>
    <w:p w14:paraId="51CB27E5">
      <w:pPr>
        <w:pStyle w:val="105"/>
        <w:jc w:val="center"/>
        <w:rPr>
          <w:color w:val="000000" w:themeColor="text1"/>
          <w:kern w:val="44"/>
          <w:szCs w:val="21"/>
          <w14:textFill>
            <w14:solidFill>
              <w14:schemeClr w14:val="tx1"/>
            </w14:solidFill>
          </w14:textFill>
        </w:rPr>
      </w:pPr>
      <w:r>
        <w:rPr>
          <w:color w:val="000000" w:themeColor="text1"/>
          <w14:textFill>
            <w14:solidFill>
              <w14:schemeClr w14:val="tx1"/>
            </w14:solidFill>
          </w14:textFill>
        </w:rPr>
        <w:drawing>
          <wp:inline distT="0" distB="0" distL="0" distR="0">
            <wp:extent cx="2633345" cy="300990"/>
            <wp:effectExtent l="0" t="0" r="0" b="3810"/>
            <wp:docPr id="1622346471" name="图片 1622346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71" name="图片 1622346471"/>
                    <pic:cNvPicPr>
                      <a:picLocks noChangeAspect="1"/>
                    </pic:cNvPicPr>
                  </pic:nvPicPr>
                  <pic:blipFill>
                    <a:blip r:embed="rId127" cstate="email"/>
                    <a:stretch>
                      <a:fillRect/>
                    </a:stretch>
                  </pic:blipFill>
                  <pic:spPr>
                    <a:xfrm>
                      <a:off x="0" y="0"/>
                      <a:ext cx="2684498" cy="306927"/>
                    </a:xfrm>
                    <a:prstGeom prst="rect">
                      <a:avLst/>
                    </a:prstGeom>
                  </pic:spPr>
                </pic:pic>
              </a:graphicData>
            </a:graphic>
          </wp:inline>
        </w:drawing>
      </w:r>
    </w:p>
    <w:p w14:paraId="5FD512B2">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bookmarkStart w:id="715" w:name="hmcheck_968693614a9d4ce29b8974fcbc13473b"/>
      <w:r>
        <w:rPr>
          <w:rFonts w:eastAsia="Times New Roman" w:cs="Times New Roman"/>
          <w:i/>
          <w:iCs/>
          <w:color w:val="000000" w:themeColor="text1"/>
          <w:shd w:val="clear" w:fill="FFAFAA"/>
          <w14:textFill>
            <w14:solidFill>
              <w14:schemeClr w14:val="tx1"/>
            </w14:solidFill>
          </w14:textFill>
        </w:rPr>
        <w:t>L</w:t>
      </w:r>
      <w:r>
        <w:rPr>
          <w:rFonts w:eastAsia="Times New Roman" w:cs="Times New Roman"/>
          <w:color w:val="000000" w:themeColor="text1"/>
          <w:position w:val="-1"/>
          <w:sz w:val="13"/>
          <w:szCs w:val="13"/>
          <w:shd w:val="clear" w:fill="FFAFAA"/>
          <w14:textFill>
            <w14:solidFill>
              <w14:schemeClr w14:val="tx1"/>
            </w14:solidFill>
          </w14:textFill>
        </w:rPr>
        <w:t>Aeqg</w:t>
      </w:r>
      <w:bookmarkEnd w:id="715"/>
      <w:r>
        <w:rPr>
          <w:rFonts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公路建设项目声源在预测点产生的噪声贡献值，</w:t>
      </w:r>
      <w:r>
        <w:rPr>
          <w:rFonts w:eastAsia="Times New Roman" w:cs="Times New Roman"/>
          <w:color w:val="000000" w:themeColor="text1"/>
          <w14:textFill>
            <w14:solidFill>
              <w14:schemeClr w14:val="tx1"/>
            </w14:solidFill>
          </w14:textFill>
        </w:rPr>
        <w:t>dB(A)</w:t>
      </w:r>
      <w:r>
        <w:rPr>
          <w:color w:val="000000" w:themeColor="text1"/>
          <w14:textFill>
            <w14:solidFill>
              <w14:schemeClr w14:val="tx1"/>
            </w14:solidFill>
          </w14:textFill>
        </w:rPr>
        <w:t>；</w:t>
      </w:r>
    </w:p>
    <w:p w14:paraId="56DF8BBC">
      <w:pPr>
        <w:ind w:firstLine="1200" w:firstLineChars="500"/>
        <w:rPr>
          <w:color w:val="000000" w:themeColor="text1"/>
          <w14:textFill>
            <w14:solidFill>
              <w14:schemeClr w14:val="tx1"/>
            </w14:solidFill>
          </w14:textFill>
        </w:rPr>
      </w:pPr>
      <w:bookmarkStart w:id="716" w:name="hmcheck_0b80e808a39a40619bd13f45ef1ef5b3"/>
      <w:r>
        <w:rPr>
          <w:rFonts w:eastAsia="Times New Roman" w:cs="Times New Roman"/>
          <w:i/>
          <w:iCs/>
          <w:color w:val="000000" w:themeColor="text1"/>
          <w:shd w:val="clear" w:fill="FFAFAA"/>
          <w14:textFill>
            <w14:solidFill>
              <w14:schemeClr w14:val="tx1"/>
            </w14:solidFill>
          </w14:textFill>
        </w:rPr>
        <w:t>L</w:t>
      </w:r>
      <w:r>
        <w:rPr>
          <w:rFonts w:eastAsia="Times New Roman" w:cs="Times New Roman"/>
          <w:color w:val="000000" w:themeColor="text1"/>
          <w:position w:val="-1"/>
          <w:sz w:val="13"/>
          <w:szCs w:val="13"/>
          <w:shd w:val="clear" w:fill="FFAFAA"/>
          <w14:textFill>
            <w14:solidFill>
              <w14:schemeClr w14:val="tx1"/>
            </w14:solidFill>
          </w14:textFill>
        </w:rPr>
        <w:t>Aeql</w:t>
      </w:r>
      <w:bookmarkEnd w:id="716"/>
      <w:r>
        <w:rPr>
          <w:rFonts w:eastAsia="Times New Roman" w:cs="Times New Roman"/>
          <w:color w:val="000000" w:themeColor="text1"/>
          <w:spacing w:val="16"/>
          <w14:textFill>
            <w14:solidFill>
              <w14:schemeClr w14:val="tx1"/>
            </w14:solidFill>
          </w14:textFill>
        </w:rPr>
        <w:t>——</w:t>
      </w:r>
      <w:r>
        <w:rPr>
          <w:color w:val="000000" w:themeColor="text1"/>
          <w:spacing w:val="16"/>
          <w14:textFill>
            <w14:solidFill>
              <w14:schemeClr w14:val="tx1"/>
            </w14:solidFill>
          </w14:textFill>
        </w:rPr>
        <w:t>大型车的噪声贡献值，</w:t>
      </w:r>
      <w:r>
        <w:rPr>
          <w:rFonts w:eastAsia="Times New Roman" w:cs="Times New Roman"/>
          <w:color w:val="000000" w:themeColor="text1"/>
          <w14:textFill>
            <w14:solidFill>
              <w14:schemeClr w14:val="tx1"/>
            </w14:solidFill>
          </w14:textFill>
        </w:rPr>
        <w:t>dB</w:t>
      </w:r>
      <w:r>
        <w:rPr>
          <w:rFonts w:eastAsia="Times New Roman" w:cs="Times New Roman"/>
          <w:color w:val="000000" w:themeColor="text1"/>
          <w:spacing w:val="16"/>
          <w14:textFill>
            <w14:solidFill>
              <w14:schemeClr w14:val="tx1"/>
            </w14:solidFill>
          </w14:textFill>
        </w:rPr>
        <w:t>(A)</w:t>
      </w:r>
      <w:r>
        <w:rPr>
          <w:color w:val="000000" w:themeColor="text1"/>
          <w:spacing w:val="16"/>
          <w14:textFill>
            <w14:solidFill>
              <w14:schemeClr w14:val="tx1"/>
            </w14:solidFill>
          </w14:textFill>
        </w:rPr>
        <w:t>；</w:t>
      </w:r>
      <w:r>
        <w:rPr>
          <w:color w:val="000000" w:themeColor="text1"/>
          <w14:textFill>
            <w14:solidFill>
              <w14:schemeClr w14:val="tx1"/>
            </w14:solidFill>
          </w14:textFill>
        </w:rPr>
        <w:t xml:space="preserve"> </w:t>
      </w:r>
    </w:p>
    <w:p w14:paraId="0E63936B">
      <w:pPr>
        <w:ind w:firstLine="1200" w:firstLineChars="500"/>
        <w:rPr>
          <w:color w:val="000000" w:themeColor="text1"/>
          <w:spacing w:val="5"/>
          <w14:textFill>
            <w14:solidFill>
              <w14:schemeClr w14:val="tx1"/>
            </w14:solidFill>
          </w14:textFill>
        </w:rPr>
      </w:pPr>
      <w:bookmarkStart w:id="717" w:name="hmcheck_b907f5108a0a4b0d897305d0284d9983"/>
      <w:r>
        <w:rPr>
          <w:rFonts w:eastAsia="Times New Roman" w:cs="Times New Roman"/>
          <w:i/>
          <w:iCs/>
          <w:color w:val="000000" w:themeColor="text1"/>
          <w:shd w:val="clear" w:fill="FFAFAA"/>
          <w14:textFill>
            <w14:solidFill>
              <w14:schemeClr w14:val="tx1"/>
            </w14:solidFill>
          </w14:textFill>
        </w:rPr>
        <w:t>L</w:t>
      </w:r>
      <w:r>
        <w:rPr>
          <w:rFonts w:eastAsia="Times New Roman" w:cs="Times New Roman"/>
          <w:color w:val="000000" w:themeColor="text1"/>
          <w:position w:val="-1"/>
          <w:sz w:val="13"/>
          <w:szCs w:val="13"/>
          <w:shd w:val="clear" w:fill="FFAFAA"/>
          <w14:textFill>
            <w14:solidFill>
              <w14:schemeClr w14:val="tx1"/>
            </w14:solidFill>
          </w14:textFill>
        </w:rPr>
        <w:t>Aeqm</w:t>
      </w:r>
      <w:bookmarkEnd w:id="717"/>
      <w:r>
        <w:rPr>
          <w:rFonts w:eastAsia="Times New Roman" w:cs="Times New Roman"/>
          <w:color w:val="000000" w:themeColor="text1"/>
          <w:spacing w:val="13"/>
          <w14:textFill>
            <w14:solidFill>
              <w14:schemeClr w14:val="tx1"/>
            </w14:solidFill>
          </w14:textFill>
        </w:rPr>
        <w:t>——</w:t>
      </w:r>
      <w:r>
        <w:rPr>
          <w:color w:val="000000" w:themeColor="text1"/>
          <w:spacing w:val="13"/>
          <w14:textFill>
            <w14:solidFill>
              <w14:schemeClr w14:val="tx1"/>
            </w14:solidFill>
          </w14:textFill>
        </w:rPr>
        <w:t>中型车的噪声贡献值，</w:t>
      </w:r>
      <w:r>
        <w:rPr>
          <w:rFonts w:eastAsia="Times New Roman" w:cs="Times New Roman"/>
          <w:color w:val="000000" w:themeColor="text1"/>
          <w14:textFill>
            <w14:solidFill>
              <w14:schemeClr w14:val="tx1"/>
            </w14:solidFill>
          </w14:textFill>
        </w:rPr>
        <w:t>dB</w:t>
      </w:r>
      <w:r>
        <w:rPr>
          <w:rFonts w:eastAsia="Times New Roman" w:cs="Times New Roman"/>
          <w:color w:val="000000" w:themeColor="text1"/>
          <w:spacing w:val="13"/>
          <w14:textFill>
            <w14:solidFill>
              <w14:schemeClr w14:val="tx1"/>
            </w14:solidFill>
          </w14:textFill>
        </w:rPr>
        <w:t>(A)</w:t>
      </w:r>
      <w:r>
        <w:rPr>
          <w:color w:val="000000" w:themeColor="text1"/>
          <w:spacing w:val="13"/>
          <w14:textFill>
            <w14:solidFill>
              <w14:schemeClr w14:val="tx1"/>
            </w14:solidFill>
          </w14:textFill>
        </w:rPr>
        <w:t>；</w:t>
      </w:r>
      <w:r>
        <w:rPr>
          <w:color w:val="000000" w:themeColor="text1"/>
          <w:spacing w:val="5"/>
          <w14:textFill>
            <w14:solidFill>
              <w14:schemeClr w14:val="tx1"/>
            </w14:solidFill>
          </w14:textFill>
        </w:rPr>
        <w:t xml:space="preserve"> </w:t>
      </w:r>
    </w:p>
    <w:p w14:paraId="01F0CE6B">
      <w:pPr>
        <w:ind w:firstLine="1200" w:firstLineChars="500"/>
        <w:rPr>
          <w:color w:val="000000" w:themeColor="text1"/>
          <w14:textFill>
            <w14:solidFill>
              <w14:schemeClr w14:val="tx1"/>
            </w14:solidFill>
          </w14:textFill>
        </w:rPr>
      </w:pPr>
      <w:bookmarkStart w:id="718" w:name="hmcheck_f0773e8f49144c50a5664dc73d633e86"/>
      <w:r>
        <w:rPr>
          <w:rFonts w:eastAsia="Times New Roman" w:cs="Times New Roman"/>
          <w:i/>
          <w:iCs/>
          <w:color w:val="000000" w:themeColor="text1"/>
          <w:shd w:val="clear" w:fill="FFAFAA"/>
          <w14:textFill>
            <w14:solidFill>
              <w14:schemeClr w14:val="tx1"/>
            </w14:solidFill>
          </w14:textFill>
        </w:rPr>
        <w:t>L</w:t>
      </w:r>
      <w:r>
        <w:rPr>
          <w:rFonts w:eastAsia="Times New Roman" w:cs="Times New Roman"/>
          <w:color w:val="000000" w:themeColor="text1"/>
          <w:position w:val="-1"/>
          <w:sz w:val="13"/>
          <w:szCs w:val="13"/>
          <w:shd w:val="clear" w:fill="FFAFAA"/>
          <w14:textFill>
            <w14:solidFill>
              <w14:schemeClr w14:val="tx1"/>
            </w14:solidFill>
          </w14:textFill>
        </w:rPr>
        <w:t>Aeqs</w:t>
      </w:r>
      <w:bookmarkEnd w:id="718"/>
      <w:r>
        <w:rPr>
          <w:rFonts w:eastAsia="Times New Roman" w:cs="Times New Roman"/>
          <w:color w:val="000000" w:themeColor="text1"/>
          <w:spacing w:val="16"/>
          <w14:textFill>
            <w14:solidFill>
              <w14:schemeClr w14:val="tx1"/>
            </w14:solidFill>
          </w14:textFill>
        </w:rPr>
        <w:t>——</w:t>
      </w:r>
      <w:r>
        <w:rPr>
          <w:color w:val="000000" w:themeColor="text1"/>
          <w:spacing w:val="16"/>
          <w14:textFill>
            <w14:solidFill>
              <w14:schemeClr w14:val="tx1"/>
            </w14:solidFill>
          </w14:textFill>
        </w:rPr>
        <w:t>小型车的噪声贡献值，</w:t>
      </w:r>
      <w:r>
        <w:rPr>
          <w:rFonts w:eastAsia="Times New Roman" w:cs="Times New Roman"/>
          <w:color w:val="000000" w:themeColor="text1"/>
          <w14:textFill>
            <w14:solidFill>
              <w14:schemeClr w14:val="tx1"/>
            </w14:solidFill>
          </w14:textFill>
        </w:rPr>
        <w:t>dB</w:t>
      </w:r>
      <w:r>
        <w:rPr>
          <w:rFonts w:eastAsia="Times New Roman" w:cs="Times New Roman"/>
          <w:color w:val="000000" w:themeColor="text1"/>
          <w:spacing w:val="16"/>
          <w14:textFill>
            <w14:solidFill>
              <w14:schemeClr w14:val="tx1"/>
            </w14:solidFill>
          </w14:textFill>
        </w:rPr>
        <w:t>(A)</w:t>
      </w:r>
      <w:r>
        <w:rPr>
          <w:color w:val="000000" w:themeColor="text1"/>
          <w:spacing w:val="16"/>
          <w14:textFill>
            <w14:solidFill>
              <w14:schemeClr w14:val="tx1"/>
            </w14:solidFill>
          </w14:textFill>
        </w:rPr>
        <w:t>。</w:t>
      </w:r>
    </w:p>
    <w:p w14:paraId="179620D5">
      <w:pPr>
        <w:ind w:firstLine="480"/>
        <w:rPr>
          <w:color w:val="000000" w:themeColor="text1"/>
          <w14:textFill>
            <w14:solidFill>
              <w14:schemeClr w14:val="tx1"/>
            </w14:solidFill>
          </w14:textFill>
        </w:rPr>
      </w:pPr>
      <w:r>
        <w:rPr>
          <w:color w:val="000000" w:themeColor="text1"/>
          <w14:textFill>
            <w14:solidFill>
              <w14:schemeClr w14:val="tx1"/>
            </w14:solidFill>
          </w14:textFill>
        </w:rPr>
        <w:t>（3）噪声预测值：</w:t>
      </w:r>
    </w:p>
    <w:p w14:paraId="6CB1418E">
      <w:pPr>
        <w:pStyle w:val="105"/>
        <w:jc w:val="center"/>
        <w:rPr>
          <w:color w:val="000000" w:themeColor="text1"/>
          <w:szCs w:val="24"/>
          <w14:textFill>
            <w14:solidFill>
              <w14:schemeClr w14:val="tx1"/>
            </w14:solidFill>
          </w14:textFill>
        </w:rPr>
      </w:pPr>
      <w:r>
        <w:rPr>
          <w:color w:val="000000" w:themeColor="text1"/>
          <w14:textFill>
            <w14:solidFill>
              <w14:schemeClr w14:val="tx1"/>
            </w14:solidFill>
          </w14:textFill>
        </w:rPr>
        <w:drawing>
          <wp:inline distT="0" distB="0" distL="0" distR="0">
            <wp:extent cx="1901825" cy="272415"/>
            <wp:effectExtent l="0" t="0" r="3175" b="0"/>
            <wp:docPr id="1622346478" name="图片 1622346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78" name="图片 1622346478"/>
                    <pic:cNvPicPr>
                      <a:picLocks noChangeAspect="1"/>
                    </pic:cNvPicPr>
                  </pic:nvPicPr>
                  <pic:blipFill>
                    <a:blip r:embed="rId128" cstate="email"/>
                    <a:stretch>
                      <a:fillRect/>
                    </a:stretch>
                  </pic:blipFill>
                  <pic:spPr>
                    <a:xfrm>
                      <a:off x="0" y="0"/>
                      <a:ext cx="1981573" cy="284456"/>
                    </a:xfrm>
                    <a:prstGeom prst="rect">
                      <a:avLst/>
                    </a:prstGeom>
                  </pic:spPr>
                </pic:pic>
              </a:graphicData>
            </a:graphic>
          </wp:inline>
        </w:drawing>
      </w:r>
    </w:p>
    <w:p w14:paraId="3B8CA1A2">
      <w:pPr>
        <w:ind w:firstLine="480"/>
        <w:rPr>
          <w:color w:val="000000" w:themeColor="text1"/>
          <w:spacing w:val="16"/>
          <w14:textFill>
            <w14:solidFill>
              <w14:schemeClr w14:val="tx1"/>
            </w14:solidFill>
          </w14:textFill>
        </w:rPr>
      </w:pPr>
      <w:r>
        <w:rPr>
          <w:color w:val="000000" w:themeColor="text1"/>
          <w14:textFill>
            <w14:solidFill>
              <w14:schemeClr w14:val="tx1"/>
            </w14:solidFill>
          </w14:textFill>
        </w:rPr>
        <w:t>式中：</w:t>
      </w:r>
      <w:bookmarkStart w:id="719" w:name="hmcheck_07b36ed4eb544d4d8764d1529e20aac4"/>
      <w:r>
        <w:rPr>
          <w:rFonts w:eastAsia="Times New Roman" w:cs="Times New Roman"/>
          <w:i/>
          <w:iCs/>
          <w:color w:val="000000" w:themeColor="text1"/>
          <w:shd w:val="clear" w:fill="FFAFAA"/>
          <w14:textFill>
            <w14:solidFill>
              <w14:schemeClr w14:val="tx1"/>
            </w14:solidFill>
          </w14:textFill>
        </w:rPr>
        <w:t>L</w:t>
      </w:r>
      <w:r>
        <w:rPr>
          <w:rFonts w:eastAsia="Times New Roman" w:cs="Times New Roman"/>
          <w:color w:val="000000" w:themeColor="text1"/>
          <w:position w:val="-1"/>
          <w:sz w:val="13"/>
          <w:szCs w:val="13"/>
          <w:shd w:val="clear" w:fill="FFAFAA"/>
          <w14:textFill>
            <w14:solidFill>
              <w14:schemeClr w14:val="tx1"/>
            </w14:solidFill>
          </w14:textFill>
        </w:rPr>
        <w:t>Aeq</w:t>
      </w:r>
      <w:bookmarkEnd w:id="719"/>
      <w:r>
        <w:rPr>
          <w:rFonts w:eastAsia="Times New Roman" w:cs="Times New Roman"/>
          <w:color w:val="000000" w:themeColor="text1"/>
          <w14:textFill>
            <w14:solidFill>
              <w14:schemeClr w14:val="tx1"/>
            </w14:solidFill>
          </w14:textFill>
        </w:rPr>
        <w:t>——</w:t>
      </w:r>
      <w:r>
        <w:rPr>
          <w:color w:val="000000" w:themeColor="text1"/>
          <w14:textFill>
            <w14:solidFill>
              <w14:schemeClr w14:val="tx1"/>
            </w14:solidFill>
          </w14:textFill>
        </w:rPr>
        <w:t>预测点的噪声预测值，</w:t>
      </w:r>
      <w:r>
        <w:rPr>
          <w:rFonts w:eastAsia="Times New Roman" w:cs="Times New Roman"/>
          <w:color w:val="000000" w:themeColor="text1"/>
          <w14:textFill>
            <w14:solidFill>
              <w14:schemeClr w14:val="tx1"/>
            </w14:solidFill>
          </w14:textFill>
        </w:rPr>
        <w:t>dB(A)</w:t>
      </w:r>
      <w:r>
        <w:rPr>
          <w:color w:val="000000" w:themeColor="text1"/>
          <w14:textFill>
            <w14:solidFill>
              <w14:schemeClr w14:val="tx1"/>
            </w14:solidFill>
          </w14:textFill>
        </w:rPr>
        <w:t>；</w:t>
      </w:r>
      <w:r>
        <w:rPr>
          <w:color w:val="000000" w:themeColor="text1"/>
          <w:spacing w:val="16"/>
          <w14:textFill>
            <w14:solidFill>
              <w14:schemeClr w14:val="tx1"/>
            </w14:solidFill>
          </w14:textFill>
        </w:rPr>
        <w:t xml:space="preserve"> </w:t>
      </w:r>
    </w:p>
    <w:p w14:paraId="43AD761D">
      <w:pPr>
        <w:ind w:firstLine="1200" w:firstLineChars="500"/>
        <w:rPr>
          <w:color w:val="000000" w:themeColor="text1"/>
          <w:spacing w:val="6"/>
          <w14:textFill>
            <w14:solidFill>
              <w14:schemeClr w14:val="tx1"/>
            </w14:solidFill>
          </w14:textFill>
        </w:rPr>
      </w:pPr>
      <w:bookmarkStart w:id="720" w:name="hmcheck_c5d750171e8a457e9c0b1a3d58541adf"/>
      <w:r>
        <w:rPr>
          <w:rFonts w:eastAsia="Times New Roman" w:cs="Times New Roman"/>
          <w:i/>
          <w:iCs/>
          <w:color w:val="000000" w:themeColor="text1"/>
          <w:shd w:val="clear" w:fill="FFAFAA"/>
          <w14:textFill>
            <w14:solidFill>
              <w14:schemeClr w14:val="tx1"/>
            </w14:solidFill>
          </w14:textFill>
        </w:rPr>
        <w:t>L</w:t>
      </w:r>
      <w:r>
        <w:rPr>
          <w:rFonts w:eastAsia="Times New Roman" w:cs="Times New Roman"/>
          <w:color w:val="000000" w:themeColor="text1"/>
          <w:position w:val="-1"/>
          <w:sz w:val="13"/>
          <w:szCs w:val="13"/>
          <w:shd w:val="clear" w:fill="FFAFAA"/>
          <w14:textFill>
            <w14:solidFill>
              <w14:schemeClr w14:val="tx1"/>
            </w14:solidFill>
          </w14:textFill>
        </w:rPr>
        <w:t>Aeqg</w:t>
      </w:r>
      <w:bookmarkEnd w:id="720"/>
      <w:r>
        <w:rPr>
          <w:rFonts w:eastAsia="Times New Roman" w:cs="Times New Roman"/>
          <w:color w:val="000000" w:themeColor="text1"/>
          <w:spacing w:val="14"/>
          <w14:textFill>
            <w14:solidFill>
              <w14:schemeClr w14:val="tx1"/>
            </w14:solidFill>
          </w14:textFill>
        </w:rPr>
        <w:t>——</w:t>
      </w:r>
      <w:r>
        <w:rPr>
          <w:color w:val="000000" w:themeColor="text1"/>
          <w:spacing w:val="14"/>
          <w14:textFill>
            <w14:solidFill>
              <w14:schemeClr w14:val="tx1"/>
            </w14:solidFill>
          </w14:textFill>
        </w:rPr>
        <w:t>预测点的噪声贡献值，</w:t>
      </w:r>
      <w:r>
        <w:rPr>
          <w:rFonts w:eastAsia="Times New Roman" w:cs="Times New Roman"/>
          <w:color w:val="000000" w:themeColor="text1"/>
          <w14:textFill>
            <w14:solidFill>
              <w14:schemeClr w14:val="tx1"/>
            </w14:solidFill>
          </w14:textFill>
        </w:rPr>
        <w:t>dB</w:t>
      </w:r>
      <w:r>
        <w:rPr>
          <w:rFonts w:eastAsia="Times New Roman" w:cs="Times New Roman"/>
          <w:color w:val="000000" w:themeColor="text1"/>
          <w:spacing w:val="14"/>
          <w14:textFill>
            <w14:solidFill>
              <w14:schemeClr w14:val="tx1"/>
            </w14:solidFill>
          </w14:textFill>
        </w:rPr>
        <w:t>(A)</w:t>
      </w:r>
      <w:r>
        <w:rPr>
          <w:color w:val="000000" w:themeColor="text1"/>
          <w:spacing w:val="14"/>
          <w14:textFill>
            <w14:solidFill>
              <w14:schemeClr w14:val="tx1"/>
            </w14:solidFill>
          </w14:textFill>
        </w:rPr>
        <w:t>；</w:t>
      </w:r>
      <w:r>
        <w:rPr>
          <w:color w:val="000000" w:themeColor="text1"/>
          <w:spacing w:val="6"/>
          <w14:textFill>
            <w14:solidFill>
              <w14:schemeClr w14:val="tx1"/>
            </w14:solidFill>
          </w14:textFill>
        </w:rPr>
        <w:t xml:space="preserve"> </w:t>
      </w:r>
    </w:p>
    <w:p w14:paraId="2938D7BE">
      <w:pPr>
        <w:ind w:firstLine="1200" w:firstLineChars="500"/>
        <w:rPr>
          <w:color w:val="000000" w:themeColor="text1"/>
          <w14:textFill>
            <w14:solidFill>
              <w14:schemeClr w14:val="tx1"/>
            </w14:solidFill>
          </w14:textFill>
        </w:rPr>
      </w:pPr>
      <w:bookmarkStart w:id="721" w:name="hmcheck_c75a1fbbef714ffeb8cafbd1ea924060"/>
      <w:r>
        <w:rPr>
          <w:rFonts w:eastAsia="Times New Roman" w:cs="Times New Roman"/>
          <w:i/>
          <w:iCs/>
          <w:color w:val="000000" w:themeColor="text1"/>
          <w:shd w:val="clear" w:fill="FFAFAA"/>
          <w14:textFill>
            <w14:solidFill>
              <w14:schemeClr w14:val="tx1"/>
            </w14:solidFill>
          </w14:textFill>
        </w:rPr>
        <w:t>L</w:t>
      </w:r>
      <w:r>
        <w:rPr>
          <w:rFonts w:eastAsia="Times New Roman" w:cs="Times New Roman"/>
          <w:color w:val="000000" w:themeColor="text1"/>
          <w:position w:val="-1"/>
          <w:sz w:val="13"/>
          <w:szCs w:val="13"/>
          <w:shd w:val="clear" w:fill="FFAFAA"/>
          <w14:textFill>
            <w14:solidFill>
              <w14:schemeClr w14:val="tx1"/>
            </w14:solidFill>
          </w14:textFill>
        </w:rPr>
        <w:t>Aeqb</w:t>
      </w:r>
      <w:bookmarkEnd w:id="721"/>
      <w:r>
        <w:rPr>
          <w:rFonts w:eastAsia="Times New Roman" w:cs="Times New Roman"/>
          <w:color w:val="000000" w:themeColor="text1"/>
          <w:spacing w:val="14"/>
          <w14:textFill>
            <w14:solidFill>
              <w14:schemeClr w14:val="tx1"/>
            </w14:solidFill>
          </w14:textFill>
        </w:rPr>
        <w:t>——</w:t>
      </w:r>
      <w:r>
        <w:rPr>
          <w:color w:val="000000" w:themeColor="text1"/>
          <w:spacing w:val="14"/>
          <w14:textFill>
            <w14:solidFill>
              <w14:schemeClr w14:val="tx1"/>
            </w14:solidFill>
          </w14:textFill>
        </w:rPr>
        <w:t>预测点的背景噪声值，</w:t>
      </w:r>
      <w:r>
        <w:rPr>
          <w:rFonts w:eastAsia="Times New Roman" w:cs="Times New Roman"/>
          <w:color w:val="000000" w:themeColor="text1"/>
          <w14:textFill>
            <w14:solidFill>
              <w14:schemeClr w14:val="tx1"/>
            </w14:solidFill>
          </w14:textFill>
        </w:rPr>
        <w:t>dB</w:t>
      </w:r>
      <w:r>
        <w:rPr>
          <w:rFonts w:eastAsia="Times New Roman" w:cs="Times New Roman"/>
          <w:color w:val="000000" w:themeColor="text1"/>
          <w:spacing w:val="14"/>
          <w14:textFill>
            <w14:solidFill>
              <w14:schemeClr w14:val="tx1"/>
            </w14:solidFill>
          </w14:textFill>
        </w:rPr>
        <w:t>(A)</w:t>
      </w:r>
      <w:r>
        <w:rPr>
          <w:color w:val="000000" w:themeColor="text1"/>
          <w:spacing w:val="14"/>
          <w14:textFill>
            <w14:solidFill>
              <w14:schemeClr w14:val="tx1"/>
            </w14:solidFill>
          </w14:textFill>
        </w:rPr>
        <w:t>。</w:t>
      </w:r>
    </w:p>
    <w:p w14:paraId="1CB80A46">
      <w:pPr>
        <w:pStyle w:val="118"/>
        <w:rPr>
          <w:color w:val="000000" w:themeColor="text1"/>
          <w14:textFill>
            <w14:solidFill>
              <w14:schemeClr w14:val="tx1"/>
            </w14:solidFill>
          </w14:textFill>
        </w:rPr>
      </w:pPr>
      <w:r>
        <w:rPr>
          <w:color w:val="000000" w:themeColor="text1"/>
          <w14:textFill>
            <w14:solidFill>
              <w14:schemeClr w14:val="tx1"/>
            </w14:solidFill>
          </w14:textFill>
        </w:rPr>
        <w:t>修正量和衰减量的计算</w:t>
      </w:r>
    </w:p>
    <w:p w14:paraId="46783B9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线路因素引起的修正量（Δ</w:t>
      </w:r>
      <w:r>
        <w:rPr>
          <w:i/>
          <w:color w:val="000000" w:themeColor="text1"/>
          <w14:textFill>
            <w14:solidFill>
              <w14:schemeClr w14:val="tx1"/>
            </w14:solidFill>
          </w14:textFill>
        </w:rPr>
        <w:t>L</w:t>
      </w:r>
      <w:r>
        <w:rPr>
          <w:i/>
          <w:color w:val="000000" w:themeColor="text1"/>
          <w:vertAlign w:val="subscript"/>
          <w14:textFill>
            <w14:solidFill>
              <w14:schemeClr w14:val="tx1"/>
            </w14:solidFill>
          </w14:textFill>
        </w:rPr>
        <w:t>1</w:t>
      </w:r>
      <w:r>
        <w:rPr>
          <w:color w:val="000000" w:themeColor="text1"/>
          <w14:textFill>
            <w14:solidFill>
              <w14:schemeClr w14:val="tx1"/>
            </w14:solidFill>
          </w14:textFill>
        </w:rPr>
        <w:t>）</w:t>
      </w:r>
    </w:p>
    <w:p w14:paraId="68AE6D68">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rFonts w:hint="eastAsia"/>
          <w:color w:val="000000" w:themeColor="text1"/>
          <w14:textFill>
            <w14:solidFill>
              <w14:schemeClr w14:val="tx1"/>
            </w14:solidFill>
          </w14:textFill>
        </w:rPr>
        <w:t>公路纵坡引起的修正量</w:t>
      </w:r>
      <w:r>
        <w:rPr>
          <w:color w:val="000000" w:themeColor="text1"/>
          <w14:textFill>
            <w14:solidFill>
              <w14:schemeClr w14:val="tx1"/>
            </w14:solidFill>
          </w14:textFill>
        </w:rPr>
        <w:t>（Δ</w:t>
      </w:r>
      <w:r>
        <w:rPr>
          <w:i/>
          <w:iCs/>
          <w:color w:val="000000" w:themeColor="text1"/>
          <w14:textFill>
            <w14:solidFill>
              <w14:schemeClr w14:val="tx1"/>
            </w14:solidFill>
          </w14:textFill>
        </w:rPr>
        <w:t>L</w:t>
      </w:r>
      <w:r>
        <w:rPr>
          <w:color w:val="000000" w:themeColor="text1"/>
          <w:vertAlign w:val="subscript"/>
          <w14:textFill>
            <w14:solidFill>
              <w14:schemeClr w14:val="tx1"/>
            </w14:solidFill>
          </w14:textFill>
        </w:rPr>
        <w:t>坡度</w:t>
      </w:r>
      <w:r>
        <w:rPr>
          <w:color w:val="000000" w:themeColor="text1"/>
          <w14:textFill>
            <w14:solidFill>
              <w14:schemeClr w14:val="tx1"/>
            </w14:solidFill>
          </w14:textFill>
        </w:rPr>
        <w:t>）</w:t>
      </w:r>
    </w:p>
    <w:p w14:paraId="04D02A8C">
      <w:pPr>
        <w:ind w:firstLine="480"/>
        <w:rPr>
          <w:color w:val="000000" w:themeColor="text1"/>
          <w14:textFill>
            <w14:solidFill>
              <w14:schemeClr w14:val="tx1"/>
            </w14:solidFill>
          </w14:textFill>
        </w:rPr>
      </w:pPr>
      <w:r>
        <w:rPr>
          <w:color w:val="000000" w:themeColor="text1"/>
          <w14:textFill>
            <w14:solidFill>
              <w14:schemeClr w14:val="tx1"/>
            </w14:solidFill>
          </w14:textFill>
        </w:rPr>
        <w:t>道路纵坡修正量Δ</w:t>
      </w:r>
      <w:r>
        <w:rPr>
          <w:i/>
          <w:iCs/>
          <w:color w:val="000000" w:themeColor="text1"/>
          <w14:textFill>
            <w14:solidFill>
              <w14:schemeClr w14:val="tx1"/>
            </w14:solidFill>
          </w14:textFill>
        </w:rPr>
        <w:t>L</w:t>
      </w:r>
      <w:r>
        <w:rPr>
          <w:color w:val="000000" w:themeColor="text1"/>
          <w14:textFill>
            <w14:solidFill>
              <w14:schemeClr w14:val="tx1"/>
            </w14:solidFill>
          </w14:textFill>
        </w:rPr>
        <w:t>坡度可按下式计算：</w:t>
      </w:r>
    </w:p>
    <w:p w14:paraId="064717DA">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大型车：Δ</w:t>
      </w:r>
      <w:r>
        <w:rPr>
          <w:i/>
          <w:iCs/>
          <w:color w:val="000000" w:themeColor="text1"/>
          <w14:textFill>
            <w14:solidFill>
              <w14:schemeClr w14:val="tx1"/>
            </w14:solidFill>
          </w14:textFill>
        </w:rPr>
        <w:t>L</w:t>
      </w:r>
      <w:r>
        <w:rPr>
          <w:color w:val="000000" w:themeColor="text1"/>
          <w:vertAlign w:val="subscript"/>
          <w14:textFill>
            <w14:solidFill>
              <w14:schemeClr w14:val="tx1"/>
            </w14:solidFill>
          </w14:textFill>
        </w:rPr>
        <w:t>坡度</w:t>
      </w:r>
      <w:r>
        <w:rPr>
          <w:color w:val="000000" w:themeColor="text1"/>
          <w14:textFill>
            <w14:solidFill>
              <w14:schemeClr w14:val="tx1"/>
            </w14:solidFill>
          </w14:textFill>
        </w:rPr>
        <w:t>=98×βdB(A)</w:t>
      </w:r>
    </w:p>
    <w:p w14:paraId="0C67D2E1">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中型车：Δ</w:t>
      </w:r>
      <w:r>
        <w:rPr>
          <w:i/>
          <w:iCs/>
          <w:color w:val="000000" w:themeColor="text1"/>
          <w14:textFill>
            <w14:solidFill>
              <w14:schemeClr w14:val="tx1"/>
            </w14:solidFill>
          </w14:textFill>
        </w:rPr>
        <w:t>L</w:t>
      </w:r>
      <w:r>
        <w:rPr>
          <w:color w:val="000000" w:themeColor="text1"/>
          <w:vertAlign w:val="subscript"/>
          <w14:textFill>
            <w14:solidFill>
              <w14:schemeClr w14:val="tx1"/>
            </w14:solidFill>
          </w14:textFill>
        </w:rPr>
        <w:t>坡度</w:t>
      </w:r>
      <w:r>
        <w:rPr>
          <w:color w:val="000000" w:themeColor="text1"/>
          <w14:textFill>
            <w14:solidFill>
              <w14:schemeClr w14:val="tx1"/>
            </w14:solidFill>
          </w14:textFill>
        </w:rPr>
        <w:t>=73×βdB(A)</w:t>
      </w:r>
    </w:p>
    <w:p w14:paraId="0F7A710A">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t>小型车：Δ</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坡度</w:t>
      </w:r>
      <w:r>
        <w:rPr>
          <w:color w:val="000000" w:themeColor="text1"/>
          <w14:textFill>
            <w14:solidFill>
              <w14:schemeClr w14:val="tx1"/>
            </w14:solidFill>
          </w14:textFill>
        </w:rPr>
        <w:t>=50×βdB(A)</w:t>
      </w:r>
    </w:p>
    <w:p w14:paraId="79ABA0D5">
      <w:pPr>
        <w:ind w:firstLine="480"/>
        <w:rPr>
          <w:color w:val="000000" w:themeColor="text1"/>
          <w14:textFill>
            <w14:solidFill>
              <w14:schemeClr w14:val="tx1"/>
            </w14:solidFill>
          </w14:textFill>
        </w:rPr>
      </w:pPr>
      <w:r>
        <w:rPr>
          <w:color w:val="000000" w:themeColor="text1"/>
          <w14:textFill>
            <w14:solidFill>
              <w14:schemeClr w14:val="tx1"/>
            </w14:solidFill>
          </w14:textFill>
        </w:rPr>
        <w:t>式中：β——道路纵坡坡度，%。</w:t>
      </w:r>
    </w:p>
    <w:p w14:paraId="0CEBA64F">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路面修正量（Δ</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路面</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不同路面的噪声修正</w:t>
      </w:r>
      <w:bookmarkStart w:id="722" w:name="hmcheck_c803bd2c482c4c9989b09a8a81f0a4d4"/>
      <w:r>
        <w:rPr>
          <w:color w:val="000000" w:themeColor="text1"/>
          <w:shd w:val="clear" w:fill="FFAFAA"/>
          <w14:textFill>
            <w14:solidFill>
              <w14:schemeClr w14:val="tx1"/>
            </w14:solidFill>
          </w14:textFill>
        </w:rPr>
        <w:t>量见</w:t>
      </w:r>
      <w:bookmarkEnd w:id="722"/>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_Ref145142109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表5.4-2</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3166084D">
      <w:pPr>
        <w:ind w:firstLine="480"/>
        <w:rPr>
          <w:color w:val="000000" w:themeColor="text1"/>
          <w14:textFill>
            <w14:solidFill>
              <w14:schemeClr w14:val="tx1"/>
            </w14:solidFill>
          </w14:textFill>
        </w:rPr>
      </w:pPr>
    </w:p>
    <w:p w14:paraId="0022F904">
      <w:pPr>
        <w:ind w:firstLine="480"/>
        <w:rPr>
          <w:color w:val="000000" w:themeColor="text1"/>
          <w14:textFill>
            <w14:solidFill>
              <w14:schemeClr w14:val="tx1"/>
            </w14:solidFill>
          </w14:textFill>
        </w:rPr>
      </w:pPr>
    </w:p>
    <w:p w14:paraId="67499717">
      <w:pPr>
        <w:ind w:firstLine="480"/>
        <w:rPr>
          <w:color w:val="000000" w:themeColor="text1"/>
          <w14:textFill>
            <w14:solidFill>
              <w14:schemeClr w14:val="tx1"/>
            </w14:solidFill>
          </w14:textFill>
        </w:rPr>
      </w:pPr>
    </w:p>
    <w:p w14:paraId="3D9327FF">
      <w:pPr>
        <w:ind w:firstLine="480"/>
        <w:rPr>
          <w:color w:val="000000" w:themeColor="text1"/>
          <w14:textFill>
            <w14:solidFill>
              <w14:schemeClr w14:val="tx1"/>
            </w14:solidFill>
          </w14:textFill>
        </w:rPr>
      </w:pPr>
    </w:p>
    <w:p w14:paraId="127FD854">
      <w:pPr>
        <w:pStyle w:val="87"/>
        <w:spacing w:before="163"/>
        <w:rPr>
          <w:color w:val="000000" w:themeColor="text1"/>
          <w14:textFill>
            <w14:solidFill>
              <w14:schemeClr w14:val="tx1"/>
            </w14:solidFill>
          </w14:textFill>
        </w:rPr>
      </w:pPr>
      <w:bookmarkStart w:id="723" w:name="_Ref145142109"/>
      <w:r>
        <w:rPr>
          <w:color w:val="000000" w:themeColor="text1"/>
          <w14:textFill>
            <w14:solidFill>
              <w14:schemeClr w14:val="tx1"/>
            </w14:solidFill>
          </w14:textFill>
        </w:rPr>
        <w:t>常见路面噪声修正量   单位：dB（A）</w:t>
      </w:r>
      <w:bookmarkEnd w:id="723"/>
    </w:p>
    <w:tbl>
      <w:tblPr>
        <w:tblStyle w:val="15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481"/>
        <w:gridCol w:w="2234"/>
        <w:gridCol w:w="2234"/>
        <w:gridCol w:w="2235"/>
      </w:tblGrid>
      <w:tr w14:paraId="7234651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51" w:type="pct"/>
            <w:vMerge w:val="restart"/>
            <w:tcMar>
              <w:left w:w="57" w:type="dxa"/>
              <w:right w:w="57" w:type="dxa"/>
            </w:tcMar>
            <w:vAlign w:val="center"/>
          </w:tcPr>
          <w:p w14:paraId="0CBD6BE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路面类型</w:t>
            </w:r>
          </w:p>
        </w:tc>
        <w:tc>
          <w:tcPr>
            <w:tcW w:w="3649" w:type="pct"/>
            <w:gridSpan w:val="3"/>
            <w:tcMar>
              <w:left w:w="57" w:type="dxa"/>
              <w:right w:w="57" w:type="dxa"/>
            </w:tcMar>
            <w:vAlign w:val="center"/>
          </w:tcPr>
          <w:p w14:paraId="6CBFECC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不同行驶速度修正量km/h</w:t>
            </w:r>
          </w:p>
        </w:tc>
      </w:tr>
      <w:tr w14:paraId="507D5A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51" w:type="pct"/>
            <w:vMerge w:val="continue"/>
            <w:tcMar>
              <w:left w:w="57" w:type="dxa"/>
              <w:right w:w="57" w:type="dxa"/>
            </w:tcMar>
            <w:vAlign w:val="center"/>
          </w:tcPr>
          <w:p w14:paraId="57D0D4D9">
            <w:pPr>
              <w:pStyle w:val="105"/>
              <w:widowControl w:val="0"/>
              <w:jc w:val="center"/>
              <w:rPr>
                <w:color w:val="000000" w:themeColor="text1"/>
                <w14:textFill>
                  <w14:solidFill>
                    <w14:schemeClr w14:val="tx1"/>
                  </w14:solidFill>
                </w14:textFill>
              </w:rPr>
            </w:pPr>
          </w:p>
        </w:tc>
        <w:tc>
          <w:tcPr>
            <w:tcW w:w="1216" w:type="pct"/>
            <w:tcMar>
              <w:left w:w="57" w:type="dxa"/>
              <w:right w:w="57" w:type="dxa"/>
            </w:tcMar>
            <w:vAlign w:val="center"/>
          </w:tcPr>
          <w:p w14:paraId="356C00D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216" w:type="pct"/>
            <w:tcMar>
              <w:left w:w="57" w:type="dxa"/>
              <w:right w:w="57" w:type="dxa"/>
            </w:tcMar>
            <w:vAlign w:val="center"/>
          </w:tcPr>
          <w:p w14:paraId="6C6671C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1217" w:type="pct"/>
            <w:tcMar>
              <w:left w:w="57" w:type="dxa"/>
              <w:right w:w="57" w:type="dxa"/>
            </w:tcMar>
            <w:vAlign w:val="center"/>
          </w:tcPr>
          <w:p w14:paraId="645BA6E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≥50</w:t>
            </w:r>
          </w:p>
        </w:tc>
      </w:tr>
      <w:tr w14:paraId="628C36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51" w:type="pct"/>
            <w:tcMar>
              <w:left w:w="57" w:type="dxa"/>
              <w:right w:w="57" w:type="dxa"/>
            </w:tcMar>
            <w:vAlign w:val="center"/>
          </w:tcPr>
          <w:p w14:paraId="6584C59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普通沥青混凝土</w:t>
            </w:r>
          </w:p>
        </w:tc>
        <w:tc>
          <w:tcPr>
            <w:tcW w:w="1216" w:type="pct"/>
            <w:tcMar>
              <w:left w:w="57" w:type="dxa"/>
              <w:right w:w="57" w:type="dxa"/>
            </w:tcMar>
            <w:vAlign w:val="center"/>
          </w:tcPr>
          <w:p w14:paraId="6D51DA2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16" w:type="pct"/>
            <w:tcMar>
              <w:left w:w="57" w:type="dxa"/>
              <w:right w:w="57" w:type="dxa"/>
            </w:tcMar>
            <w:vAlign w:val="center"/>
          </w:tcPr>
          <w:p w14:paraId="66C4142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0</w:t>
            </w:r>
          </w:p>
        </w:tc>
        <w:tc>
          <w:tcPr>
            <w:tcW w:w="1217" w:type="pct"/>
            <w:tcMar>
              <w:left w:w="57" w:type="dxa"/>
              <w:right w:w="57" w:type="dxa"/>
            </w:tcMar>
            <w:vAlign w:val="center"/>
          </w:tcPr>
          <w:p w14:paraId="51F58CE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0</w:t>
            </w:r>
          </w:p>
        </w:tc>
      </w:tr>
      <w:tr w14:paraId="2624F1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51" w:type="pct"/>
            <w:tcMar>
              <w:left w:w="57" w:type="dxa"/>
              <w:right w:w="57" w:type="dxa"/>
            </w:tcMar>
            <w:vAlign w:val="center"/>
          </w:tcPr>
          <w:p w14:paraId="65B70B9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普通水泥混凝土</w:t>
            </w:r>
          </w:p>
        </w:tc>
        <w:tc>
          <w:tcPr>
            <w:tcW w:w="1216" w:type="pct"/>
            <w:tcMar>
              <w:left w:w="57" w:type="dxa"/>
              <w:right w:w="57" w:type="dxa"/>
            </w:tcMar>
            <w:vAlign w:val="center"/>
          </w:tcPr>
          <w:p w14:paraId="71DE226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216" w:type="pct"/>
            <w:tcMar>
              <w:left w:w="57" w:type="dxa"/>
              <w:right w:w="57" w:type="dxa"/>
            </w:tcMar>
            <w:vAlign w:val="center"/>
          </w:tcPr>
          <w:p w14:paraId="0ACC2F9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+1.5</w:t>
            </w:r>
          </w:p>
        </w:tc>
        <w:tc>
          <w:tcPr>
            <w:tcW w:w="1217" w:type="pct"/>
            <w:tcMar>
              <w:left w:w="57" w:type="dxa"/>
              <w:right w:w="57" w:type="dxa"/>
            </w:tcMar>
            <w:vAlign w:val="center"/>
          </w:tcPr>
          <w:p w14:paraId="2E70EDF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+2.0</w:t>
            </w:r>
          </w:p>
        </w:tc>
      </w:tr>
      <w:tr w14:paraId="5A25C5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51" w:type="pct"/>
            <w:tcMar>
              <w:left w:w="57" w:type="dxa"/>
              <w:right w:w="57" w:type="dxa"/>
            </w:tcMar>
            <w:vAlign w:val="center"/>
          </w:tcPr>
          <w:p w14:paraId="1F5A6C94">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低噪声路面</w:t>
            </w:r>
          </w:p>
        </w:tc>
        <w:tc>
          <w:tcPr>
            <w:tcW w:w="3649" w:type="pct"/>
            <w:gridSpan w:val="3"/>
            <w:tcMar>
              <w:left w:w="57" w:type="dxa"/>
              <w:right w:w="57" w:type="dxa"/>
            </w:tcMar>
            <w:vAlign w:val="center"/>
          </w:tcPr>
          <w:p w14:paraId="01ED4CE9">
            <w:pPr>
              <w:pStyle w:val="105"/>
              <w:widowControl w:val="0"/>
              <w:jc w:val="left"/>
              <w:rPr>
                <w:color w:val="000000" w:themeColor="text1"/>
                <w14:textFill>
                  <w14:solidFill>
                    <w14:schemeClr w14:val="tx1"/>
                  </w14:solidFill>
                </w14:textFill>
              </w:rPr>
            </w:pPr>
            <w:r>
              <w:rPr>
                <w:rFonts w:hint="eastAsia"/>
                <w:color w:val="000000" w:themeColor="text1"/>
                <w:sz w:val="20"/>
                <w:szCs w:val="24"/>
                <w14:textFill>
                  <w14:solidFill>
                    <w14:schemeClr w14:val="tx1"/>
                  </w14:solidFill>
                </w14:textFill>
              </w:rPr>
              <w:t>单层低噪声路面对应普通沥青混凝土路面或普通水泥混凝土路面，可做-1 dB(A)~-3 dB（A）修正（设计车速较高时，取较大修正量），多层或其他新型低噪声路面修正量可根据工程验证的研究成果适当增加。</w:t>
            </w:r>
          </w:p>
        </w:tc>
      </w:tr>
    </w:tbl>
    <w:p w14:paraId="58645CF3">
      <w:pPr>
        <w:pStyle w:val="124"/>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声波传播途径中引起的衰减量</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Δ</w:t>
      </w:r>
      <w:r>
        <w:rPr>
          <w:i/>
          <w:color w:val="000000" w:themeColor="text1"/>
          <w14:textFill>
            <w14:solidFill>
              <w14:schemeClr w14:val="tx1"/>
            </w14:solidFill>
          </w14:textFill>
        </w:rPr>
        <w:t>L</w:t>
      </w:r>
      <w:r>
        <w:rPr>
          <w:color w:val="000000" w:themeColor="text1"/>
          <w:vertAlign w:val="subscript"/>
          <w14:textFill>
            <w14:solidFill>
              <w14:schemeClr w14:val="tx1"/>
            </w14:solidFill>
          </w14:textFill>
        </w:rPr>
        <w:t>2</w:t>
      </w:r>
      <w:r>
        <w:rPr>
          <w:rFonts w:hint="eastAsia"/>
          <w:color w:val="000000" w:themeColor="text1"/>
          <w:vertAlign w:val="subscript"/>
          <w14:textFill>
            <w14:solidFill>
              <w14:schemeClr w14:val="tx1"/>
            </w14:solidFill>
          </w14:textFill>
        </w:rPr>
        <w:t>）</w:t>
      </w:r>
    </w:p>
    <w:p w14:paraId="13D16621">
      <w:pPr>
        <w:autoSpaceDE w:val="0"/>
        <w:autoSpaceDN w:val="0"/>
        <w:spacing w:line="300" w:lineRule="auto"/>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大气吸收引起的衰减（</w:t>
      </w:r>
      <w:bookmarkStart w:id="724" w:name="hmcheck_6ec77b1f38dd49fa83f444b42e72197a"/>
      <w:r>
        <w:rPr>
          <w:i/>
          <w:iCs/>
          <w:color w:val="000000" w:themeColor="text1"/>
          <w:shd w:val="clear" w:fill="FFAFAA"/>
          <w14:textFill>
            <w14:solidFill>
              <w14:schemeClr w14:val="tx1"/>
            </w14:solidFill>
          </w14:textFill>
        </w:rPr>
        <w:t>A</w:t>
      </w:r>
      <w:r>
        <w:rPr>
          <w:i/>
          <w:iCs/>
          <w:color w:val="000000" w:themeColor="text1"/>
          <w:shd w:val="clear" w:fill="FFAFAA"/>
          <w:vertAlign w:val="subscript"/>
          <w14:textFill>
            <w14:solidFill>
              <w14:schemeClr w14:val="tx1"/>
            </w14:solidFill>
          </w14:textFill>
        </w:rPr>
        <w:t>atm</w:t>
      </w:r>
      <w:bookmarkEnd w:id="724"/>
      <w:r>
        <w:rPr>
          <w:color w:val="000000" w:themeColor="text1"/>
          <w14:textFill>
            <w14:solidFill>
              <w14:schemeClr w14:val="tx1"/>
            </w14:solidFill>
          </w14:textFill>
        </w:rPr>
        <w:t>）</w:t>
      </w:r>
      <w:r>
        <w:rPr>
          <w:rFonts w:hint="eastAsia"/>
          <w:color w:val="000000" w:themeColor="text1"/>
          <w14:textFill>
            <w14:solidFill>
              <w14:schemeClr w14:val="tx1"/>
            </w14:solidFill>
          </w14:textFill>
        </w:rPr>
        <w:t>：大</w:t>
      </w:r>
      <w:r>
        <w:rPr>
          <w:color w:val="000000" w:themeColor="text1"/>
          <w14:textFill>
            <w14:solidFill>
              <w14:schemeClr w14:val="tx1"/>
            </w14:solidFill>
          </w14:textFill>
        </w:rPr>
        <w:t>气吸收引起的衰减按下式计算：</w:t>
      </w:r>
    </w:p>
    <w:p w14:paraId="5F8DC27E">
      <w:pPr>
        <w:autoSpaceDE w:val="0"/>
        <w:autoSpaceDN w:val="0"/>
        <w:spacing w:line="300" w:lineRule="auto"/>
        <w:ind w:firstLine="480"/>
        <w:jc w:val="center"/>
        <w:rPr>
          <w:color w:val="000000" w:themeColor="text1"/>
          <w14:textFill>
            <w14:solidFill>
              <w14:schemeClr w14:val="tx1"/>
            </w14:solidFill>
          </w14:textFill>
        </w:rPr>
      </w:pPr>
      <w:r>
        <w:rPr>
          <w:color w:val="000000" w:themeColor="text1"/>
          <w:position w:val="-24"/>
          <w14:textFill>
            <w14:solidFill>
              <w14:schemeClr w14:val="tx1"/>
            </w14:solidFill>
          </w14:textFill>
        </w:rPr>
        <w:object>
          <v:shape id="_x0000_i1050" o:spt="75" type="#_x0000_t75" style="height:29.25pt;width:72pt;" o:ole="t" filled="f" o:preferrelative="t" stroked="f" coordsize="21600,21600">
            <v:path/>
            <v:fill on="f" focussize="0,0"/>
            <v:stroke on="f" joinstyle="miter"/>
            <v:imagedata r:id="rId130" o:title=""/>
            <o:lock v:ext="edit" aspectratio="t"/>
            <w10:wrap type="none"/>
            <w10:anchorlock/>
          </v:shape>
          <o:OLEObject Type="Embed" ProgID="Equation.3" ShapeID="_x0000_i1050" DrawAspect="Content" ObjectID="_1468075750" r:id="rId129">
            <o:LockedField>false</o:LockedField>
          </o:OLEObject>
        </w:object>
      </w:r>
    </w:p>
    <w:p w14:paraId="7039198D">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bookmarkStart w:id="725" w:name="hmcheck_cf86968b7f88437cb42915ba9e865835"/>
      <w:r>
        <w:rPr>
          <w:i/>
          <w:iCs/>
          <w:color w:val="000000" w:themeColor="text1"/>
          <w:shd w:val="clear" w:fill="FFAFAA"/>
          <w14:textFill>
            <w14:solidFill>
              <w14:schemeClr w14:val="tx1"/>
            </w14:solidFill>
          </w14:textFill>
        </w:rPr>
        <w:t>A</w:t>
      </w:r>
      <w:r>
        <w:rPr>
          <w:i/>
          <w:iCs/>
          <w:color w:val="000000" w:themeColor="text1"/>
          <w:shd w:val="clear" w:fill="FFAFAA"/>
          <w:vertAlign w:val="subscript"/>
          <w14:textFill>
            <w14:solidFill>
              <w14:schemeClr w14:val="tx1"/>
            </w14:solidFill>
          </w14:textFill>
        </w:rPr>
        <w:t>atm</w:t>
      </w:r>
      <w:bookmarkEnd w:id="725"/>
      <w:r>
        <w:rPr>
          <w:color w:val="000000" w:themeColor="text1"/>
          <w14:textFill>
            <w14:solidFill>
              <w14:schemeClr w14:val="tx1"/>
            </w14:solidFill>
          </w14:textFill>
        </w:rPr>
        <w:t>—大气吸收引起的衰减，dB；</w:t>
      </w:r>
    </w:p>
    <w:p w14:paraId="40CC4036">
      <w:pPr>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α</w:t>
      </w:r>
      <w:r>
        <w:rPr>
          <w:color w:val="000000" w:themeColor="text1"/>
          <w14:textFill>
            <w14:solidFill>
              <w14:schemeClr w14:val="tx1"/>
            </w14:solidFill>
          </w14:textFill>
        </w:rPr>
        <w:t>—与温度、湿度和声波频率有关的大气吸收衰减系数，预测计算中一般根据建设项目所处区域常年平均气温和湿度选择相应的大气吸收衰减系数（</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_Ref144455060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表5.4-3</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4F6A4D93">
      <w:pPr>
        <w:autoSpaceDE w:val="0"/>
        <w:autoSpaceDN w:val="0"/>
        <w:spacing w:line="300" w:lineRule="auto"/>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r</w:t>
      </w:r>
      <w:r>
        <w:rPr>
          <w:color w:val="000000" w:themeColor="text1"/>
          <w14:textFill>
            <w14:solidFill>
              <w14:schemeClr w14:val="tx1"/>
            </w14:solidFill>
          </w14:textFill>
        </w:rPr>
        <w:t>—预测点距声源的距离</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w:t>
      </w:r>
    </w:p>
    <w:p w14:paraId="55428128">
      <w:pPr>
        <w:autoSpaceDE w:val="0"/>
        <w:autoSpaceDN w:val="0"/>
        <w:spacing w:line="300" w:lineRule="auto"/>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r</w:t>
      </w:r>
      <w:r>
        <w:rPr>
          <w:i/>
          <w:iCs/>
          <w:color w:val="000000" w:themeColor="text1"/>
          <w:vertAlign w:val="subscript"/>
          <w14:textFill>
            <w14:solidFill>
              <w14:schemeClr w14:val="tx1"/>
            </w14:solidFill>
          </w14:textFill>
        </w:rPr>
        <w:t>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参照点距声源的距离，m。</w:t>
      </w:r>
    </w:p>
    <w:p w14:paraId="094F7285">
      <w:pPr>
        <w:pStyle w:val="87"/>
        <w:spacing w:before="163"/>
        <w:rPr>
          <w:color w:val="000000" w:themeColor="text1"/>
          <w14:textFill>
            <w14:solidFill>
              <w14:schemeClr w14:val="tx1"/>
            </w14:solidFill>
          </w14:textFill>
        </w:rPr>
      </w:pPr>
      <w:bookmarkStart w:id="726" w:name="_Ref144455060"/>
      <w:r>
        <w:rPr>
          <w:color w:val="000000" w:themeColor="text1"/>
          <w14:textFill>
            <w14:solidFill>
              <w14:schemeClr w14:val="tx1"/>
            </w14:solidFill>
          </w14:textFill>
        </w:rPr>
        <w:t>倍频带噪声的大气吸收衰减系数</w:t>
      </w:r>
      <w:bookmarkEnd w:id="726"/>
    </w:p>
    <w:tbl>
      <w:tblPr>
        <w:tblStyle w:val="247"/>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756"/>
        <w:gridCol w:w="1219"/>
        <w:gridCol w:w="887"/>
        <w:gridCol w:w="887"/>
        <w:gridCol w:w="887"/>
        <w:gridCol w:w="887"/>
        <w:gridCol w:w="887"/>
        <w:gridCol w:w="887"/>
        <w:gridCol w:w="887"/>
        <w:gridCol w:w="886"/>
      </w:tblGrid>
      <w:tr w14:paraId="507C6E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Merge w:val="restart"/>
            <w:vAlign w:val="center"/>
          </w:tcPr>
          <w:p w14:paraId="0FD734E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温度</w:t>
            </w:r>
          </w:p>
          <w:p w14:paraId="4DE777A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672" w:type="pct"/>
            <w:vMerge w:val="restart"/>
            <w:vAlign w:val="center"/>
          </w:tcPr>
          <w:p w14:paraId="61E5F64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相对湿度</w:t>
            </w:r>
          </w:p>
          <w:p w14:paraId="3F795AB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p>
        </w:tc>
        <w:tc>
          <w:tcPr>
            <w:tcW w:w="3912" w:type="pct"/>
            <w:gridSpan w:val="8"/>
            <w:vAlign w:val="center"/>
          </w:tcPr>
          <w:p w14:paraId="3DF9876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大气吸收衰减系数α，dB/km</w:t>
            </w:r>
          </w:p>
        </w:tc>
      </w:tr>
      <w:tr w14:paraId="5C58AE6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Merge w:val="continue"/>
            <w:vAlign w:val="center"/>
          </w:tcPr>
          <w:p w14:paraId="13CCD198">
            <w:pPr>
              <w:pStyle w:val="105"/>
              <w:jc w:val="center"/>
              <w:rPr>
                <w:color w:val="000000" w:themeColor="text1"/>
                <w14:textFill>
                  <w14:solidFill>
                    <w14:schemeClr w14:val="tx1"/>
                  </w14:solidFill>
                </w14:textFill>
              </w:rPr>
            </w:pPr>
          </w:p>
        </w:tc>
        <w:tc>
          <w:tcPr>
            <w:tcW w:w="672" w:type="pct"/>
            <w:vMerge w:val="continue"/>
            <w:vAlign w:val="center"/>
          </w:tcPr>
          <w:p w14:paraId="38BA0672">
            <w:pPr>
              <w:pStyle w:val="105"/>
              <w:jc w:val="center"/>
              <w:rPr>
                <w:color w:val="000000" w:themeColor="text1"/>
                <w14:textFill>
                  <w14:solidFill>
                    <w14:schemeClr w14:val="tx1"/>
                  </w14:solidFill>
                </w14:textFill>
              </w:rPr>
            </w:pPr>
          </w:p>
        </w:tc>
        <w:tc>
          <w:tcPr>
            <w:tcW w:w="3912" w:type="pct"/>
            <w:gridSpan w:val="8"/>
            <w:vAlign w:val="center"/>
          </w:tcPr>
          <w:p w14:paraId="3A6026E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倍频带中心频率Hz</w:t>
            </w:r>
          </w:p>
        </w:tc>
      </w:tr>
      <w:tr w14:paraId="547AED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Merge w:val="continue"/>
            <w:vAlign w:val="center"/>
          </w:tcPr>
          <w:p w14:paraId="0685088A">
            <w:pPr>
              <w:pStyle w:val="105"/>
              <w:jc w:val="center"/>
              <w:rPr>
                <w:color w:val="000000" w:themeColor="text1"/>
                <w14:textFill>
                  <w14:solidFill>
                    <w14:schemeClr w14:val="tx1"/>
                  </w14:solidFill>
                </w14:textFill>
              </w:rPr>
            </w:pPr>
          </w:p>
        </w:tc>
        <w:tc>
          <w:tcPr>
            <w:tcW w:w="672" w:type="pct"/>
            <w:vMerge w:val="continue"/>
            <w:vAlign w:val="center"/>
          </w:tcPr>
          <w:p w14:paraId="5EA95654">
            <w:pPr>
              <w:pStyle w:val="105"/>
              <w:jc w:val="center"/>
              <w:rPr>
                <w:color w:val="000000" w:themeColor="text1"/>
                <w14:textFill>
                  <w14:solidFill>
                    <w14:schemeClr w14:val="tx1"/>
                  </w14:solidFill>
                </w14:textFill>
              </w:rPr>
            </w:pPr>
          </w:p>
        </w:tc>
        <w:tc>
          <w:tcPr>
            <w:tcW w:w="489" w:type="pct"/>
            <w:vAlign w:val="center"/>
          </w:tcPr>
          <w:p w14:paraId="1A1150B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63</w:t>
            </w:r>
          </w:p>
        </w:tc>
        <w:tc>
          <w:tcPr>
            <w:tcW w:w="489" w:type="pct"/>
            <w:vAlign w:val="center"/>
          </w:tcPr>
          <w:p w14:paraId="2677533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125</w:t>
            </w:r>
          </w:p>
        </w:tc>
        <w:tc>
          <w:tcPr>
            <w:tcW w:w="489" w:type="pct"/>
            <w:vAlign w:val="center"/>
          </w:tcPr>
          <w:p w14:paraId="65900F5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250</w:t>
            </w:r>
          </w:p>
        </w:tc>
        <w:tc>
          <w:tcPr>
            <w:tcW w:w="489" w:type="pct"/>
            <w:vAlign w:val="center"/>
          </w:tcPr>
          <w:p w14:paraId="36B3989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489" w:type="pct"/>
            <w:vAlign w:val="center"/>
          </w:tcPr>
          <w:p w14:paraId="7920288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1000</w:t>
            </w:r>
          </w:p>
        </w:tc>
        <w:tc>
          <w:tcPr>
            <w:tcW w:w="489" w:type="pct"/>
            <w:vAlign w:val="center"/>
          </w:tcPr>
          <w:p w14:paraId="7D34956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2000</w:t>
            </w:r>
          </w:p>
        </w:tc>
        <w:tc>
          <w:tcPr>
            <w:tcW w:w="489" w:type="pct"/>
            <w:vAlign w:val="center"/>
          </w:tcPr>
          <w:p w14:paraId="26D2FB2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488" w:type="pct"/>
            <w:vAlign w:val="center"/>
          </w:tcPr>
          <w:p w14:paraId="4B68C81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8000</w:t>
            </w:r>
          </w:p>
        </w:tc>
      </w:tr>
      <w:tr w14:paraId="1CF7D9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Align w:val="center"/>
          </w:tcPr>
          <w:p w14:paraId="7124CD7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672" w:type="pct"/>
            <w:vAlign w:val="center"/>
          </w:tcPr>
          <w:p w14:paraId="1B972F9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489" w:type="pct"/>
            <w:vAlign w:val="center"/>
          </w:tcPr>
          <w:p w14:paraId="7184851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0.1</w:t>
            </w:r>
          </w:p>
        </w:tc>
        <w:tc>
          <w:tcPr>
            <w:tcW w:w="489" w:type="pct"/>
            <w:vAlign w:val="center"/>
          </w:tcPr>
          <w:p w14:paraId="0D0D521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0.4</w:t>
            </w:r>
          </w:p>
        </w:tc>
        <w:tc>
          <w:tcPr>
            <w:tcW w:w="489" w:type="pct"/>
            <w:vAlign w:val="center"/>
          </w:tcPr>
          <w:p w14:paraId="67013DE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489" w:type="pct"/>
            <w:vAlign w:val="center"/>
          </w:tcPr>
          <w:p w14:paraId="0EF60AA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1.9</w:t>
            </w:r>
          </w:p>
        </w:tc>
        <w:tc>
          <w:tcPr>
            <w:tcW w:w="489" w:type="pct"/>
            <w:vAlign w:val="center"/>
          </w:tcPr>
          <w:p w14:paraId="1867CC7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3.7</w:t>
            </w:r>
          </w:p>
        </w:tc>
        <w:tc>
          <w:tcPr>
            <w:tcW w:w="489" w:type="pct"/>
            <w:vAlign w:val="center"/>
          </w:tcPr>
          <w:p w14:paraId="336AB78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9.7</w:t>
            </w:r>
          </w:p>
        </w:tc>
        <w:tc>
          <w:tcPr>
            <w:tcW w:w="489" w:type="pct"/>
            <w:vAlign w:val="center"/>
          </w:tcPr>
          <w:p w14:paraId="609427A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32.8</w:t>
            </w:r>
          </w:p>
        </w:tc>
        <w:tc>
          <w:tcPr>
            <w:tcW w:w="488" w:type="pct"/>
            <w:vAlign w:val="center"/>
          </w:tcPr>
          <w:p w14:paraId="1167548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117.0</w:t>
            </w:r>
          </w:p>
        </w:tc>
      </w:tr>
      <w:tr w14:paraId="6D8B74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Align w:val="center"/>
          </w:tcPr>
          <w:p w14:paraId="369EF8B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w:t>
            </w:r>
          </w:p>
        </w:tc>
        <w:tc>
          <w:tcPr>
            <w:tcW w:w="672" w:type="pct"/>
            <w:vAlign w:val="center"/>
          </w:tcPr>
          <w:p w14:paraId="33688C5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489" w:type="pct"/>
            <w:vAlign w:val="center"/>
          </w:tcPr>
          <w:p w14:paraId="1837BE5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0.1</w:t>
            </w:r>
          </w:p>
        </w:tc>
        <w:tc>
          <w:tcPr>
            <w:tcW w:w="489" w:type="pct"/>
            <w:vAlign w:val="center"/>
          </w:tcPr>
          <w:p w14:paraId="352C6A5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0.3</w:t>
            </w:r>
          </w:p>
        </w:tc>
        <w:tc>
          <w:tcPr>
            <w:tcW w:w="489" w:type="pct"/>
            <w:vAlign w:val="center"/>
          </w:tcPr>
          <w:p w14:paraId="374AD07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1.1</w:t>
            </w:r>
          </w:p>
        </w:tc>
        <w:tc>
          <w:tcPr>
            <w:tcW w:w="489" w:type="pct"/>
            <w:vAlign w:val="center"/>
          </w:tcPr>
          <w:p w14:paraId="6105B96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2.8</w:t>
            </w:r>
          </w:p>
        </w:tc>
        <w:tc>
          <w:tcPr>
            <w:tcW w:w="489" w:type="pct"/>
            <w:vAlign w:val="center"/>
          </w:tcPr>
          <w:p w14:paraId="7385EAE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5.0</w:t>
            </w:r>
          </w:p>
        </w:tc>
        <w:tc>
          <w:tcPr>
            <w:tcW w:w="489" w:type="pct"/>
            <w:vAlign w:val="center"/>
          </w:tcPr>
          <w:p w14:paraId="1C8C493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9.0</w:t>
            </w:r>
          </w:p>
        </w:tc>
        <w:tc>
          <w:tcPr>
            <w:tcW w:w="489" w:type="pct"/>
            <w:vAlign w:val="center"/>
          </w:tcPr>
          <w:p w14:paraId="4EB6F56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22.9</w:t>
            </w:r>
          </w:p>
        </w:tc>
        <w:tc>
          <w:tcPr>
            <w:tcW w:w="488" w:type="pct"/>
            <w:vAlign w:val="center"/>
          </w:tcPr>
          <w:p w14:paraId="6025FF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76.6</w:t>
            </w:r>
          </w:p>
        </w:tc>
      </w:tr>
      <w:tr w14:paraId="4D8D586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Align w:val="center"/>
          </w:tcPr>
          <w:p w14:paraId="3352024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30</w:t>
            </w:r>
          </w:p>
        </w:tc>
        <w:tc>
          <w:tcPr>
            <w:tcW w:w="672" w:type="pct"/>
            <w:vAlign w:val="center"/>
          </w:tcPr>
          <w:p w14:paraId="2E338DA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489" w:type="pct"/>
            <w:vAlign w:val="center"/>
          </w:tcPr>
          <w:p w14:paraId="438F994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0.1</w:t>
            </w:r>
          </w:p>
        </w:tc>
        <w:tc>
          <w:tcPr>
            <w:tcW w:w="489" w:type="pct"/>
            <w:vAlign w:val="center"/>
          </w:tcPr>
          <w:p w14:paraId="7D01377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0.3</w:t>
            </w:r>
          </w:p>
        </w:tc>
        <w:tc>
          <w:tcPr>
            <w:tcW w:w="489" w:type="pct"/>
            <w:vAlign w:val="center"/>
          </w:tcPr>
          <w:p w14:paraId="586642F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489" w:type="pct"/>
            <w:vAlign w:val="center"/>
          </w:tcPr>
          <w:p w14:paraId="5C00B95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3.1</w:t>
            </w:r>
          </w:p>
        </w:tc>
        <w:tc>
          <w:tcPr>
            <w:tcW w:w="489" w:type="pct"/>
            <w:vAlign w:val="center"/>
          </w:tcPr>
          <w:p w14:paraId="2B6D7FE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7.4</w:t>
            </w:r>
          </w:p>
        </w:tc>
        <w:tc>
          <w:tcPr>
            <w:tcW w:w="489" w:type="pct"/>
            <w:vAlign w:val="center"/>
          </w:tcPr>
          <w:p w14:paraId="17118BF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12.7</w:t>
            </w:r>
          </w:p>
        </w:tc>
        <w:tc>
          <w:tcPr>
            <w:tcW w:w="489" w:type="pct"/>
            <w:vAlign w:val="center"/>
          </w:tcPr>
          <w:p w14:paraId="56F54F2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23.1</w:t>
            </w:r>
          </w:p>
        </w:tc>
        <w:tc>
          <w:tcPr>
            <w:tcW w:w="488" w:type="pct"/>
            <w:vAlign w:val="center"/>
          </w:tcPr>
          <w:p w14:paraId="2E95051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59.3</w:t>
            </w:r>
          </w:p>
        </w:tc>
      </w:tr>
      <w:tr w14:paraId="7305952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Align w:val="center"/>
          </w:tcPr>
          <w:p w14:paraId="0394CD8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15</w:t>
            </w:r>
          </w:p>
        </w:tc>
        <w:tc>
          <w:tcPr>
            <w:tcW w:w="672" w:type="pct"/>
            <w:vAlign w:val="center"/>
          </w:tcPr>
          <w:p w14:paraId="0218181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w:t>
            </w:r>
          </w:p>
        </w:tc>
        <w:tc>
          <w:tcPr>
            <w:tcW w:w="489" w:type="pct"/>
            <w:vAlign w:val="center"/>
          </w:tcPr>
          <w:p w14:paraId="3ACF506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0.3</w:t>
            </w:r>
          </w:p>
        </w:tc>
        <w:tc>
          <w:tcPr>
            <w:tcW w:w="489" w:type="pct"/>
            <w:vAlign w:val="center"/>
          </w:tcPr>
          <w:p w14:paraId="6BB833E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0.6</w:t>
            </w:r>
          </w:p>
        </w:tc>
        <w:tc>
          <w:tcPr>
            <w:tcW w:w="489" w:type="pct"/>
            <w:vAlign w:val="center"/>
          </w:tcPr>
          <w:p w14:paraId="005AD24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1.2</w:t>
            </w:r>
          </w:p>
        </w:tc>
        <w:tc>
          <w:tcPr>
            <w:tcW w:w="489" w:type="pct"/>
            <w:vAlign w:val="center"/>
          </w:tcPr>
          <w:p w14:paraId="56FC422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2.7</w:t>
            </w:r>
          </w:p>
        </w:tc>
        <w:tc>
          <w:tcPr>
            <w:tcW w:w="489" w:type="pct"/>
            <w:vAlign w:val="center"/>
          </w:tcPr>
          <w:p w14:paraId="07B3571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8.2</w:t>
            </w:r>
          </w:p>
        </w:tc>
        <w:tc>
          <w:tcPr>
            <w:tcW w:w="489" w:type="pct"/>
            <w:vAlign w:val="center"/>
          </w:tcPr>
          <w:p w14:paraId="76D7EA3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28.2</w:t>
            </w:r>
          </w:p>
        </w:tc>
        <w:tc>
          <w:tcPr>
            <w:tcW w:w="489" w:type="pct"/>
            <w:vAlign w:val="center"/>
          </w:tcPr>
          <w:p w14:paraId="37EDF4E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28.8</w:t>
            </w:r>
          </w:p>
        </w:tc>
        <w:tc>
          <w:tcPr>
            <w:tcW w:w="488" w:type="pct"/>
            <w:vAlign w:val="center"/>
          </w:tcPr>
          <w:p w14:paraId="52D9B3B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202.0</w:t>
            </w:r>
          </w:p>
        </w:tc>
      </w:tr>
      <w:tr w14:paraId="7D5B449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Align w:val="center"/>
          </w:tcPr>
          <w:p w14:paraId="63B04A8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15</w:t>
            </w:r>
          </w:p>
        </w:tc>
        <w:tc>
          <w:tcPr>
            <w:tcW w:w="672" w:type="pct"/>
            <w:vAlign w:val="center"/>
          </w:tcPr>
          <w:p w14:paraId="4469B25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50</w:t>
            </w:r>
          </w:p>
        </w:tc>
        <w:tc>
          <w:tcPr>
            <w:tcW w:w="489" w:type="pct"/>
            <w:vAlign w:val="center"/>
          </w:tcPr>
          <w:p w14:paraId="539096B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0.1</w:t>
            </w:r>
          </w:p>
        </w:tc>
        <w:tc>
          <w:tcPr>
            <w:tcW w:w="489" w:type="pct"/>
            <w:vAlign w:val="center"/>
          </w:tcPr>
          <w:p w14:paraId="43E6B9B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0.5</w:t>
            </w:r>
          </w:p>
        </w:tc>
        <w:tc>
          <w:tcPr>
            <w:tcW w:w="489" w:type="pct"/>
            <w:vAlign w:val="center"/>
          </w:tcPr>
          <w:p w14:paraId="3D548ED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1.2</w:t>
            </w:r>
          </w:p>
        </w:tc>
        <w:tc>
          <w:tcPr>
            <w:tcW w:w="489" w:type="pct"/>
            <w:vAlign w:val="center"/>
          </w:tcPr>
          <w:p w14:paraId="15C974E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2.2</w:t>
            </w:r>
          </w:p>
        </w:tc>
        <w:tc>
          <w:tcPr>
            <w:tcW w:w="489" w:type="pct"/>
            <w:vAlign w:val="center"/>
          </w:tcPr>
          <w:p w14:paraId="65588D2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4.2</w:t>
            </w:r>
          </w:p>
        </w:tc>
        <w:tc>
          <w:tcPr>
            <w:tcW w:w="489" w:type="pct"/>
            <w:vAlign w:val="center"/>
          </w:tcPr>
          <w:p w14:paraId="6F6F1E2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10.8</w:t>
            </w:r>
          </w:p>
        </w:tc>
        <w:tc>
          <w:tcPr>
            <w:tcW w:w="489" w:type="pct"/>
            <w:vAlign w:val="center"/>
          </w:tcPr>
          <w:p w14:paraId="7AC0008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36.2</w:t>
            </w:r>
          </w:p>
        </w:tc>
        <w:tc>
          <w:tcPr>
            <w:tcW w:w="488" w:type="pct"/>
            <w:vAlign w:val="center"/>
          </w:tcPr>
          <w:p w14:paraId="2EC5DA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129.0</w:t>
            </w:r>
          </w:p>
        </w:tc>
      </w:tr>
      <w:tr w14:paraId="7F87FB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417" w:type="pct"/>
            <w:vAlign w:val="center"/>
          </w:tcPr>
          <w:p w14:paraId="07581C5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15</w:t>
            </w:r>
          </w:p>
        </w:tc>
        <w:tc>
          <w:tcPr>
            <w:tcW w:w="672" w:type="pct"/>
            <w:vAlign w:val="center"/>
          </w:tcPr>
          <w:p w14:paraId="540634B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80</w:t>
            </w:r>
          </w:p>
        </w:tc>
        <w:tc>
          <w:tcPr>
            <w:tcW w:w="489" w:type="pct"/>
            <w:vAlign w:val="center"/>
          </w:tcPr>
          <w:p w14:paraId="6CF17F9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0.1</w:t>
            </w:r>
          </w:p>
        </w:tc>
        <w:tc>
          <w:tcPr>
            <w:tcW w:w="489" w:type="pct"/>
            <w:vAlign w:val="center"/>
          </w:tcPr>
          <w:p w14:paraId="35E382A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0.3</w:t>
            </w:r>
          </w:p>
        </w:tc>
        <w:tc>
          <w:tcPr>
            <w:tcW w:w="489" w:type="pct"/>
            <w:vAlign w:val="center"/>
          </w:tcPr>
          <w:p w14:paraId="0954857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1.1</w:t>
            </w:r>
          </w:p>
        </w:tc>
        <w:tc>
          <w:tcPr>
            <w:tcW w:w="489" w:type="pct"/>
            <w:vAlign w:val="center"/>
          </w:tcPr>
          <w:p w14:paraId="0E120EC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2.4</w:t>
            </w:r>
          </w:p>
        </w:tc>
        <w:tc>
          <w:tcPr>
            <w:tcW w:w="489" w:type="pct"/>
            <w:vAlign w:val="center"/>
          </w:tcPr>
          <w:p w14:paraId="37CC0B3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4.1</w:t>
            </w:r>
          </w:p>
        </w:tc>
        <w:tc>
          <w:tcPr>
            <w:tcW w:w="489" w:type="pct"/>
            <w:vAlign w:val="center"/>
          </w:tcPr>
          <w:p w14:paraId="79C79D1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8.3</w:t>
            </w:r>
          </w:p>
        </w:tc>
        <w:tc>
          <w:tcPr>
            <w:tcW w:w="489" w:type="pct"/>
            <w:vAlign w:val="center"/>
          </w:tcPr>
          <w:p w14:paraId="641BEE6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23.7</w:t>
            </w:r>
          </w:p>
        </w:tc>
        <w:tc>
          <w:tcPr>
            <w:tcW w:w="488" w:type="pct"/>
            <w:vAlign w:val="center"/>
          </w:tcPr>
          <w:p w14:paraId="2441C32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82.8</w:t>
            </w:r>
          </w:p>
        </w:tc>
      </w:tr>
    </w:tbl>
    <w:p w14:paraId="669EAE8D">
      <w:pPr>
        <w:pStyle w:val="124"/>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②地面吸收引起的衰减量</w:t>
      </w:r>
      <w:r>
        <w:rPr>
          <w:color w:val="000000" w:themeColor="text1"/>
          <w14:textFill>
            <w14:solidFill>
              <w14:schemeClr w14:val="tx1"/>
            </w14:solidFill>
          </w14:textFill>
        </w:rPr>
        <w:t>（</w:t>
      </w:r>
      <w:r>
        <w:rPr>
          <w:i/>
          <w:color w:val="000000" w:themeColor="text1"/>
          <w14:textFill>
            <w14:solidFill>
              <w14:schemeClr w14:val="tx1"/>
            </w14:solidFill>
          </w14:textFill>
        </w:rPr>
        <w:t>A</w:t>
      </w:r>
      <w:r>
        <w:rPr>
          <w:i/>
          <w:color w:val="000000" w:themeColor="text1"/>
          <w:vertAlign w:val="subscript"/>
          <w14:textFill>
            <w14:solidFill>
              <w14:schemeClr w14:val="tx1"/>
            </w14:solidFill>
          </w14:textFill>
        </w:rPr>
        <w:t>gr</w:t>
      </w:r>
      <w:r>
        <w:rPr>
          <w:color w:val="000000" w:themeColor="text1"/>
          <w14:textFill>
            <w14:solidFill>
              <w14:schemeClr w14:val="tx1"/>
            </w14:solidFill>
          </w14:textFill>
        </w:rPr>
        <w:t>）</w:t>
      </w:r>
    </w:p>
    <w:p w14:paraId="6117D087">
      <w:pPr>
        <w:ind w:firstLine="480"/>
        <w:rPr>
          <w:color w:val="000000" w:themeColor="text1"/>
          <w14:textFill>
            <w14:solidFill>
              <w14:schemeClr w14:val="tx1"/>
            </w14:solidFill>
          </w14:textFill>
        </w:rPr>
      </w:pPr>
      <w:r>
        <w:rPr>
          <w:color w:val="000000" w:themeColor="text1"/>
          <w14:textFill>
            <w14:solidFill>
              <w14:schemeClr w14:val="tx1"/>
            </w14:solidFill>
          </w14:textFill>
        </w:rPr>
        <w:t>地面</w:t>
      </w:r>
      <w:r>
        <w:rPr>
          <w:rFonts w:hint="eastAsia"/>
          <w:color w:val="000000" w:themeColor="text1"/>
          <w14:textFill>
            <w14:solidFill>
              <w14:schemeClr w14:val="tx1"/>
            </w14:solidFill>
          </w14:textFill>
        </w:rPr>
        <w:t>吸收引起的衰减量</w:t>
      </w:r>
      <w:r>
        <w:rPr>
          <w:color w:val="000000" w:themeColor="text1"/>
          <w14:textFill>
            <w14:solidFill>
              <w14:schemeClr w14:val="tx1"/>
            </w14:solidFill>
          </w14:textFill>
        </w:rPr>
        <w:t>可用以下公式计算：</w:t>
      </w:r>
    </w:p>
    <w:p w14:paraId="4F08E95F">
      <w:pPr>
        <w:ind w:firstLine="480"/>
        <w:jc w:val="center"/>
        <w:rPr>
          <w:color w:val="000000" w:themeColor="text1"/>
          <w14:textFill>
            <w14:solidFill>
              <w14:schemeClr w14:val="tx1"/>
            </w14:solidFill>
          </w14:textFill>
        </w:rPr>
      </w:pPr>
      <w:r>
        <w:rPr>
          <w:color w:val="000000" w:themeColor="text1"/>
          <w:kern w:val="44"/>
          <w:position w:val="-28"/>
          <w14:textFill>
            <w14:solidFill>
              <w14:schemeClr w14:val="tx1"/>
            </w14:solidFill>
          </w14:textFill>
        </w:rPr>
        <w:object>
          <v:shape id="_x0000_i1051" o:spt="75" type="#_x0000_t75" style="height:29.25pt;width:130.55pt;" o:ole="t" filled="f" o:preferrelative="t" stroked="f" coordsize="21600,21600">
            <v:path/>
            <v:fill on="f" focussize="0,0"/>
            <v:stroke on="f" joinstyle="miter"/>
            <v:imagedata r:id="rId132" o:title=""/>
            <o:lock v:ext="edit" aspectratio="t"/>
            <w10:wrap type="none"/>
            <w10:anchorlock/>
          </v:shape>
          <o:OLEObject Type="Embed" ProgID="Equation.3" ShapeID="_x0000_i1051" DrawAspect="Content" ObjectID="_1468075751" r:id="rId131">
            <o:LockedField>false</o:LockedField>
          </o:OLEObject>
        </w:object>
      </w:r>
    </w:p>
    <w:p w14:paraId="2A57C298">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iCs/>
          <w:color w:val="000000" w:themeColor="text1"/>
          <w14:textFill>
            <w14:solidFill>
              <w14:schemeClr w14:val="tx1"/>
            </w14:solidFill>
          </w14:textFill>
        </w:rPr>
        <w:t>A</w:t>
      </w:r>
      <w:r>
        <w:rPr>
          <w:i/>
          <w:iCs/>
          <w:color w:val="000000" w:themeColor="text1"/>
          <w:vertAlign w:val="subscript"/>
          <w14:textFill>
            <w14:solidFill>
              <w14:schemeClr w14:val="tx1"/>
            </w14:solidFill>
          </w14:textFill>
        </w:rPr>
        <w:t>gr</w:t>
      </w:r>
      <w:r>
        <w:rPr>
          <w:color w:val="000000" w:themeColor="text1"/>
          <w14:textFill>
            <w14:solidFill>
              <w14:schemeClr w14:val="tx1"/>
            </w14:solidFill>
          </w14:textFill>
        </w:rPr>
        <w:t>—地面效应引起的衰减，dB；</w:t>
      </w:r>
    </w:p>
    <w:p w14:paraId="2415D972">
      <w:pPr>
        <w:ind w:firstLine="1200" w:firstLineChars="500"/>
        <w:rPr>
          <w:color w:val="000000" w:themeColor="text1"/>
          <w14:textFill>
            <w14:solidFill>
              <w14:schemeClr w14:val="tx1"/>
            </w14:solidFill>
          </w14:textFill>
        </w:rPr>
      </w:pPr>
      <w:r>
        <w:rPr>
          <w:i/>
          <w:color w:val="000000" w:themeColor="text1"/>
          <w14:textFill>
            <w14:solidFill>
              <w14:schemeClr w14:val="tx1"/>
            </w14:solidFill>
          </w14:textFill>
        </w:rPr>
        <w:t>r</w:t>
      </w:r>
      <w:r>
        <w:rPr>
          <w:color w:val="000000" w:themeColor="text1"/>
          <w14:textFill>
            <w14:solidFill>
              <w14:schemeClr w14:val="tx1"/>
            </w14:solidFill>
          </w14:textFill>
        </w:rPr>
        <w:t>——声源到预测点的距离，m；</w:t>
      </w:r>
    </w:p>
    <w:p w14:paraId="0F1FF88C">
      <w:pPr>
        <w:ind w:firstLine="1200" w:firstLineChars="500"/>
        <w:rPr>
          <w:color w:val="000000" w:themeColor="text1"/>
          <w14:textFill>
            <w14:solidFill>
              <w14:schemeClr w14:val="tx1"/>
            </w14:solidFill>
          </w14:textFill>
        </w:rPr>
      </w:pPr>
      <w:r>
        <w:rPr>
          <w:i/>
          <w:color w:val="000000" w:themeColor="text1"/>
          <w14:textFill>
            <w14:solidFill>
              <w14:schemeClr w14:val="tx1"/>
            </w14:solidFill>
          </w14:textFill>
        </w:rPr>
        <w:t>h</w:t>
      </w:r>
      <w:r>
        <w:rPr>
          <w:i/>
          <w:color w:val="000000" w:themeColor="text1"/>
          <w:vertAlign w:val="subscript"/>
          <w14:textFill>
            <w14:solidFill>
              <w14:schemeClr w14:val="tx1"/>
            </w14:solidFill>
          </w14:textFill>
        </w:rPr>
        <w:t>m</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传播路径的平均离地高度，m；可按图 B.2 计算，</w:t>
      </w:r>
      <w:r>
        <w:rPr>
          <w:rFonts w:hint="eastAsia"/>
          <w:i/>
          <w:iCs/>
          <w:color w:val="000000" w:themeColor="text1"/>
          <w14:textFill>
            <w14:solidFill>
              <w14:schemeClr w14:val="tx1"/>
            </w14:solidFill>
          </w14:textFill>
        </w:rPr>
        <w:t>h</w:t>
      </w:r>
      <w:r>
        <w:rPr>
          <w:rFonts w:hint="eastAsia"/>
          <w:i/>
          <w:iCs/>
          <w:color w:val="000000" w:themeColor="text1"/>
          <w:vertAlign w:val="subscript"/>
          <w14:textFill>
            <w14:solidFill>
              <w14:schemeClr w14:val="tx1"/>
            </w14:solidFill>
          </w14:textFill>
        </w:rPr>
        <w:t>m</w:t>
      </w:r>
      <w:r>
        <w:rPr>
          <w:rFonts w:hint="eastAsia"/>
          <w:color w:val="000000" w:themeColor="text1"/>
          <w14:textFill>
            <w14:solidFill>
              <w14:schemeClr w14:val="tx1"/>
            </w14:solidFill>
          </w14:textFill>
        </w:rPr>
        <w:t>=F/r，F 为阴影面积，m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 xml:space="preserve">。若 </w:t>
      </w:r>
      <w:r>
        <w:rPr>
          <w:rFonts w:hint="eastAsia"/>
          <w:i/>
          <w:iCs/>
          <w:color w:val="000000" w:themeColor="text1"/>
          <w14:textFill>
            <w14:solidFill>
              <w14:schemeClr w14:val="tx1"/>
            </w14:solidFill>
          </w14:textFill>
        </w:rPr>
        <w:t>A</w:t>
      </w:r>
      <w:r>
        <w:rPr>
          <w:rFonts w:hint="eastAsia"/>
          <w:i/>
          <w:iCs/>
          <w:color w:val="000000" w:themeColor="text1"/>
          <w:vertAlign w:val="subscript"/>
          <w14:textFill>
            <w14:solidFill>
              <w14:schemeClr w14:val="tx1"/>
            </w14:solidFill>
          </w14:textFill>
        </w:rPr>
        <w:t>gr</w:t>
      </w:r>
      <w:r>
        <w:rPr>
          <w:rFonts w:hint="eastAsia"/>
          <w:i/>
          <w:iCs/>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计算出负值，则</w:t>
      </w:r>
      <w:r>
        <w:rPr>
          <w:rFonts w:hint="eastAsia"/>
          <w:i/>
          <w:iCs/>
          <w:color w:val="000000" w:themeColor="text1"/>
          <w14:textFill>
            <w14:solidFill>
              <w14:schemeClr w14:val="tx1"/>
            </w14:solidFill>
          </w14:textFill>
        </w:rPr>
        <w:t>A</w:t>
      </w:r>
      <w:r>
        <w:rPr>
          <w:rFonts w:hint="eastAsia"/>
          <w:i/>
          <w:iCs/>
          <w:color w:val="000000" w:themeColor="text1"/>
          <w:vertAlign w:val="subscript"/>
          <w14:textFill>
            <w14:solidFill>
              <w14:schemeClr w14:val="tx1"/>
            </w14:solidFill>
          </w14:textFill>
        </w:rPr>
        <w:t>gr</w:t>
      </w:r>
      <w:r>
        <w:rPr>
          <w:rFonts w:hint="eastAsia"/>
          <w:color w:val="000000" w:themeColor="text1"/>
          <w14:textFill>
            <w14:solidFill>
              <w14:schemeClr w14:val="tx1"/>
            </w14:solidFill>
          </w14:textFill>
        </w:rPr>
        <w:t>可取 0，其他情况可参照 GB/T 17247.2 计算。</w:t>
      </w:r>
    </w:p>
    <w:p w14:paraId="652B3F29">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040505" cy="1746885"/>
            <wp:effectExtent l="0" t="0" r="0" b="571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33" cstate="email"/>
                    <a:stretch>
                      <a:fillRect/>
                    </a:stretch>
                  </pic:blipFill>
                  <pic:spPr>
                    <a:xfrm>
                      <a:off x="0" y="0"/>
                      <a:ext cx="4072808" cy="1761320"/>
                    </a:xfrm>
                    <a:prstGeom prst="rect">
                      <a:avLst/>
                    </a:prstGeom>
                  </pic:spPr>
                </pic:pic>
              </a:graphicData>
            </a:graphic>
          </wp:inline>
        </w:drawing>
      </w:r>
    </w:p>
    <w:p w14:paraId="398D83F4">
      <w:pPr>
        <w:pStyle w:val="122"/>
        <w:rPr>
          <w:color w:val="000000" w:themeColor="text1"/>
          <w14:textFill>
            <w14:solidFill>
              <w14:schemeClr w14:val="tx1"/>
            </w14:solidFill>
          </w14:textFill>
        </w:rPr>
      </w:pPr>
      <w:bookmarkStart w:id="727" w:name="_Ref144455099"/>
      <w:r>
        <w:rPr>
          <w:color w:val="000000" w:themeColor="text1"/>
          <w14:textFill>
            <w14:solidFill>
              <w14:schemeClr w14:val="tx1"/>
            </w14:solidFill>
          </w14:textFill>
        </w:rPr>
        <w:t>估计平均高度</w:t>
      </w:r>
      <w:r>
        <w:rPr>
          <w:i/>
          <w:iCs/>
          <w:color w:val="000000" w:themeColor="text1"/>
          <w14:textFill>
            <w14:solidFill>
              <w14:schemeClr w14:val="tx1"/>
            </w14:solidFill>
          </w14:textFill>
        </w:rPr>
        <w:t>h</w:t>
      </w:r>
      <w:r>
        <w:rPr>
          <w:i/>
          <w:iCs/>
          <w:color w:val="000000" w:themeColor="text1"/>
          <w:vertAlign w:val="subscript"/>
          <w14:textFill>
            <w14:solidFill>
              <w14:schemeClr w14:val="tx1"/>
            </w14:solidFill>
          </w14:textFill>
        </w:rPr>
        <w:t>m</w:t>
      </w:r>
      <w:r>
        <w:rPr>
          <w:color w:val="000000" w:themeColor="text1"/>
          <w14:textFill>
            <w14:solidFill>
              <w14:schemeClr w14:val="tx1"/>
            </w14:solidFill>
          </w14:textFill>
        </w:rPr>
        <w:t>的方法</w:t>
      </w:r>
      <w:bookmarkEnd w:id="727"/>
    </w:p>
    <w:p w14:paraId="77327BB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③遮挡物引起的衰减量（</w:t>
      </w:r>
      <w:bookmarkStart w:id="728" w:name="hmcheck_acc3f0cdde2e46d0b47e4c734bb6327d"/>
      <w:r>
        <w:rPr>
          <w:rFonts w:hint="eastAsia"/>
          <w:i/>
          <w:iCs/>
          <w:color w:val="000000" w:themeColor="text1"/>
          <w:shd w:val="clear" w:fill="FFAFAA"/>
          <w14:textFill>
            <w14:solidFill>
              <w14:schemeClr w14:val="tx1"/>
            </w14:solidFill>
          </w14:textFill>
        </w:rPr>
        <w:t>A</w:t>
      </w:r>
      <w:r>
        <w:rPr>
          <w:rFonts w:hint="eastAsia"/>
          <w:i/>
          <w:iCs/>
          <w:color w:val="000000" w:themeColor="text1"/>
          <w:shd w:val="clear" w:fill="FFAFAA"/>
          <w:vertAlign w:val="subscript"/>
          <w14:textFill>
            <w14:solidFill>
              <w14:schemeClr w14:val="tx1"/>
            </w14:solidFill>
          </w14:textFill>
        </w:rPr>
        <w:t>bar</w:t>
      </w:r>
      <w:bookmarkEnd w:id="728"/>
      <w:r>
        <w:rPr>
          <w:rFonts w:hint="eastAsia"/>
          <w:color w:val="000000" w:themeColor="text1"/>
          <w14:textFill>
            <w14:solidFill>
              <w14:schemeClr w14:val="tx1"/>
            </w14:solidFill>
          </w14:textFill>
        </w:rPr>
        <w:t>）</w:t>
      </w:r>
    </w:p>
    <w:p w14:paraId="37CE82FF">
      <w:pPr>
        <w:ind w:firstLine="480"/>
        <w:rPr>
          <w:i/>
          <w:iCs/>
          <w:color w:val="000000" w:themeColor="text1"/>
          <w14:textFill>
            <w14:solidFill>
              <w14:schemeClr w14:val="tx1"/>
            </w14:solidFill>
          </w14:textFill>
        </w:rPr>
      </w:pPr>
      <w:r>
        <w:rPr>
          <w:rFonts w:hint="eastAsia"/>
          <w:color w:val="000000" w:themeColor="text1"/>
          <w14:textFill>
            <w14:solidFill>
              <w14:schemeClr w14:val="tx1"/>
            </w14:solidFill>
          </w14:textFill>
        </w:rPr>
        <w:t>遮挡物引起的衰减量按公式计算：</w:t>
      </w:r>
      <w:bookmarkStart w:id="729" w:name="hmcheck_71c554a7c0d8477fafc18067b476c7fa"/>
      <w:r>
        <w:rPr>
          <w:i/>
          <w:iCs/>
          <w:color w:val="000000" w:themeColor="text1"/>
          <w:shd w:val="clear" w:fill="FFAFAA"/>
          <w14:textFill>
            <w14:solidFill>
              <w14:schemeClr w14:val="tx1"/>
            </w14:solidFill>
          </w14:textFill>
        </w:rPr>
        <w:t>A</w:t>
      </w:r>
      <w:r>
        <w:rPr>
          <w:i/>
          <w:iCs/>
          <w:color w:val="000000" w:themeColor="text1"/>
          <w:shd w:val="clear" w:fill="FFAFAA"/>
          <w:vertAlign w:val="subscript"/>
          <w14:textFill>
            <w14:solidFill>
              <w14:schemeClr w14:val="tx1"/>
            </w14:solidFill>
          </w14:textFill>
        </w:rPr>
        <w:t>bar</w:t>
      </w:r>
      <w:bookmarkEnd w:id="729"/>
      <w:r>
        <w:rPr>
          <w:i/>
          <w:iCs/>
          <w:color w:val="000000" w:themeColor="text1"/>
          <w14:textFill>
            <w14:solidFill>
              <w14:schemeClr w14:val="tx1"/>
            </w14:solidFill>
          </w14:textFill>
        </w:rPr>
        <w:t xml:space="preserve">=∆L </w:t>
      </w:r>
      <w:r>
        <w:rPr>
          <w:rFonts w:hint="eastAsia"/>
          <w:color w:val="000000" w:themeColor="text1"/>
          <w:vertAlign w:val="subscript"/>
          <w14:textFill>
            <w14:solidFill>
              <w14:schemeClr w14:val="tx1"/>
            </w14:solidFill>
          </w14:textFill>
        </w:rPr>
        <w:t>建筑物</w:t>
      </w:r>
      <w:r>
        <w:rPr>
          <w:rFonts w:hint="eastAsia"/>
          <w:i/>
          <w:iCs/>
          <w:color w:val="000000" w:themeColor="text1"/>
          <w14:textFill>
            <w14:solidFill>
              <w14:schemeClr w14:val="tx1"/>
            </w14:solidFill>
          </w14:textFill>
        </w:rPr>
        <w:t>＋</w:t>
      </w:r>
      <w:r>
        <w:rPr>
          <w:i/>
          <w:iCs/>
          <w:color w:val="000000" w:themeColor="text1"/>
          <w14:textFill>
            <w14:solidFill>
              <w14:schemeClr w14:val="tx1"/>
            </w14:solidFill>
          </w14:textFill>
        </w:rPr>
        <w:t>∆L</w:t>
      </w:r>
      <w:r>
        <w:rPr>
          <w:i/>
          <w:iCs/>
          <w:color w:val="000000" w:themeColor="text1"/>
          <w:vertAlign w:val="subscript"/>
          <w14:textFill>
            <w14:solidFill>
              <w14:schemeClr w14:val="tx1"/>
            </w14:solidFill>
          </w14:textFill>
        </w:rPr>
        <w:t xml:space="preserve"> </w:t>
      </w:r>
      <w:r>
        <w:rPr>
          <w:rFonts w:hint="eastAsia"/>
          <w:color w:val="000000" w:themeColor="text1"/>
          <w:vertAlign w:val="subscript"/>
          <w14:textFill>
            <w14:solidFill>
              <w14:schemeClr w14:val="tx1"/>
            </w14:solidFill>
          </w14:textFill>
        </w:rPr>
        <w:t>声影区</w:t>
      </w:r>
    </w:p>
    <w:p w14:paraId="4105680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w:t>
      </w:r>
      <w:bookmarkStart w:id="730" w:name="hmcheck_4abc0d611a2741d28a5c71a4300f6cd3"/>
      <w:r>
        <w:rPr>
          <w:rFonts w:hint="eastAsia"/>
          <w:i/>
          <w:iCs/>
          <w:color w:val="000000" w:themeColor="text1"/>
          <w:shd w:val="clear" w:fill="FFAFAA"/>
          <w14:textFill>
            <w14:solidFill>
              <w14:schemeClr w14:val="tx1"/>
            </w14:solidFill>
          </w14:textFill>
        </w:rPr>
        <w:t>A</w:t>
      </w:r>
      <w:r>
        <w:rPr>
          <w:rFonts w:hint="eastAsia"/>
          <w:i/>
          <w:iCs/>
          <w:color w:val="000000" w:themeColor="text1"/>
          <w:shd w:val="clear" w:fill="FFAFAA"/>
          <w:vertAlign w:val="subscript"/>
          <w14:textFill>
            <w14:solidFill>
              <w14:schemeClr w14:val="tx1"/>
            </w14:solidFill>
          </w14:textFill>
        </w:rPr>
        <w:t>bar</w:t>
      </w:r>
      <w:bookmarkEnd w:id="730"/>
      <w:r>
        <w:rPr>
          <w:rFonts w:hint="eastAsia"/>
          <w:color w:val="000000" w:themeColor="text1"/>
          <w14:textFill>
            <w14:solidFill>
              <w14:schemeClr w14:val="tx1"/>
            </w14:solidFill>
          </w14:textFill>
        </w:rPr>
        <w:t>——遮挡物引起的衰减量，dB(A)；</w:t>
      </w:r>
    </w:p>
    <w:p w14:paraId="0EB5A1FE">
      <w:pPr>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 xml:space="preserve">∆L </w:t>
      </w:r>
      <w:r>
        <w:rPr>
          <w:rFonts w:hint="eastAsia"/>
          <w:color w:val="000000" w:themeColor="text1"/>
          <w:vertAlign w:val="subscript"/>
          <w14:textFill>
            <w14:solidFill>
              <w14:schemeClr w14:val="tx1"/>
            </w14:solidFill>
          </w14:textFill>
        </w:rPr>
        <w:t>建筑物</w:t>
      </w:r>
      <w:r>
        <w:rPr>
          <w:rFonts w:hint="eastAsia"/>
          <w:color w:val="000000" w:themeColor="text1"/>
          <w14:textFill>
            <w14:solidFill>
              <w14:schemeClr w14:val="tx1"/>
            </w14:solidFill>
          </w14:textFill>
        </w:rPr>
        <w:t>——建筑物引起的衰减量，</w:t>
      </w:r>
      <w:r>
        <w:rPr>
          <w:color w:val="000000" w:themeColor="text1"/>
          <w14:textFill>
            <w14:solidFill>
              <w14:schemeClr w14:val="tx1"/>
            </w14:solidFill>
          </w14:textFill>
        </w:rPr>
        <w:t>dB(A)</w:t>
      </w:r>
      <w:r>
        <w:rPr>
          <w:rFonts w:hint="eastAsia"/>
          <w:color w:val="000000" w:themeColor="text1"/>
          <w14:textFill>
            <w14:solidFill>
              <w14:schemeClr w14:val="tx1"/>
            </w14:solidFill>
          </w14:textFill>
        </w:rPr>
        <w:t>；</w:t>
      </w:r>
    </w:p>
    <w:p w14:paraId="4FCEF213">
      <w:pPr>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 xml:space="preserve">∆L </w:t>
      </w:r>
      <w:r>
        <w:rPr>
          <w:rFonts w:hint="eastAsia"/>
          <w:color w:val="000000" w:themeColor="text1"/>
          <w:vertAlign w:val="subscript"/>
          <w14:textFill>
            <w14:solidFill>
              <w14:schemeClr w14:val="tx1"/>
            </w14:solidFill>
          </w14:textFill>
        </w:rPr>
        <w:t>声影区</w:t>
      </w:r>
      <w:r>
        <w:rPr>
          <w:rFonts w:hint="eastAsia"/>
          <w:color w:val="000000" w:themeColor="text1"/>
          <w14:textFill>
            <w14:solidFill>
              <w14:schemeClr w14:val="tx1"/>
            </w14:solidFill>
          </w14:textFill>
        </w:rPr>
        <w:t>——路堤和路堑引起的衰减量，</w:t>
      </w:r>
      <w:r>
        <w:rPr>
          <w:color w:val="000000" w:themeColor="text1"/>
          <w14:textFill>
            <w14:solidFill>
              <w14:schemeClr w14:val="tx1"/>
            </w14:solidFill>
          </w14:textFill>
        </w:rPr>
        <w:t>dB(A)</w:t>
      </w:r>
      <w:r>
        <w:rPr>
          <w:rFonts w:hint="eastAsia"/>
          <w:color w:val="000000" w:themeColor="text1"/>
          <w14:textFill>
            <w14:solidFill>
              <w14:schemeClr w14:val="tx1"/>
            </w14:solidFill>
          </w14:textFill>
        </w:rPr>
        <w:t>。</w:t>
      </w:r>
    </w:p>
    <w:p w14:paraId="1BBA968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（3）建筑物引起的衰减量（</w:t>
      </w:r>
      <w:r>
        <w:rPr>
          <w:color w:val="000000" w:themeColor="text1"/>
          <w14:textFill>
            <w14:solidFill>
              <w14:schemeClr w14:val="tx1"/>
            </w14:solidFill>
          </w14:textFill>
        </w:rPr>
        <w:t xml:space="preserve">∆L </w:t>
      </w:r>
      <w:r>
        <w:rPr>
          <w:rFonts w:hint="eastAsia"/>
          <w:color w:val="000000" w:themeColor="text1"/>
          <w14:textFill>
            <w14:solidFill>
              <w14:schemeClr w14:val="tx1"/>
            </w14:solidFill>
          </w14:textFill>
        </w:rPr>
        <w:t>建筑物）</w:t>
      </w:r>
      <w:r>
        <w:rPr>
          <w:color w:val="000000" w:themeColor="text1"/>
          <w14:textFill>
            <w14:solidFill>
              <w14:schemeClr w14:val="tx1"/>
            </w14:solidFill>
          </w14:textFill>
        </w:rPr>
        <w:t xml:space="preserve"> </w:t>
      </w:r>
    </w:p>
    <w:p w14:paraId="4B4BF76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建筑物引起的衰减量可参照 GB/T 17247.2 附录 A3 计算，在沿公路第一排房屋声影区范围内，可按</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_Ref177219289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图5.4-3</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_Ref177219417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表5.4-4</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近似计算。</w:t>
      </w:r>
    </w:p>
    <w:p w14:paraId="1141FB9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176780" cy="932815"/>
            <wp:effectExtent l="0" t="0" r="0" b="635"/>
            <wp:docPr id="1622346489" name="图片 162234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89" name="图片 1622346489"/>
                    <pic:cNvPicPr>
                      <a:picLocks noChangeAspect="1"/>
                    </pic:cNvPicPr>
                  </pic:nvPicPr>
                  <pic:blipFill>
                    <a:blip r:embed="rId134" cstate="email"/>
                    <a:stretch>
                      <a:fillRect/>
                    </a:stretch>
                  </pic:blipFill>
                  <pic:spPr>
                    <a:xfrm>
                      <a:off x="0" y="0"/>
                      <a:ext cx="2189153" cy="938657"/>
                    </a:xfrm>
                    <a:prstGeom prst="rect">
                      <a:avLst/>
                    </a:prstGeom>
                  </pic:spPr>
                </pic:pic>
              </a:graphicData>
            </a:graphic>
          </wp:inline>
        </w:drawing>
      </w:r>
    </w:p>
    <w:p w14:paraId="29D51C4D">
      <w:pPr>
        <w:pStyle w:val="10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注 1：第一排房屋面积 S=S</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+S</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+……+S</w:t>
      </w:r>
      <w:r>
        <w:rPr>
          <w:rFonts w:hint="eastAsia"/>
          <w:color w:val="000000" w:themeColor="text1"/>
          <w:vertAlign w:val="subscript"/>
          <w14:textFill>
            <w14:solidFill>
              <w14:schemeClr w14:val="tx1"/>
            </w14:solidFill>
          </w14:textFill>
        </w:rPr>
        <w:t>n</w:t>
      </w:r>
    </w:p>
    <w:p w14:paraId="2FE301A2">
      <w:pPr>
        <w:pStyle w:val="105"/>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注 2：S</w:t>
      </w:r>
      <w:r>
        <w:rPr>
          <w:rFonts w:hint="eastAsia"/>
          <w:color w:val="000000" w:themeColor="text1"/>
          <w:vertAlign w:val="subscript"/>
          <w14:textFill>
            <w14:solidFill>
              <w14:schemeClr w14:val="tx1"/>
            </w14:solidFill>
          </w14:textFill>
        </w:rPr>
        <w:t xml:space="preserve">0 </w:t>
      </w:r>
      <w:r>
        <w:rPr>
          <w:rFonts w:hint="eastAsia"/>
          <w:color w:val="000000" w:themeColor="text1"/>
          <w14:textFill>
            <w14:solidFill>
              <w14:schemeClr w14:val="tx1"/>
            </w14:solidFill>
          </w14:textFill>
        </w:rPr>
        <w:t>为接受点对房屋张角至行车线三角形的面积</w:t>
      </w:r>
    </w:p>
    <w:p w14:paraId="4512B0F1">
      <w:pPr>
        <w:pStyle w:val="122"/>
        <w:rPr>
          <w:color w:val="000000" w:themeColor="text1"/>
          <w14:textFill>
            <w14:solidFill>
              <w14:schemeClr w14:val="tx1"/>
            </w14:solidFill>
          </w14:textFill>
        </w:rPr>
      </w:pPr>
      <w:bookmarkStart w:id="731" w:name="_Ref177219289"/>
      <w:r>
        <w:rPr>
          <w:rFonts w:hint="eastAsia"/>
          <w:color w:val="000000" w:themeColor="text1"/>
          <w14:textFill>
            <w14:solidFill>
              <w14:schemeClr w14:val="tx1"/>
            </w14:solidFill>
          </w14:textFill>
        </w:rPr>
        <w:t>建筑物引起的衰减量计算示意图</w:t>
      </w:r>
      <w:bookmarkEnd w:id="731"/>
    </w:p>
    <w:p w14:paraId="0D9EBEE2">
      <w:pPr>
        <w:pStyle w:val="87"/>
        <w:spacing w:before="163"/>
        <w:rPr>
          <w:color w:val="000000" w:themeColor="text1"/>
          <w14:textFill>
            <w14:solidFill>
              <w14:schemeClr w14:val="tx1"/>
            </w14:solidFill>
          </w14:textFill>
        </w:rPr>
      </w:pPr>
      <w:bookmarkStart w:id="732" w:name="_Ref177219417"/>
      <w:r>
        <w:rPr>
          <w:rFonts w:hint="eastAsia"/>
          <w:color w:val="000000" w:themeColor="text1"/>
          <w14:textFill>
            <w14:solidFill>
              <w14:schemeClr w14:val="tx1"/>
            </w14:solidFill>
          </w14:textFill>
        </w:rPr>
        <w:t>建筑物引起的衰减量估算值</w:t>
      </w:r>
      <w:bookmarkEnd w:id="732"/>
    </w:p>
    <w:tbl>
      <w:tblPr>
        <w:tblStyle w:val="14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14:paraId="1A9C90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vAlign w:val="center"/>
          </w:tcPr>
          <w:p w14:paraId="0982307A">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S/S</w:t>
            </w:r>
            <w:r>
              <w:rPr>
                <w:snapToGrid w:val="0"/>
                <w:color w:val="000000" w:themeColor="text1"/>
                <w:vertAlign w:val="subscript"/>
                <w14:textFill>
                  <w14:solidFill>
                    <w14:schemeClr w14:val="tx1"/>
                  </w14:solidFill>
                </w14:textFill>
              </w:rPr>
              <w:t>0</w:t>
            </w:r>
          </w:p>
        </w:tc>
        <w:tc>
          <w:tcPr>
            <w:tcW w:w="4530" w:type="dxa"/>
            <w:vAlign w:val="center"/>
          </w:tcPr>
          <w:p w14:paraId="25E8CCBE">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衰减量</w:t>
            </w:r>
            <w:r>
              <w:rPr>
                <w:snapToGrid w:val="0"/>
                <w:color w:val="000000" w:themeColor="text1"/>
                <w14:textFill>
                  <w14:solidFill>
                    <w14:schemeClr w14:val="tx1"/>
                  </w14:solidFill>
                </w14:textFill>
              </w:rPr>
              <w:t>∆L</w:t>
            </w:r>
            <w:r>
              <w:rPr>
                <w:rFonts w:hint="eastAsia"/>
                <w:snapToGrid w:val="0"/>
                <w:color w:val="000000" w:themeColor="text1"/>
                <w:vertAlign w:val="subscript"/>
                <w14:textFill>
                  <w14:solidFill>
                    <w14:schemeClr w14:val="tx1"/>
                  </w14:solidFill>
                </w14:textFill>
              </w:rPr>
              <w:t>建筑物</w:t>
            </w:r>
            <w:r>
              <w:rPr>
                <w:snapToGrid w:val="0"/>
                <w:color w:val="000000" w:themeColor="text1"/>
                <w14:textFill>
                  <w14:solidFill>
                    <w14:schemeClr w14:val="tx1"/>
                  </w14:solidFill>
                </w14:textFill>
              </w:rPr>
              <w:t>[dB(A)]</w:t>
            </w:r>
          </w:p>
        </w:tc>
      </w:tr>
      <w:tr w14:paraId="1A82A2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vAlign w:val="center"/>
          </w:tcPr>
          <w:p w14:paraId="7DAB41CF">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40%</w:t>
            </w:r>
            <w:bookmarkStart w:id="733" w:name="hmcheck_70352b732e924608aee167957bbf0cb9"/>
            <w:r>
              <w:rPr>
                <w:rFonts w:hint="eastAsia"/>
                <w:snapToGrid w:val="0"/>
                <w:color w:val="000000" w:themeColor="text1"/>
                <w:shd w:val="clear" w:fill="FFAFAA"/>
                <w14:textFill>
                  <w14:solidFill>
                    <w14:schemeClr w14:val="tx1"/>
                  </w14:solidFill>
                </w14:textFill>
              </w:rPr>
              <w:t>~</w:t>
            </w:r>
            <w:bookmarkEnd w:id="733"/>
            <w:r>
              <w:rPr>
                <w:rFonts w:hint="eastAsia"/>
                <w:snapToGrid w:val="0"/>
                <w:color w:val="000000" w:themeColor="text1"/>
                <w14:textFill>
                  <w14:solidFill>
                    <w14:schemeClr w14:val="tx1"/>
                  </w14:solidFill>
                </w14:textFill>
              </w:rPr>
              <w:t>60%</w:t>
            </w:r>
          </w:p>
        </w:tc>
        <w:tc>
          <w:tcPr>
            <w:tcW w:w="4530" w:type="dxa"/>
            <w:vAlign w:val="center"/>
          </w:tcPr>
          <w:p w14:paraId="7F22BCB0">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3</w:t>
            </w:r>
          </w:p>
        </w:tc>
      </w:tr>
      <w:tr w14:paraId="6FDC0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vAlign w:val="center"/>
          </w:tcPr>
          <w:p w14:paraId="57D1C536">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70%</w:t>
            </w:r>
            <w:bookmarkStart w:id="734" w:name="hmcheck_dc1186c78a674e318408481f8de3754a"/>
            <w:r>
              <w:rPr>
                <w:rFonts w:hint="eastAsia"/>
                <w:snapToGrid w:val="0"/>
                <w:color w:val="000000" w:themeColor="text1"/>
                <w:shd w:val="clear" w:fill="FFAFAA"/>
                <w14:textFill>
                  <w14:solidFill>
                    <w14:schemeClr w14:val="tx1"/>
                  </w14:solidFill>
                </w14:textFill>
              </w:rPr>
              <w:t>~</w:t>
            </w:r>
            <w:bookmarkEnd w:id="734"/>
            <w:r>
              <w:rPr>
                <w:rFonts w:hint="eastAsia"/>
                <w:snapToGrid w:val="0"/>
                <w:color w:val="000000" w:themeColor="text1"/>
                <w14:textFill>
                  <w14:solidFill>
                    <w14:schemeClr w14:val="tx1"/>
                  </w14:solidFill>
                </w14:textFill>
              </w:rPr>
              <w:t>90%</w:t>
            </w:r>
          </w:p>
        </w:tc>
        <w:tc>
          <w:tcPr>
            <w:tcW w:w="4530" w:type="dxa"/>
            <w:vAlign w:val="center"/>
          </w:tcPr>
          <w:p w14:paraId="6E21267F">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5</w:t>
            </w:r>
          </w:p>
        </w:tc>
      </w:tr>
      <w:tr w14:paraId="0CA355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vAlign w:val="center"/>
          </w:tcPr>
          <w:p w14:paraId="232CBF71">
            <w:pPr>
              <w:pStyle w:val="105"/>
              <w:jc w:val="center"/>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以后每增加一排房屋</w:t>
            </w:r>
          </w:p>
        </w:tc>
        <w:tc>
          <w:tcPr>
            <w:tcW w:w="4530" w:type="dxa"/>
            <w:vAlign w:val="center"/>
          </w:tcPr>
          <w:p w14:paraId="27D0EADE">
            <w:pPr>
              <w:pStyle w:val="105"/>
              <w:jc w:val="center"/>
              <w:rPr>
                <w:snapToGrid w:val="0"/>
                <w:color w:val="000000" w:themeColor="text1"/>
                <w14:textFill>
                  <w14:solidFill>
                    <w14:schemeClr w14:val="tx1"/>
                  </w14:solidFill>
                </w14:textFill>
              </w:rPr>
            </w:pPr>
            <w:r>
              <w:rPr>
                <w:snapToGrid w:val="0"/>
                <w:color w:val="000000" w:themeColor="text1"/>
                <w14:textFill>
                  <w14:solidFill>
                    <w14:schemeClr w14:val="tx1"/>
                  </w14:solidFill>
                </w14:textFill>
              </w:rPr>
              <w:t>1.5</w:t>
            </w:r>
            <w:r>
              <w:rPr>
                <w:rFonts w:hint="eastAsia"/>
                <w:snapToGrid w:val="0"/>
                <w:color w:val="000000" w:themeColor="text1"/>
                <w14:textFill>
                  <w14:solidFill>
                    <w14:schemeClr w14:val="tx1"/>
                  </w14:solidFill>
                </w14:textFill>
              </w:rPr>
              <w:t>最大衰减量≤10</w:t>
            </w:r>
          </w:p>
        </w:tc>
      </w:tr>
      <w:tr w14:paraId="3A6A2D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060" w:type="dxa"/>
            <w:gridSpan w:val="2"/>
            <w:vAlign w:val="center"/>
          </w:tcPr>
          <w:p w14:paraId="48EC25B6">
            <w:pPr>
              <w:pStyle w:val="10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注：仅适用于平路堤路侧的建筑物。</w:t>
            </w:r>
          </w:p>
        </w:tc>
      </w:tr>
    </w:tbl>
    <w:p w14:paraId="78B67225">
      <w:pPr>
        <w:pStyle w:val="124"/>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（4）路堤或路堑引起的衰减量（</w:t>
      </w:r>
      <w:r>
        <w:rPr>
          <w:color w:val="000000" w:themeColor="text1"/>
          <w14:textFill>
            <w14:solidFill>
              <w14:schemeClr w14:val="tx1"/>
            </w14:solidFill>
          </w14:textFill>
        </w:rPr>
        <w:t xml:space="preserve"> </w:t>
      </w:r>
      <w:r>
        <w:rPr>
          <w:i/>
          <w:iCs/>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声影区）</w:t>
      </w:r>
    </w:p>
    <w:p w14:paraId="07D7D57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当预测点位于声影区时，</w:t>
      </w:r>
      <w:r>
        <w:rPr>
          <w:color w:val="000000" w:themeColor="text1"/>
          <w14:textFill>
            <w14:solidFill>
              <w14:schemeClr w14:val="tx1"/>
            </w14:solidFill>
          </w14:textFill>
        </w:rPr>
        <w:t xml:space="preserve">  </w:t>
      </w:r>
      <w:r>
        <w:rPr>
          <w:i/>
          <w:iCs/>
          <w:color w:val="000000" w:themeColor="text1"/>
          <w14:textFill>
            <w14:solidFill>
              <w14:schemeClr w14:val="tx1"/>
            </w14:solidFill>
          </w14:textFill>
        </w:rPr>
        <w:t>∆L</w:t>
      </w:r>
      <w:r>
        <w:rPr>
          <w:rFonts w:hint="eastAsia"/>
          <w:color w:val="000000" w:themeColor="text1"/>
          <w:vertAlign w:val="subscript"/>
          <w14:textFill>
            <w14:solidFill>
              <w14:schemeClr w14:val="tx1"/>
            </w14:solidFill>
          </w14:textFill>
        </w:rPr>
        <w:t>声影区</w:t>
      </w:r>
      <w:r>
        <w:rPr>
          <w:rFonts w:hint="eastAsia"/>
          <w:color w:val="000000" w:themeColor="text1"/>
          <w14:textFill>
            <w14:solidFill>
              <w14:schemeClr w14:val="tx1"/>
            </w14:solidFill>
          </w14:textFill>
        </w:rPr>
        <w:t>按公式计算：</w:t>
      </w:r>
    </w:p>
    <w:p w14:paraId="2EC5C601">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906395" cy="1036955"/>
            <wp:effectExtent l="0" t="0" r="8255" b="0"/>
            <wp:docPr id="1622346490" name="图片 162234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90" name="图片 1622346490"/>
                    <pic:cNvPicPr>
                      <a:picLocks noChangeAspect="1"/>
                    </pic:cNvPicPr>
                  </pic:nvPicPr>
                  <pic:blipFill>
                    <a:blip r:embed="rId135" cstate="email"/>
                    <a:stretch>
                      <a:fillRect/>
                    </a:stretch>
                  </pic:blipFill>
                  <pic:spPr>
                    <a:xfrm>
                      <a:off x="0" y="0"/>
                      <a:ext cx="2919571" cy="1041968"/>
                    </a:xfrm>
                    <a:prstGeom prst="rect">
                      <a:avLst/>
                    </a:prstGeom>
                  </pic:spPr>
                </pic:pic>
              </a:graphicData>
            </a:graphic>
          </wp:inline>
        </w:drawing>
      </w:r>
    </w:p>
    <w:p w14:paraId="44601F54">
      <w:pPr>
        <w:ind w:firstLine="480"/>
        <w:rPr>
          <w:color w:val="000000" w:themeColor="text1"/>
          <w14:textFill>
            <w14:solidFill>
              <w14:schemeClr w14:val="tx1"/>
            </w14:solidFill>
          </w14:textFill>
        </w:rPr>
      </w:pPr>
      <w:r>
        <w:rPr>
          <w:color w:val="000000" w:themeColor="text1"/>
          <w14:textFill>
            <w14:solidFill>
              <w14:schemeClr w14:val="tx1"/>
            </w14:solidFill>
          </w14:textFill>
        </w:rPr>
        <w:t>式中：</w:t>
      </w:r>
      <w:r>
        <w:rPr>
          <w:i/>
          <w:color w:val="000000" w:themeColor="text1"/>
          <w14:textFill>
            <w14:solidFill>
              <w14:schemeClr w14:val="tx1"/>
            </w14:solidFill>
          </w14:textFill>
        </w:rPr>
        <w:t>N</w:t>
      </w:r>
      <w:r>
        <w:rPr>
          <w:color w:val="000000" w:themeColor="text1"/>
          <w14:textFill>
            <w14:solidFill>
              <w14:schemeClr w14:val="tx1"/>
            </w14:solidFill>
          </w14:textFill>
        </w:rPr>
        <w:t>—菲涅耳数；</w:t>
      </w:r>
      <w:r>
        <w:rPr>
          <w:color w:val="000000" w:themeColor="text1"/>
          <w14:textFill>
            <w14:solidFill>
              <w14:schemeClr w14:val="tx1"/>
            </w14:solidFill>
          </w14:textFill>
        </w:rPr>
        <w:drawing>
          <wp:inline distT="0" distB="0" distL="0" distR="0">
            <wp:extent cx="477520" cy="323850"/>
            <wp:effectExtent l="0" t="0" r="0" b="0"/>
            <wp:docPr id="1622346491" name="图片 162234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91" name="图片 1622346491"/>
                    <pic:cNvPicPr>
                      <a:picLocks noChangeAspect="1"/>
                    </pic:cNvPicPr>
                  </pic:nvPicPr>
                  <pic:blipFill>
                    <a:blip r:embed="rId136" cstate="email"/>
                    <a:stretch>
                      <a:fillRect/>
                    </a:stretch>
                  </pic:blipFill>
                  <pic:spPr>
                    <a:xfrm>
                      <a:off x="0" y="0"/>
                      <a:ext cx="486666" cy="330342"/>
                    </a:xfrm>
                    <a:prstGeom prst="rect">
                      <a:avLst/>
                    </a:prstGeom>
                  </pic:spPr>
                </pic:pic>
              </a:graphicData>
            </a:graphic>
          </wp:inline>
        </w:drawing>
      </w:r>
    </w:p>
    <w:p w14:paraId="3235C795">
      <w:pPr>
        <w:ind w:firstLine="1200" w:firstLineChars="500"/>
        <w:rPr>
          <w:color w:val="000000" w:themeColor="text1"/>
          <w14:textFill>
            <w14:solidFill>
              <w14:schemeClr w14:val="tx1"/>
            </w14:solidFill>
          </w14:textFill>
        </w:rPr>
      </w:pPr>
      <w:r>
        <w:rPr>
          <w:i/>
          <w:color w:val="000000" w:themeColor="text1"/>
          <w14:textFill>
            <w14:solidFill>
              <w14:schemeClr w14:val="tx1"/>
            </w14:solidFill>
          </w14:textFill>
        </w:rPr>
        <w:t>λ</w:t>
      </w:r>
      <w:r>
        <w:rPr>
          <w:color w:val="000000" w:themeColor="text1"/>
          <w14:textFill>
            <w14:solidFill>
              <w14:schemeClr w14:val="tx1"/>
            </w14:solidFill>
          </w14:textFill>
        </w:rPr>
        <w:t>—声波波长，m；</w:t>
      </w:r>
    </w:p>
    <w:p w14:paraId="31F625FA">
      <w:pPr>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δ</w:t>
      </w:r>
      <w:r>
        <w:rPr>
          <w:color w:val="000000" w:themeColor="text1"/>
          <w14:textFill>
            <w14:solidFill>
              <w14:schemeClr w14:val="tx1"/>
            </w14:solidFill>
          </w14:textFill>
        </w:rPr>
        <w:t>—声程差，m；由</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_Ref152319697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图5.4-4</w:t>
      </w:r>
      <w:r>
        <w:rPr>
          <w:color w:val="000000" w:themeColor="text1"/>
          <w14:textFill>
            <w14:solidFill>
              <w14:schemeClr w14:val="tx1"/>
            </w14:solidFill>
          </w14:textFill>
        </w:rPr>
        <w:fldChar w:fldCharType="end"/>
      </w:r>
      <w:r>
        <w:rPr>
          <w:color w:val="000000" w:themeColor="text1"/>
          <w14:textFill>
            <w14:solidFill>
              <w14:schemeClr w14:val="tx1"/>
            </w14:solidFill>
          </w14:textFill>
        </w:rPr>
        <w:t>计算</w:t>
      </w:r>
      <w:r>
        <w:rPr>
          <w:i/>
          <w:iCs/>
          <w:color w:val="000000" w:themeColor="text1"/>
          <w14:textFill>
            <w14:solidFill>
              <w14:schemeClr w14:val="tx1"/>
            </w14:solidFill>
          </w14:textFill>
        </w:rPr>
        <w:t>δ</w:t>
      </w:r>
      <w:r>
        <w:rPr>
          <w:color w:val="000000" w:themeColor="text1"/>
          <w14:textFill>
            <w14:solidFill>
              <w14:schemeClr w14:val="tx1"/>
            </w14:solidFill>
          </w14:textFill>
        </w:rPr>
        <w:t>，</w:t>
      </w:r>
      <w:r>
        <w:rPr>
          <w:i/>
          <w:iCs/>
          <w:color w:val="000000" w:themeColor="text1"/>
          <w14:textFill>
            <w14:solidFill>
              <w14:schemeClr w14:val="tx1"/>
            </w14:solidFill>
          </w14:textFill>
        </w:rPr>
        <w:t>δ</w:t>
      </w:r>
      <w:r>
        <w:rPr>
          <w:color w:val="000000" w:themeColor="text1"/>
          <w14:textFill>
            <w14:solidFill>
              <w14:schemeClr w14:val="tx1"/>
            </w14:solidFill>
          </w14:textFill>
        </w:rPr>
        <w:t>=</w:t>
      </w:r>
      <w:r>
        <w:rPr>
          <w:i/>
          <w:iCs/>
          <w:color w:val="000000" w:themeColor="text1"/>
          <w14:textFill>
            <w14:solidFill>
              <w14:schemeClr w14:val="tx1"/>
            </w14:solidFill>
          </w14:textFill>
        </w:rPr>
        <w:t>a+b-c</w:t>
      </w:r>
      <w:r>
        <w:rPr>
          <w:color w:val="000000" w:themeColor="text1"/>
          <w14:textFill>
            <w14:solidFill>
              <w14:schemeClr w14:val="tx1"/>
            </w14:solidFill>
          </w14:textFill>
        </w:rPr>
        <w:t>。</w:t>
      </w:r>
    </w:p>
    <w:p w14:paraId="07007C3E">
      <w:pPr>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a</w:t>
      </w:r>
      <w:r>
        <w:rPr>
          <w:color w:val="000000" w:themeColor="text1"/>
          <w14:textFill>
            <w14:solidFill>
              <w14:schemeClr w14:val="tx1"/>
            </w14:solidFill>
          </w14:textFill>
        </w:rPr>
        <w:t>—声源与路基边缘（或路堑顶部）距离，m；</w:t>
      </w:r>
    </w:p>
    <w:p w14:paraId="745B2BDC">
      <w:pPr>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b</w:t>
      </w:r>
      <w:r>
        <w:rPr>
          <w:color w:val="000000" w:themeColor="text1"/>
          <w14:textFill>
            <w14:solidFill>
              <w14:schemeClr w14:val="tx1"/>
            </w14:solidFill>
          </w14:textFill>
        </w:rPr>
        <w:t>—接受（预测）点至路基边缘（或路堑顶部）距离，m；</w:t>
      </w:r>
    </w:p>
    <w:p w14:paraId="60328BBC">
      <w:pPr>
        <w:ind w:firstLine="1200" w:firstLineChars="500"/>
        <w:rPr>
          <w:color w:val="000000" w:themeColor="text1"/>
          <w14:textFill>
            <w14:solidFill>
              <w14:schemeClr w14:val="tx1"/>
            </w14:solidFill>
          </w14:textFill>
        </w:rPr>
      </w:pPr>
      <w:r>
        <w:rPr>
          <w:i/>
          <w:iCs/>
          <w:color w:val="000000" w:themeColor="text1"/>
          <w14:textFill>
            <w14:solidFill>
              <w14:schemeClr w14:val="tx1"/>
            </w14:solidFill>
          </w14:textFill>
        </w:rPr>
        <w:t>c</w:t>
      </w:r>
      <w:r>
        <w:rPr>
          <w:color w:val="000000" w:themeColor="text1"/>
          <w14:textFill>
            <w14:solidFill>
              <w14:schemeClr w14:val="tx1"/>
            </w14:solidFill>
          </w14:textFill>
        </w:rPr>
        <w:t>—声源与接受（预测）点间的直线距离，m。</w:t>
      </w:r>
    </w:p>
    <w:p w14:paraId="794A174F">
      <w:pPr>
        <w:pStyle w:val="105"/>
        <w:jc w:val="center"/>
        <w:rPr>
          <w:color w:val="000000" w:themeColor="text1"/>
          <w:szCs w:val="24"/>
          <w14:textFill>
            <w14:solidFill>
              <w14:schemeClr w14:val="tx1"/>
            </w14:solidFill>
          </w14:textFill>
        </w:rPr>
      </w:pPr>
      <w:r>
        <w:rPr>
          <w:color w:val="000000" w:themeColor="text1"/>
          <w14:textFill>
            <w14:solidFill>
              <w14:schemeClr w14:val="tx1"/>
            </w14:solidFill>
          </w14:textFill>
        </w:rPr>
        <w:drawing>
          <wp:inline distT="0" distB="0" distL="0" distR="0">
            <wp:extent cx="4544695" cy="2352040"/>
            <wp:effectExtent l="0" t="0" r="8255" b="0"/>
            <wp:docPr id="1747986769" name="图片 1747986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986769" name="图片 1747986769"/>
                    <pic:cNvPicPr>
                      <a:picLocks noChangeAspect="1"/>
                    </pic:cNvPicPr>
                  </pic:nvPicPr>
                  <pic:blipFill>
                    <a:blip r:embed="rId137" cstate="email"/>
                    <a:stretch>
                      <a:fillRect/>
                    </a:stretch>
                  </pic:blipFill>
                  <pic:spPr>
                    <a:xfrm>
                      <a:off x="0" y="0"/>
                      <a:ext cx="4578337" cy="2369933"/>
                    </a:xfrm>
                    <a:prstGeom prst="rect">
                      <a:avLst/>
                    </a:prstGeom>
                  </pic:spPr>
                </pic:pic>
              </a:graphicData>
            </a:graphic>
          </wp:inline>
        </w:drawing>
      </w:r>
    </w:p>
    <w:p w14:paraId="63D92773">
      <w:pPr>
        <w:pStyle w:val="122"/>
        <w:rPr>
          <w:color w:val="000000" w:themeColor="text1"/>
          <w14:textFill>
            <w14:solidFill>
              <w14:schemeClr w14:val="tx1"/>
            </w14:solidFill>
          </w14:textFill>
        </w:rPr>
      </w:pPr>
      <w:bookmarkStart w:id="735" w:name="_Ref152319697"/>
      <w:r>
        <w:rPr>
          <w:rFonts w:hint="eastAsia"/>
          <w:color w:val="000000" w:themeColor="text1"/>
          <w14:textFill>
            <w14:solidFill>
              <w14:schemeClr w14:val="tx1"/>
            </w14:solidFill>
          </w14:textFill>
        </w:rPr>
        <w:t>声程差</w:t>
      </w:r>
      <w:r>
        <w:rPr>
          <w:color w:val="000000" w:themeColor="text1"/>
          <w14:textFill>
            <w14:solidFill>
              <w14:schemeClr w14:val="tx1"/>
            </w14:solidFill>
          </w14:textFill>
        </w:rPr>
        <w:drawing>
          <wp:inline distT="0" distB="0" distL="0" distR="0">
            <wp:extent cx="146685" cy="180975"/>
            <wp:effectExtent l="0" t="0" r="5715" b="9525"/>
            <wp:docPr id="1622346461" name="图片 1622346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61" name="图片 1622346461"/>
                    <pic:cNvPicPr>
                      <a:picLocks noChangeAspect="1" noChangeArrowheads="1"/>
                    </pic:cNvPicPr>
                  </pic:nvPicPr>
                  <pic:blipFill>
                    <a:blip r:embed="rId138" cstate="email"/>
                    <a:srcRect/>
                    <a:stretch>
                      <a:fillRect/>
                    </a:stretch>
                  </pic:blipFill>
                  <pic:spPr>
                    <a:xfrm>
                      <a:off x="0" y="0"/>
                      <a:ext cx="146685" cy="180975"/>
                    </a:xfrm>
                    <a:prstGeom prst="rect">
                      <a:avLst/>
                    </a:prstGeom>
                    <a:noFill/>
                    <a:ln>
                      <a:noFill/>
                    </a:ln>
                  </pic:spPr>
                </pic:pic>
              </a:graphicData>
            </a:graphic>
          </wp:inline>
        </w:drawing>
      </w:r>
      <w:r>
        <w:rPr>
          <w:rFonts w:hint="eastAsia"/>
          <w:color w:val="000000" w:themeColor="text1"/>
          <w14:textFill>
            <w14:solidFill>
              <w14:schemeClr w14:val="tx1"/>
            </w14:solidFill>
          </w14:textFill>
        </w:rPr>
        <w:t>计算示意图</w:t>
      </w:r>
      <w:bookmarkEnd w:id="735"/>
    </w:p>
    <w:p w14:paraId="5B08841C">
      <w:pPr>
        <w:ind w:firstLine="480"/>
        <w:rPr>
          <w:color w:val="000000" w:themeColor="text1"/>
          <w:szCs w:val="24"/>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rFonts w:hint="eastAsia"/>
          <w:color w:val="000000" w:themeColor="text1"/>
          <w:szCs w:val="24"/>
          <w14:textFill>
            <w14:solidFill>
              <w14:schemeClr w14:val="tx1"/>
            </w14:solidFill>
          </w14:textFill>
        </w:rPr>
        <w:t>线源绕射声衰减量的计算模式如下式：</w:t>
      </w:r>
    </w:p>
    <w:p w14:paraId="097890B5">
      <w:pPr>
        <w:ind w:firstLine="480"/>
        <w:jc w:val="center"/>
        <w:rPr>
          <w:color w:val="000000" w:themeColor="text1"/>
          <w:szCs w:val="24"/>
          <w14:textFill>
            <w14:solidFill>
              <w14:schemeClr w14:val="tx1"/>
            </w14:solidFill>
          </w14:textFill>
        </w:rPr>
      </w:pPr>
      <w:r>
        <w:rPr>
          <w:color w:val="000000" w:themeColor="text1"/>
          <w14:textFill>
            <w14:solidFill>
              <w14:schemeClr w14:val="tx1"/>
            </w14:solidFill>
          </w14:textFill>
        </w:rPr>
        <w:drawing>
          <wp:inline distT="0" distB="0" distL="0" distR="0">
            <wp:extent cx="2586990" cy="907415"/>
            <wp:effectExtent l="0" t="0" r="3810" b="6985"/>
            <wp:docPr id="1622346462" name="图片 1622346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46462" name="图片 1622346462"/>
                    <pic:cNvPicPr>
                      <a:picLocks noChangeAspect="1" noChangeArrowheads="1"/>
                    </pic:cNvPicPr>
                  </pic:nvPicPr>
                  <pic:blipFill>
                    <a:blip r:embed="rId139" cstate="email"/>
                    <a:srcRect/>
                    <a:stretch>
                      <a:fillRect/>
                    </a:stretch>
                  </pic:blipFill>
                  <pic:spPr>
                    <a:xfrm>
                      <a:off x="0" y="0"/>
                      <a:ext cx="2623209" cy="920235"/>
                    </a:xfrm>
                    <a:prstGeom prst="rect">
                      <a:avLst/>
                    </a:prstGeom>
                    <a:noFill/>
                    <a:ln>
                      <a:noFill/>
                    </a:ln>
                  </pic:spPr>
                </pic:pic>
              </a:graphicData>
            </a:graphic>
          </wp:inline>
        </w:drawing>
      </w:r>
    </w:p>
    <w:p w14:paraId="344B66E9">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其中：</w:t>
      </w:r>
      <w:r>
        <w:rPr>
          <w:color w:val="000000" w:themeColor="text1"/>
          <w14:textFill>
            <w14:solidFill>
              <w14:schemeClr w14:val="tx1"/>
            </w14:solidFill>
          </w14:textFill>
        </w:rPr>
        <w:t>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w:t>
      </w:r>
      <w:bookmarkStart w:id="736" w:name="hmcheck_f033e0fa6b274ee884467ebc5df6a643"/>
      <w:r>
        <w:rPr>
          <w:i/>
          <w:color w:val="000000" w:themeColor="text1"/>
          <w:shd w:val="clear" w:fill="FFAFAA"/>
          <w14:textFill>
            <w14:solidFill>
              <w14:schemeClr w14:val="tx1"/>
            </w14:solidFill>
          </w14:textFill>
        </w:rPr>
        <w:t>N</w:t>
      </w:r>
      <w:r>
        <w:rPr>
          <w:color w:val="000000" w:themeColor="text1"/>
          <w:shd w:val="clear" w:fill="FFAFAA"/>
          <w:vertAlign w:val="subscript"/>
          <w14:textFill>
            <w14:solidFill>
              <w14:schemeClr w14:val="tx1"/>
            </w14:solidFill>
          </w14:textFill>
        </w:rPr>
        <w:t>max</w:t>
      </w:r>
      <w:bookmarkEnd w:id="736"/>
      <w:r>
        <w:rPr>
          <w:color w:val="000000" w:themeColor="text1"/>
          <w14:textFill>
            <w14:solidFill>
              <w14:schemeClr w14:val="tx1"/>
            </w14:solidFill>
          </w14:textFill>
        </w:rPr>
        <w:t>/3</w:t>
      </w:r>
      <w:r>
        <w:rPr>
          <w:rFonts w:hint="eastAsia"/>
          <w:color w:val="000000" w:themeColor="text1"/>
          <w14:textFill>
            <w14:solidFill>
              <w14:schemeClr w14:val="tx1"/>
            </w14:solidFill>
          </w14:textFill>
        </w:rPr>
        <w:t>。</w:t>
      </w:r>
    </w:p>
    <w:p w14:paraId="23E89305">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交通噪声影响预测与评价</w:t>
      </w:r>
    </w:p>
    <w:p w14:paraId="016C64DF">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（1）预测参数</w:t>
      </w:r>
    </w:p>
    <w:p w14:paraId="3461DA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①公路噪声源强调查清单（车速、车流量、源强）详见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_Ref151018893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表3.9-7</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39E0B1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②公路基本情况：二级公路，</w:t>
      </w:r>
      <w:r>
        <w:rPr>
          <w:color w:val="000000" w:themeColor="text1"/>
          <w14:textFill>
            <w14:solidFill>
              <w14:schemeClr w14:val="tx1"/>
            </w14:solidFill>
          </w14:textFill>
        </w:rPr>
        <w:t>沥青砼路面</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双向</w:t>
      </w:r>
      <w:r>
        <w:rPr>
          <w:rFonts w:hint="eastAsia"/>
          <w:color w:val="000000" w:themeColor="text1"/>
          <w14:textFill>
            <w14:solidFill>
              <w14:schemeClr w14:val="tx1"/>
            </w14:solidFill>
          </w14:textFill>
        </w:rPr>
        <w:t>二</w:t>
      </w:r>
      <w:r>
        <w:rPr>
          <w:color w:val="000000" w:themeColor="text1"/>
          <w14:textFill>
            <w14:solidFill>
              <w14:schemeClr w14:val="tx1"/>
            </w14:solidFill>
          </w14:textFill>
        </w:rPr>
        <w:t>车道</w:t>
      </w:r>
      <w:r>
        <w:rPr>
          <w:rFonts w:hint="eastAsia"/>
          <w:color w:val="000000" w:themeColor="text1"/>
          <w14:textFill>
            <w14:solidFill>
              <w14:schemeClr w14:val="tx1"/>
            </w14:solidFill>
          </w14:textFill>
        </w:rPr>
        <w:t>设计。</w:t>
      </w:r>
    </w:p>
    <w:p w14:paraId="62788E5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③路基断面：路基</w:t>
      </w:r>
      <w:r>
        <w:rPr>
          <w:color w:val="000000" w:themeColor="text1"/>
          <w14:textFill>
            <w14:solidFill>
              <w14:schemeClr w14:val="tx1"/>
            </w14:solidFill>
          </w14:textFill>
        </w:rPr>
        <w:t>宽度</w:t>
      </w:r>
      <w:r>
        <w:rPr>
          <w:rFonts w:hint="eastAsia"/>
          <w:color w:val="000000" w:themeColor="text1"/>
          <w14:textFill>
            <w14:solidFill>
              <w14:schemeClr w14:val="tx1"/>
            </w14:solidFill>
          </w14:textFill>
        </w:rPr>
        <w:t>路线路基宽度12.0m，路基断面形式为：0.75m土路肩+1.75m硬路肩+2x3.50m行车道+1.75m硬路肩+0.75m土路肩，</w:t>
      </w:r>
      <w:r>
        <w:rPr>
          <w:rFonts w:hint="eastAsia"/>
          <w:b/>
          <w:bCs/>
          <w:color w:val="000000" w:themeColor="text1"/>
          <w14:textFill>
            <w14:solidFill>
              <w14:schemeClr w14:val="tx1"/>
            </w14:solidFill>
          </w14:textFill>
        </w:rPr>
        <w:t>上跨沈海高速桥梁段（大埔大桥</w:t>
      </w:r>
      <w:bookmarkStart w:id="737" w:name="hmcheck_a8fb1fd596ac442c9fcb085890b687e8"/>
      <w:r>
        <w:rPr>
          <w:rFonts w:hint="eastAsia"/>
          <w:b/>
          <w:bCs/>
          <w:color w:val="000000" w:themeColor="text1"/>
          <w:shd w:val="clear" w:fill="FFAFAA"/>
          <w14:textFill>
            <w14:solidFill>
              <w14:schemeClr w14:val="tx1"/>
            </w14:solidFill>
          </w14:textFill>
        </w:rPr>
        <w:t>）落</w:t>
      </w:r>
      <w:bookmarkEnd w:id="737"/>
      <w:r>
        <w:rPr>
          <w:rFonts w:hint="eastAsia"/>
          <w:b/>
          <w:bCs/>
          <w:color w:val="000000" w:themeColor="text1"/>
          <w14:textFill>
            <w14:solidFill>
              <w14:schemeClr w14:val="tx1"/>
            </w14:solidFill>
          </w14:textFill>
        </w:rPr>
        <w:t xml:space="preserve">拟按宽 </w:t>
      </w:r>
      <w:r>
        <w:rPr>
          <w:b/>
          <w:bCs/>
          <w:color w:val="000000" w:themeColor="text1"/>
          <w14:textFill>
            <w14:solidFill>
              <w14:schemeClr w14:val="tx1"/>
            </w14:solidFill>
          </w14:textFill>
        </w:rPr>
        <w:t>18.5</w:t>
      </w:r>
      <w:r>
        <w:rPr>
          <w:rFonts w:hint="eastAsia"/>
          <w:b/>
          <w:bCs/>
          <w:color w:val="000000" w:themeColor="text1"/>
          <w14:textFill>
            <w14:solidFill>
              <w14:schemeClr w14:val="tx1"/>
            </w14:solidFill>
          </w14:textFill>
        </w:rPr>
        <w:t>m（双幅桥）、设计速度60km/h、双向四车道的二级公路标准建设</w:t>
      </w:r>
      <w:r>
        <w:rPr>
          <w:rFonts w:hint="eastAsia"/>
          <w:color w:val="000000" w:themeColor="text1"/>
          <w14:textFill>
            <w14:solidFill>
              <w14:schemeClr w14:val="tx1"/>
            </w14:solidFill>
          </w14:textFill>
        </w:rPr>
        <w:t>。</w:t>
      </w:r>
    </w:p>
    <w:p w14:paraId="45C168B3">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）公路两侧水平交通噪声预测</w:t>
      </w:r>
    </w:p>
    <w:p w14:paraId="3FEE397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预测内容包括：运营期交通噪声各特征年、距中心线不同距离的交通噪声影响预测。交通噪声预测假设在平路基、开阔、平坦的地形条件下，不考虑构筑物和树木等附加声衰减，只考虑声波的距离衰减、空气吸收和软性地面（或地面附着物）附加吸收。该公路交通噪声影响预测结果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_Ref152319840 \r \h</w:instrText>
      </w:r>
      <w:r>
        <w:rPr>
          <w:color w:val="000000" w:themeColor="text1"/>
          <w14:textFill>
            <w14:solidFill>
              <w14:schemeClr w14:val="tx1"/>
            </w14:solidFill>
          </w14:textFill>
        </w:rPr>
        <w:instrText xml:space="preserve">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表5.4-5</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，噪声等值线图详见</w:t>
      </w:r>
      <w:bookmarkStart w:id="738" w:name="hmcheck_20dc493742e542b7bd4febbd58f6908f"/>
      <w:r>
        <w:rPr>
          <w:color w:val="000000" w:themeColor="text1"/>
          <w:shd w:val="clear" w:fill="FFAFAA"/>
          <w14:textFill>
            <w14:solidFill>
              <w14:schemeClr w14:val="tx1"/>
            </w14:solidFill>
          </w14:textFill>
        </w:rPr>
        <w:t>~</w:t>
      </w:r>
      <w:bookmarkEnd w:id="738"/>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_Ref193786678 \r \h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图5.4-7</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1B8CDCF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项目公路设计等级为二级公路，设计时速</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0km，路面为沥青混凝土，公路两侧含有4a和2类区，根据</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_Ref152319840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表5.4-5</w:t>
      </w:r>
      <w:r>
        <w:rPr>
          <w:color w:val="000000" w:themeColor="text1"/>
          <w14:textFill>
            <w14:solidFill>
              <w14:schemeClr w14:val="tx1"/>
            </w14:solidFill>
          </w14:textFill>
        </w:rPr>
        <w:fldChar w:fldCharType="end"/>
      </w:r>
      <w:bookmarkStart w:id="739" w:name="hmcheck_a6763b878d2d4b6584b8ff9e37f069d4"/>
      <w:r>
        <w:rPr>
          <w:rFonts w:hint="eastAsia"/>
          <w:color w:val="000000" w:themeColor="text1"/>
          <w:shd w:val="clear" w:fill="FFAFAA"/>
          <w14:textFill>
            <w14:solidFill>
              <w14:schemeClr w14:val="tx1"/>
            </w14:solidFill>
          </w14:textFill>
        </w:rPr>
        <w:t>的</w:t>
      </w:r>
      <w:bookmarkEnd w:id="739"/>
      <w:r>
        <w:rPr>
          <w:rFonts w:hint="eastAsia"/>
          <w:color w:val="000000" w:themeColor="text1"/>
          <w14:textFill>
            <w14:solidFill>
              <w14:schemeClr w14:val="tx1"/>
            </w14:solidFill>
          </w14:textFill>
        </w:rPr>
        <w:t>预测结果：</w:t>
      </w:r>
    </w:p>
    <w:p w14:paraId="2DCACB5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在4a类标准适用区内，项目全路段昼间近、中、远期噪声达标距离分别为距离中心线</w:t>
      </w:r>
      <w:r>
        <w:rPr>
          <w:color w:val="000000" w:themeColor="text1"/>
          <w14:textFill>
            <w14:solidFill>
              <w14:schemeClr w14:val="tx1"/>
            </w14:solidFill>
          </w14:textFill>
        </w:rPr>
        <w:t>11.0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11.8</w:t>
      </w:r>
      <w:r>
        <w:rPr>
          <w:rFonts w:hint="eastAsia"/>
          <w:color w:val="000000" w:themeColor="text1"/>
          <w14:textFill>
            <w14:solidFill>
              <w14:schemeClr w14:val="tx1"/>
            </w14:solidFill>
          </w14:textFill>
        </w:rPr>
        <w:t>m和</w:t>
      </w:r>
      <w:r>
        <w:rPr>
          <w:color w:val="000000" w:themeColor="text1"/>
          <w14:textFill>
            <w14:solidFill>
              <w14:schemeClr w14:val="tx1"/>
            </w14:solidFill>
          </w14:textFill>
        </w:rPr>
        <w:t>12.0</w:t>
      </w:r>
      <w:r>
        <w:rPr>
          <w:rFonts w:hint="eastAsia"/>
          <w:color w:val="000000" w:themeColor="text1"/>
          <w14:textFill>
            <w14:solidFill>
              <w14:schemeClr w14:val="tx1"/>
            </w14:solidFill>
          </w14:textFill>
        </w:rPr>
        <w:t>m；夜间近、中、远期噪声达标距离分别为距离中心线</w:t>
      </w:r>
      <w:r>
        <w:rPr>
          <w:color w:val="000000" w:themeColor="text1"/>
          <w14:textFill>
            <w14:solidFill>
              <w14:schemeClr w14:val="tx1"/>
            </w14:solidFill>
          </w14:textFill>
        </w:rPr>
        <w:t>17.0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17.6</w:t>
      </w:r>
      <w:r>
        <w:rPr>
          <w:rFonts w:hint="eastAsia"/>
          <w:color w:val="000000" w:themeColor="text1"/>
          <w14:textFill>
            <w14:solidFill>
              <w14:schemeClr w14:val="tx1"/>
            </w14:solidFill>
          </w14:textFill>
        </w:rPr>
        <w:t>m和</w:t>
      </w:r>
      <w:r>
        <w:rPr>
          <w:color w:val="000000" w:themeColor="text1"/>
          <w14:textFill>
            <w14:solidFill>
              <w14:schemeClr w14:val="tx1"/>
            </w14:solidFill>
          </w14:textFill>
        </w:rPr>
        <w:t>18.0</w:t>
      </w:r>
      <w:r>
        <w:rPr>
          <w:rFonts w:hint="eastAsia"/>
          <w:color w:val="000000" w:themeColor="text1"/>
          <w14:textFill>
            <w14:solidFill>
              <w14:schemeClr w14:val="tx1"/>
            </w14:solidFill>
          </w14:textFill>
        </w:rPr>
        <w:t>m。其中</w:t>
      </w:r>
      <w:r>
        <w:rPr>
          <w:rFonts w:hint="eastAsia" w:cs="Times New Roman"/>
          <w:color w:val="000000" w:themeColor="text1"/>
          <w14:textFill>
            <w14:solidFill>
              <w14:schemeClr w14:val="tx1"/>
            </w14:solidFill>
          </w14:textFill>
        </w:rPr>
        <w:t>公路半幅宽度为</w:t>
      </w:r>
      <w:r>
        <w:rPr>
          <w:rFonts w:cs="Times New Roman"/>
          <w:color w:val="000000" w:themeColor="text1"/>
          <w14:textFill>
            <w14:solidFill>
              <w14:schemeClr w14:val="tx1"/>
            </w14:solidFill>
          </w14:textFill>
        </w:rPr>
        <w:t>6</w:t>
      </w:r>
      <w:r>
        <w:rPr>
          <w:rFonts w:hint="eastAsia" w:cs="Times New Roman"/>
          <w:color w:val="000000" w:themeColor="text1"/>
          <w14:textFill>
            <w14:solidFill>
              <w14:schemeClr w14:val="tx1"/>
            </w14:solidFill>
          </w14:textFill>
        </w:rPr>
        <w:t>m</w:t>
      </w:r>
      <w:r>
        <w:rPr>
          <w:rFonts w:hint="eastAsia"/>
          <w:color w:val="000000" w:themeColor="text1"/>
          <w14:textFill>
            <w14:solidFill>
              <w14:schemeClr w14:val="tx1"/>
            </w14:solidFill>
          </w14:textFill>
        </w:rPr>
        <w:t>，因此，昼间达标距离分别为</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5.8</w:t>
      </w:r>
      <w:r>
        <w:rPr>
          <w:rFonts w:hint="eastAsia"/>
          <w:color w:val="000000" w:themeColor="text1"/>
          <w14:textFill>
            <w14:solidFill>
              <w14:schemeClr w14:val="tx1"/>
            </w14:solidFill>
          </w14:textFill>
        </w:rPr>
        <w:t>m和</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m，夜间达标距离分别为</w:t>
      </w:r>
      <w:r>
        <w:rPr>
          <w:color w:val="000000" w:themeColor="text1"/>
          <w14:textFill>
            <w14:solidFill>
              <w14:schemeClr w14:val="tx1"/>
            </w14:solidFill>
          </w14:textFill>
        </w:rPr>
        <w:t>11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11.6</w:t>
      </w:r>
      <w:r>
        <w:rPr>
          <w:rFonts w:hint="eastAsia"/>
          <w:color w:val="000000" w:themeColor="text1"/>
          <w14:textFill>
            <w14:solidFill>
              <w14:schemeClr w14:val="tx1"/>
            </w14:solidFill>
          </w14:textFill>
        </w:rPr>
        <w:t>m和</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w:t>
      </w:r>
    </w:p>
    <w:p w14:paraId="3F239B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在2类标准适用区内，项目全路段昼间近、中、远期噪声衰减至60dB的距离，分别为距离中心线</w:t>
      </w:r>
      <w:r>
        <w:rPr>
          <w:color w:val="000000" w:themeColor="text1"/>
          <w14:textFill>
            <w14:solidFill>
              <w14:schemeClr w14:val="tx1"/>
            </w14:solidFill>
          </w14:textFill>
        </w:rPr>
        <w:t>20.9</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28.9</w:t>
      </w:r>
      <w:r>
        <w:rPr>
          <w:rFonts w:hint="eastAsia"/>
          <w:color w:val="000000" w:themeColor="text1"/>
          <w14:textFill>
            <w14:solidFill>
              <w14:schemeClr w14:val="tx1"/>
            </w14:solidFill>
          </w14:textFill>
        </w:rPr>
        <w:t>m和</w:t>
      </w:r>
      <w:r>
        <w:rPr>
          <w:color w:val="000000" w:themeColor="text1"/>
          <w14:textFill>
            <w14:solidFill>
              <w14:schemeClr w14:val="tx1"/>
            </w14:solidFill>
          </w14:textFill>
        </w:rPr>
        <w:t>29.9</w:t>
      </w:r>
      <w:r>
        <w:rPr>
          <w:rFonts w:hint="eastAsia"/>
          <w:color w:val="000000" w:themeColor="text1"/>
          <w14:textFill>
            <w14:solidFill>
              <w14:schemeClr w14:val="tx1"/>
            </w14:solidFill>
          </w14:textFill>
        </w:rPr>
        <w:t>m；夜间噪声衰减至50dB的距离，近、中、远期噪声达标距离分别为距离中心线</w:t>
      </w:r>
      <w:r>
        <w:rPr>
          <w:color w:val="000000" w:themeColor="text1"/>
          <w14:textFill>
            <w14:solidFill>
              <w14:schemeClr w14:val="tx1"/>
            </w14:solidFill>
          </w14:textFill>
        </w:rPr>
        <w:t>26.1</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27.4</w:t>
      </w:r>
      <w:r>
        <w:rPr>
          <w:rFonts w:hint="eastAsia"/>
          <w:color w:val="000000" w:themeColor="text1"/>
          <w14:textFill>
            <w14:solidFill>
              <w14:schemeClr w14:val="tx1"/>
            </w14:solidFill>
          </w14:textFill>
        </w:rPr>
        <w:t>m和2</w:t>
      </w:r>
      <w:r>
        <w:rPr>
          <w:color w:val="000000" w:themeColor="text1"/>
          <w14:textFill>
            <w14:solidFill>
              <w14:schemeClr w14:val="tx1"/>
            </w14:solidFill>
          </w14:textFill>
        </w:rPr>
        <w:t>8.1</w:t>
      </w:r>
      <w:r>
        <w:rPr>
          <w:rFonts w:hint="eastAsia"/>
          <w:color w:val="000000" w:themeColor="text1"/>
          <w14:textFill>
            <w14:solidFill>
              <w14:schemeClr w14:val="tx1"/>
            </w14:solidFill>
          </w14:textFill>
        </w:rPr>
        <w:t>m。根据项目公路两侧功能区划，主线两侧2类区为</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m，因此在2类区内均能达到2类标准。</w:t>
      </w:r>
    </w:p>
    <w:p w14:paraId="391538E9">
      <w:pPr>
        <w:pStyle w:val="87"/>
        <w:spacing w:before="163"/>
        <w:rPr>
          <w:color w:val="000000" w:themeColor="text1"/>
          <w14:textFill>
            <w14:solidFill>
              <w14:schemeClr w14:val="tx1"/>
            </w14:solidFill>
          </w14:textFill>
        </w:rPr>
      </w:pPr>
      <w:bookmarkStart w:id="740" w:name="_Ref152319840"/>
      <w:r>
        <w:rPr>
          <w:rFonts w:hint="eastAsia"/>
          <w:color w:val="000000" w:themeColor="text1"/>
          <w14:textFill>
            <w14:solidFill>
              <w14:schemeClr w14:val="tx1"/>
            </w14:solidFill>
          </w14:textFill>
        </w:rPr>
        <w:t>全线路段</w:t>
      </w:r>
      <w:r>
        <w:rPr>
          <w:color w:val="000000" w:themeColor="text1"/>
          <w14:textFill>
            <w14:solidFill>
              <w14:schemeClr w14:val="tx1"/>
            </w14:solidFill>
          </w14:textFill>
        </w:rPr>
        <w:t>交通噪声影响预测噪声级分布表</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单位：dB（A）</w:t>
      </w:r>
      <w:bookmarkEnd w:id="740"/>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84"/>
        <w:gridCol w:w="355"/>
        <w:gridCol w:w="491"/>
        <w:gridCol w:w="910"/>
        <w:gridCol w:w="432"/>
        <w:gridCol w:w="432"/>
        <w:gridCol w:w="432"/>
        <w:gridCol w:w="432"/>
        <w:gridCol w:w="432"/>
        <w:gridCol w:w="432"/>
        <w:gridCol w:w="432"/>
        <w:gridCol w:w="432"/>
        <w:gridCol w:w="432"/>
        <w:gridCol w:w="530"/>
        <w:gridCol w:w="535"/>
        <w:gridCol w:w="793"/>
        <w:gridCol w:w="553"/>
        <w:gridCol w:w="631"/>
      </w:tblGrid>
      <w:tr w14:paraId="7EFA95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cantSplit/>
          <w:trHeight w:val="284" w:hRule="atLeast"/>
          <w:tblHeader/>
          <w:jc w:val="center"/>
        </w:trPr>
        <w:tc>
          <w:tcPr>
            <w:tcW w:w="212" w:type="pct"/>
            <w:vMerge w:val="restart"/>
            <w:vAlign w:val="center"/>
          </w:tcPr>
          <w:p w14:paraId="36DA780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w:t>
            </w:r>
          </w:p>
          <w:p w14:paraId="30B4666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段</w:t>
            </w:r>
          </w:p>
        </w:tc>
        <w:tc>
          <w:tcPr>
            <w:tcW w:w="196" w:type="pct"/>
            <w:vMerge w:val="restart"/>
            <w:vAlign w:val="center"/>
          </w:tcPr>
          <w:p w14:paraId="4CF5919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营</w:t>
            </w:r>
          </w:p>
          <w:p w14:paraId="546964F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运</w:t>
            </w:r>
          </w:p>
          <w:p w14:paraId="57D2D07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期</w:t>
            </w:r>
          </w:p>
        </w:tc>
        <w:tc>
          <w:tcPr>
            <w:tcW w:w="271" w:type="pct"/>
            <w:vMerge w:val="restart"/>
            <w:vAlign w:val="center"/>
          </w:tcPr>
          <w:p w14:paraId="3D619F2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时</w:t>
            </w:r>
          </w:p>
          <w:p w14:paraId="6732EC3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段</w:t>
            </w:r>
          </w:p>
        </w:tc>
        <w:tc>
          <w:tcPr>
            <w:tcW w:w="2936" w:type="pct"/>
            <w:gridSpan w:val="11"/>
            <w:vAlign w:val="center"/>
          </w:tcPr>
          <w:p w14:paraId="3FC0E97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预测点与</w:t>
            </w:r>
            <w:r>
              <w:rPr>
                <w:rFonts w:hint="eastAsia"/>
                <w:color w:val="000000" w:themeColor="text1"/>
                <w14:textFill>
                  <w14:solidFill>
                    <w14:schemeClr w14:val="tx1"/>
                  </w14:solidFill>
                </w14:textFill>
              </w:rPr>
              <w:t>公路</w:t>
            </w:r>
            <w:r>
              <w:rPr>
                <w:color w:val="000000" w:themeColor="text1"/>
                <w14:textFill>
                  <w14:solidFill>
                    <w14:schemeClr w14:val="tx1"/>
                  </w14:solidFill>
                </w14:textFill>
              </w:rPr>
              <w:t>中心线距离 (m)</w:t>
            </w:r>
          </w:p>
        </w:tc>
        <w:tc>
          <w:tcPr>
            <w:tcW w:w="732" w:type="pct"/>
            <w:gridSpan w:val="2"/>
            <w:vAlign w:val="center"/>
          </w:tcPr>
          <w:p w14:paraId="1367463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超4a类标准</w:t>
            </w:r>
          </w:p>
          <w:p w14:paraId="069D516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距离（m）</w:t>
            </w:r>
          </w:p>
        </w:tc>
        <w:tc>
          <w:tcPr>
            <w:tcW w:w="654" w:type="pct"/>
            <w:gridSpan w:val="2"/>
            <w:vAlign w:val="center"/>
          </w:tcPr>
          <w:p w14:paraId="4A5482F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2类标准距</w:t>
            </w:r>
          </w:p>
          <w:p w14:paraId="4CA94DB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离（m）</w:t>
            </w:r>
          </w:p>
        </w:tc>
      </w:tr>
      <w:tr w14:paraId="31B9B59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12" w:type="pct"/>
            <w:vMerge w:val="continue"/>
            <w:vAlign w:val="center"/>
          </w:tcPr>
          <w:p w14:paraId="1F4E0131">
            <w:pPr>
              <w:pStyle w:val="105"/>
              <w:jc w:val="center"/>
              <w:rPr>
                <w:color w:val="000000" w:themeColor="text1"/>
                <w14:textFill>
                  <w14:solidFill>
                    <w14:schemeClr w14:val="tx1"/>
                  </w14:solidFill>
                </w14:textFill>
              </w:rPr>
            </w:pPr>
          </w:p>
        </w:tc>
        <w:tc>
          <w:tcPr>
            <w:tcW w:w="196" w:type="pct"/>
            <w:vMerge w:val="continue"/>
            <w:vAlign w:val="center"/>
          </w:tcPr>
          <w:p w14:paraId="2C74FF47">
            <w:pPr>
              <w:pStyle w:val="105"/>
              <w:jc w:val="center"/>
              <w:rPr>
                <w:color w:val="000000" w:themeColor="text1"/>
                <w14:textFill>
                  <w14:solidFill>
                    <w14:schemeClr w14:val="tx1"/>
                  </w14:solidFill>
                </w14:textFill>
              </w:rPr>
            </w:pPr>
          </w:p>
        </w:tc>
        <w:tc>
          <w:tcPr>
            <w:tcW w:w="271" w:type="pct"/>
            <w:vMerge w:val="continue"/>
            <w:vAlign w:val="center"/>
          </w:tcPr>
          <w:p w14:paraId="407C664C">
            <w:pPr>
              <w:pStyle w:val="105"/>
              <w:jc w:val="center"/>
              <w:rPr>
                <w:color w:val="000000" w:themeColor="text1"/>
                <w14:textFill>
                  <w14:solidFill>
                    <w14:schemeClr w14:val="tx1"/>
                  </w14:solidFill>
                </w14:textFill>
              </w:rPr>
            </w:pPr>
          </w:p>
        </w:tc>
        <w:tc>
          <w:tcPr>
            <w:tcW w:w="502" w:type="pct"/>
            <w:vAlign w:val="center"/>
          </w:tcPr>
          <w:p w14:paraId="3DF2632A">
            <w:pPr>
              <w:pStyle w:val="105"/>
              <w:jc w:val="center"/>
              <w:rPr>
                <w:color w:val="000000" w:themeColor="text1"/>
                <w:sz w:val="22"/>
                <w:szCs w:val="22"/>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c>
          <w:tcPr>
            <w:tcW w:w="238" w:type="pct"/>
            <w:vAlign w:val="center"/>
          </w:tcPr>
          <w:p w14:paraId="240893EE">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20</w:t>
            </w:r>
          </w:p>
        </w:tc>
        <w:tc>
          <w:tcPr>
            <w:tcW w:w="238" w:type="pct"/>
            <w:vAlign w:val="center"/>
          </w:tcPr>
          <w:p w14:paraId="734685B9">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30</w:t>
            </w:r>
          </w:p>
        </w:tc>
        <w:tc>
          <w:tcPr>
            <w:tcW w:w="238" w:type="pct"/>
            <w:vAlign w:val="center"/>
          </w:tcPr>
          <w:p w14:paraId="657DB8DB">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40</w:t>
            </w:r>
          </w:p>
        </w:tc>
        <w:tc>
          <w:tcPr>
            <w:tcW w:w="238" w:type="pct"/>
            <w:vAlign w:val="center"/>
          </w:tcPr>
          <w:p w14:paraId="19A87941">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50</w:t>
            </w:r>
          </w:p>
        </w:tc>
        <w:tc>
          <w:tcPr>
            <w:tcW w:w="238" w:type="pct"/>
            <w:vAlign w:val="center"/>
          </w:tcPr>
          <w:p w14:paraId="280C1C06">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60</w:t>
            </w:r>
          </w:p>
        </w:tc>
        <w:tc>
          <w:tcPr>
            <w:tcW w:w="238" w:type="pct"/>
            <w:vAlign w:val="center"/>
          </w:tcPr>
          <w:p w14:paraId="4F398AAA">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80</w:t>
            </w:r>
          </w:p>
        </w:tc>
        <w:tc>
          <w:tcPr>
            <w:tcW w:w="238" w:type="pct"/>
            <w:vAlign w:val="center"/>
          </w:tcPr>
          <w:p w14:paraId="112F878F">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100</w:t>
            </w:r>
          </w:p>
        </w:tc>
        <w:tc>
          <w:tcPr>
            <w:tcW w:w="238" w:type="pct"/>
            <w:vAlign w:val="center"/>
          </w:tcPr>
          <w:p w14:paraId="329DE343">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120</w:t>
            </w:r>
          </w:p>
        </w:tc>
        <w:tc>
          <w:tcPr>
            <w:tcW w:w="238" w:type="pct"/>
            <w:vAlign w:val="center"/>
          </w:tcPr>
          <w:p w14:paraId="578190D2">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160</w:t>
            </w:r>
          </w:p>
        </w:tc>
        <w:tc>
          <w:tcPr>
            <w:tcW w:w="291" w:type="pct"/>
            <w:vAlign w:val="center"/>
          </w:tcPr>
          <w:p w14:paraId="6B50D610">
            <w:pPr>
              <w:pStyle w:val="105"/>
              <w:jc w:val="center"/>
              <w:rPr>
                <w:color w:val="000000" w:themeColor="text1"/>
                <w14:textFill>
                  <w14:solidFill>
                    <w14:schemeClr w14:val="tx1"/>
                  </w14:solidFill>
                </w14:textFill>
              </w:rPr>
            </w:pPr>
            <w:r>
              <w:rPr>
                <w:rFonts w:hint="eastAsia"/>
                <w:color w:val="000000" w:themeColor="text1"/>
                <w:sz w:val="22"/>
                <w:szCs w:val="22"/>
                <w14:textFill>
                  <w14:solidFill>
                    <w14:schemeClr w14:val="tx1"/>
                  </w14:solidFill>
                </w14:textFill>
              </w:rPr>
              <w:t>200</w:t>
            </w:r>
          </w:p>
        </w:tc>
        <w:tc>
          <w:tcPr>
            <w:tcW w:w="295" w:type="pct"/>
            <w:vAlign w:val="center"/>
          </w:tcPr>
          <w:p w14:paraId="2A54E0F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距中</w:t>
            </w:r>
          </w:p>
          <w:p w14:paraId="2494E15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心线</w:t>
            </w:r>
          </w:p>
        </w:tc>
        <w:tc>
          <w:tcPr>
            <w:tcW w:w="437" w:type="pct"/>
            <w:vAlign w:val="center"/>
          </w:tcPr>
          <w:p w14:paraId="211CBE9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公路边界线</w:t>
            </w:r>
          </w:p>
        </w:tc>
        <w:tc>
          <w:tcPr>
            <w:tcW w:w="305" w:type="pct"/>
            <w:vAlign w:val="center"/>
          </w:tcPr>
          <w:p w14:paraId="4D7C29C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距中</w:t>
            </w:r>
          </w:p>
          <w:p w14:paraId="17EECA2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心线</w:t>
            </w:r>
          </w:p>
        </w:tc>
        <w:tc>
          <w:tcPr>
            <w:tcW w:w="349" w:type="pct"/>
            <w:vAlign w:val="center"/>
          </w:tcPr>
          <w:p w14:paraId="4E36D84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公路边界线</w:t>
            </w:r>
          </w:p>
        </w:tc>
      </w:tr>
      <w:tr w14:paraId="0B2B35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12" w:type="pct"/>
            <w:vMerge w:val="restart"/>
            <w:vAlign w:val="center"/>
          </w:tcPr>
          <w:p w14:paraId="5A291D8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全线</w:t>
            </w:r>
          </w:p>
        </w:tc>
        <w:tc>
          <w:tcPr>
            <w:tcW w:w="196" w:type="pct"/>
            <w:vMerge w:val="restart"/>
            <w:vAlign w:val="center"/>
          </w:tcPr>
          <w:p w14:paraId="63C2D8F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近</w:t>
            </w:r>
          </w:p>
          <w:p w14:paraId="2FED9CC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期</w:t>
            </w:r>
          </w:p>
        </w:tc>
        <w:tc>
          <w:tcPr>
            <w:tcW w:w="271" w:type="pct"/>
            <w:vAlign w:val="center"/>
          </w:tcPr>
          <w:p w14:paraId="4882362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502" w:type="pct"/>
            <w:vAlign w:val="center"/>
          </w:tcPr>
          <w:p w14:paraId="0A07368E">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72.2 </w:t>
            </w:r>
          </w:p>
        </w:tc>
        <w:tc>
          <w:tcPr>
            <w:tcW w:w="238" w:type="pct"/>
            <w:vAlign w:val="center"/>
          </w:tcPr>
          <w:p w14:paraId="18F6C21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60.5 </w:t>
            </w:r>
          </w:p>
        </w:tc>
        <w:tc>
          <w:tcPr>
            <w:tcW w:w="238" w:type="pct"/>
            <w:vAlign w:val="center"/>
          </w:tcPr>
          <w:p w14:paraId="63BCA55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56.3 </w:t>
            </w:r>
          </w:p>
        </w:tc>
        <w:tc>
          <w:tcPr>
            <w:tcW w:w="238" w:type="pct"/>
            <w:vAlign w:val="center"/>
          </w:tcPr>
          <w:p w14:paraId="6EE055A0">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53.7 </w:t>
            </w:r>
          </w:p>
        </w:tc>
        <w:tc>
          <w:tcPr>
            <w:tcW w:w="238" w:type="pct"/>
            <w:vAlign w:val="center"/>
          </w:tcPr>
          <w:p w14:paraId="7935EAF5">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51.9 </w:t>
            </w:r>
          </w:p>
        </w:tc>
        <w:tc>
          <w:tcPr>
            <w:tcW w:w="238" w:type="pct"/>
            <w:vAlign w:val="center"/>
          </w:tcPr>
          <w:p w14:paraId="72E92227">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50.4 </w:t>
            </w:r>
          </w:p>
        </w:tc>
        <w:tc>
          <w:tcPr>
            <w:tcW w:w="238" w:type="pct"/>
            <w:vAlign w:val="center"/>
          </w:tcPr>
          <w:p w14:paraId="5C0BBB7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48.3 </w:t>
            </w:r>
          </w:p>
        </w:tc>
        <w:tc>
          <w:tcPr>
            <w:tcW w:w="238" w:type="pct"/>
            <w:vAlign w:val="center"/>
          </w:tcPr>
          <w:p w14:paraId="20948B46">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46.6 </w:t>
            </w:r>
          </w:p>
        </w:tc>
        <w:tc>
          <w:tcPr>
            <w:tcW w:w="238" w:type="pct"/>
            <w:vAlign w:val="center"/>
          </w:tcPr>
          <w:p w14:paraId="2257601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45.3 </w:t>
            </w:r>
          </w:p>
        </w:tc>
        <w:tc>
          <w:tcPr>
            <w:tcW w:w="238" w:type="pct"/>
            <w:vAlign w:val="center"/>
          </w:tcPr>
          <w:p w14:paraId="2F1F5FDC">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43.2 </w:t>
            </w:r>
          </w:p>
        </w:tc>
        <w:tc>
          <w:tcPr>
            <w:tcW w:w="291" w:type="pct"/>
            <w:vAlign w:val="center"/>
          </w:tcPr>
          <w:p w14:paraId="0604CAEC">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41.6 </w:t>
            </w:r>
          </w:p>
        </w:tc>
        <w:tc>
          <w:tcPr>
            <w:tcW w:w="295" w:type="pct"/>
            <w:vAlign w:val="center"/>
          </w:tcPr>
          <w:p w14:paraId="532C235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11.0 </w:t>
            </w:r>
          </w:p>
        </w:tc>
        <w:tc>
          <w:tcPr>
            <w:tcW w:w="437" w:type="pct"/>
            <w:vAlign w:val="center"/>
          </w:tcPr>
          <w:p w14:paraId="3EDD53F3">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5.0 </w:t>
            </w:r>
          </w:p>
        </w:tc>
        <w:tc>
          <w:tcPr>
            <w:tcW w:w="305" w:type="pct"/>
            <w:vAlign w:val="center"/>
          </w:tcPr>
          <w:p w14:paraId="50DE6A96">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20.9 </w:t>
            </w:r>
          </w:p>
        </w:tc>
        <w:tc>
          <w:tcPr>
            <w:tcW w:w="349" w:type="pct"/>
            <w:vAlign w:val="center"/>
          </w:tcPr>
          <w:p w14:paraId="6A0E8847">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14.9 </w:t>
            </w:r>
          </w:p>
        </w:tc>
      </w:tr>
      <w:tr w14:paraId="4121723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12" w:type="pct"/>
            <w:vMerge w:val="continue"/>
            <w:vAlign w:val="center"/>
          </w:tcPr>
          <w:p w14:paraId="59CF6BDA">
            <w:pPr>
              <w:pStyle w:val="105"/>
              <w:jc w:val="center"/>
              <w:rPr>
                <w:color w:val="000000" w:themeColor="text1"/>
                <w14:textFill>
                  <w14:solidFill>
                    <w14:schemeClr w14:val="tx1"/>
                  </w14:solidFill>
                </w14:textFill>
              </w:rPr>
            </w:pPr>
          </w:p>
        </w:tc>
        <w:tc>
          <w:tcPr>
            <w:tcW w:w="196" w:type="pct"/>
            <w:vMerge w:val="continue"/>
            <w:vAlign w:val="center"/>
          </w:tcPr>
          <w:p w14:paraId="2DBEB3E3">
            <w:pPr>
              <w:pStyle w:val="105"/>
              <w:jc w:val="center"/>
              <w:rPr>
                <w:color w:val="000000" w:themeColor="text1"/>
                <w14:textFill>
                  <w14:solidFill>
                    <w14:schemeClr w14:val="tx1"/>
                  </w14:solidFill>
                </w14:textFill>
              </w:rPr>
            </w:pPr>
          </w:p>
        </w:tc>
        <w:tc>
          <w:tcPr>
            <w:tcW w:w="271" w:type="pct"/>
            <w:vAlign w:val="center"/>
          </w:tcPr>
          <w:p w14:paraId="3016936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502" w:type="pct"/>
            <w:vAlign w:val="top"/>
          </w:tcPr>
          <w:p w14:paraId="527C3670">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64.6 </w:t>
            </w:r>
          </w:p>
        </w:tc>
        <w:tc>
          <w:tcPr>
            <w:tcW w:w="238" w:type="pct"/>
            <w:vAlign w:val="center"/>
          </w:tcPr>
          <w:p w14:paraId="69BBDA5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52.9 </w:t>
            </w:r>
          </w:p>
        </w:tc>
        <w:tc>
          <w:tcPr>
            <w:tcW w:w="238" w:type="pct"/>
            <w:vAlign w:val="center"/>
          </w:tcPr>
          <w:p w14:paraId="71370A7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48.7 </w:t>
            </w:r>
          </w:p>
        </w:tc>
        <w:tc>
          <w:tcPr>
            <w:tcW w:w="238" w:type="pct"/>
            <w:vAlign w:val="center"/>
          </w:tcPr>
          <w:p w14:paraId="268E73EE">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46.1 </w:t>
            </w:r>
          </w:p>
        </w:tc>
        <w:tc>
          <w:tcPr>
            <w:tcW w:w="238" w:type="pct"/>
            <w:vAlign w:val="center"/>
          </w:tcPr>
          <w:p w14:paraId="29329A7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44.3 </w:t>
            </w:r>
          </w:p>
        </w:tc>
        <w:tc>
          <w:tcPr>
            <w:tcW w:w="238" w:type="pct"/>
            <w:vAlign w:val="center"/>
          </w:tcPr>
          <w:p w14:paraId="4C254EE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42.8 </w:t>
            </w:r>
          </w:p>
        </w:tc>
        <w:tc>
          <w:tcPr>
            <w:tcW w:w="238" w:type="pct"/>
            <w:vAlign w:val="center"/>
          </w:tcPr>
          <w:p w14:paraId="408C7E88">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40.7 </w:t>
            </w:r>
          </w:p>
        </w:tc>
        <w:tc>
          <w:tcPr>
            <w:tcW w:w="238" w:type="pct"/>
            <w:vAlign w:val="center"/>
          </w:tcPr>
          <w:p w14:paraId="7E24B9F1">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39.0 </w:t>
            </w:r>
          </w:p>
        </w:tc>
        <w:tc>
          <w:tcPr>
            <w:tcW w:w="238" w:type="pct"/>
            <w:vAlign w:val="center"/>
          </w:tcPr>
          <w:p w14:paraId="7071A263">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37.7 </w:t>
            </w:r>
          </w:p>
        </w:tc>
        <w:tc>
          <w:tcPr>
            <w:tcW w:w="238" w:type="pct"/>
            <w:vAlign w:val="center"/>
          </w:tcPr>
          <w:p w14:paraId="774EBBB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35.6 </w:t>
            </w:r>
          </w:p>
        </w:tc>
        <w:tc>
          <w:tcPr>
            <w:tcW w:w="291" w:type="pct"/>
            <w:vAlign w:val="center"/>
          </w:tcPr>
          <w:p w14:paraId="3D743157">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34.0 </w:t>
            </w:r>
          </w:p>
        </w:tc>
        <w:tc>
          <w:tcPr>
            <w:tcW w:w="295" w:type="pct"/>
            <w:vAlign w:val="center"/>
          </w:tcPr>
          <w:p w14:paraId="1997D2C5">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17.0 </w:t>
            </w:r>
          </w:p>
        </w:tc>
        <w:tc>
          <w:tcPr>
            <w:tcW w:w="437" w:type="pct"/>
            <w:vAlign w:val="center"/>
          </w:tcPr>
          <w:p w14:paraId="06E1A26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11.0 </w:t>
            </w:r>
          </w:p>
        </w:tc>
        <w:tc>
          <w:tcPr>
            <w:tcW w:w="305" w:type="pct"/>
            <w:vAlign w:val="center"/>
          </w:tcPr>
          <w:p w14:paraId="3269824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26.1 </w:t>
            </w:r>
          </w:p>
        </w:tc>
        <w:tc>
          <w:tcPr>
            <w:tcW w:w="349" w:type="pct"/>
            <w:vAlign w:val="center"/>
          </w:tcPr>
          <w:p w14:paraId="208E2BF0">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20.1 </w:t>
            </w:r>
          </w:p>
        </w:tc>
      </w:tr>
      <w:tr w14:paraId="0C472BB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12" w:type="pct"/>
            <w:vMerge w:val="continue"/>
            <w:vAlign w:val="center"/>
          </w:tcPr>
          <w:p w14:paraId="441EE467">
            <w:pPr>
              <w:pStyle w:val="105"/>
              <w:jc w:val="center"/>
              <w:rPr>
                <w:color w:val="000000" w:themeColor="text1"/>
                <w14:textFill>
                  <w14:solidFill>
                    <w14:schemeClr w14:val="tx1"/>
                  </w14:solidFill>
                </w14:textFill>
              </w:rPr>
            </w:pPr>
          </w:p>
        </w:tc>
        <w:tc>
          <w:tcPr>
            <w:tcW w:w="196" w:type="pct"/>
            <w:vMerge w:val="restart"/>
            <w:vAlign w:val="center"/>
          </w:tcPr>
          <w:p w14:paraId="6EFE590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中</w:t>
            </w:r>
          </w:p>
          <w:p w14:paraId="7CEE4C4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期</w:t>
            </w:r>
          </w:p>
        </w:tc>
        <w:tc>
          <w:tcPr>
            <w:tcW w:w="271" w:type="pct"/>
            <w:vAlign w:val="center"/>
          </w:tcPr>
          <w:p w14:paraId="62938E6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502" w:type="pct"/>
            <w:vAlign w:val="top"/>
          </w:tcPr>
          <w:p w14:paraId="4CF0AF9F">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73.3 </w:t>
            </w:r>
          </w:p>
        </w:tc>
        <w:tc>
          <w:tcPr>
            <w:tcW w:w="238" w:type="pct"/>
            <w:vAlign w:val="center"/>
          </w:tcPr>
          <w:p w14:paraId="7C5F904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63.1 </w:t>
            </w:r>
          </w:p>
        </w:tc>
        <w:tc>
          <w:tcPr>
            <w:tcW w:w="238" w:type="pct"/>
            <w:vAlign w:val="center"/>
          </w:tcPr>
          <w:p w14:paraId="13E2EEF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59.7 </w:t>
            </w:r>
          </w:p>
        </w:tc>
        <w:tc>
          <w:tcPr>
            <w:tcW w:w="238" w:type="pct"/>
            <w:vAlign w:val="center"/>
          </w:tcPr>
          <w:p w14:paraId="63BD270E">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57.8 </w:t>
            </w:r>
          </w:p>
        </w:tc>
        <w:tc>
          <w:tcPr>
            <w:tcW w:w="238" w:type="pct"/>
            <w:vAlign w:val="center"/>
          </w:tcPr>
          <w:p w14:paraId="10AFA3F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56.4 </w:t>
            </w:r>
          </w:p>
        </w:tc>
        <w:tc>
          <w:tcPr>
            <w:tcW w:w="238" w:type="pct"/>
            <w:vAlign w:val="center"/>
          </w:tcPr>
          <w:p w14:paraId="7A7C7E3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55.4 </w:t>
            </w:r>
          </w:p>
        </w:tc>
        <w:tc>
          <w:tcPr>
            <w:tcW w:w="238" w:type="pct"/>
            <w:vAlign w:val="center"/>
          </w:tcPr>
          <w:p w14:paraId="19D3CD9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53.9 </w:t>
            </w:r>
          </w:p>
        </w:tc>
        <w:tc>
          <w:tcPr>
            <w:tcW w:w="238" w:type="pct"/>
            <w:vAlign w:val="center"/>
          </w:tcPr>
          <w:p w14:paraId="0002E4C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52.7 </w:t>
            </w:r>
          </w:p>
        </w:tc>
        <w:tc>
          <w:tcPr>
            <w:tcW w:w="238" w:type="pct"/>
            <w:vAlign w:val="center"/>
          </w:tcPr>
          <w:p w14:paraId="0B2BE646">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51.8 </w:t>
            </w:r>
          </w:p>
        </w:tc>
        <w:tc>
          <w:tcPr>
            <w:tcW w:w="238" w:type="pct"/>
            <w:vAlign w:val="center"/>
          </w:tcPr>
          <w:p w14:paraId="129F4D9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50.3 </w:t>
            </w:r>
          </w:p>
        </w:tc>
        <w:tc>
          <w:tcPr>
            <w:tcW w:w="291" w:type="pct"/>
            <w:vAlign w:val="center"/>
          </w:tcPr>
          <w:p w14:paraId="74DB510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49.2 </w:t>
            </w:r>
          </w:p>
        </w:tc>
        <w:tc>
          <w:tcPr>
            <w:tcW w:w="295" w:type="pct"/>
            <w:vAlign w:val="center"/>
          </w:tcPr>
          <w:p w14:paraId="381C9D85">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11.8 </w:t>
            </w:r>
          </w:p>
        </w:tc>
        <w:tc>
          <w:tcPr>
            <w:tcW w:w="437" w:type="pct"/>
            <w:vAlign w:val="center"/>
          </w:tcPr>
          <w:p w14:paraId="50D271E7">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5.8 </w:t>
            </w:r>
          </w:p>
        </w:tc>
        <w:tc>
          <w:tcPr>
            <w:tcW w:w="305" w:type="pct"/>
            <w:vAlign w:val="center"/>
          </w:tcPr>
          <w:p w14:paraId="5E9EDBE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28.9 </w:t>
            </w:r>
          </w:p>
        </w:tc>
        <w:tc>
          <w:tcPr>
            <w:tcW w:w="349" w:type="pct"/>
            <w:vAlign w:val="center"/>
          </w:tcPr>
          <w:p w14:paraId="161675A5">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22.9 </w:t>
            </w:r>
          </w:p>
        </w:tc>
      </w:tr>
      <w:tr w14:paraId="597DF8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12" w:type="pct"/>
            <w:vMerge w:val="continue"/>
            <w:vAlign w:val="center"/>
          </w:tcPr>
          <w:p w14:paraId="40E42FC5">
            <w:pPr>
              <w:pStyle w:val="105"/>
              <w:jc w:val="center"/>
              <w:rPr>
                <w:color w:val="000000" w:themeColor="text1"/>
                <w14:textFill>
                  <w14:solidFill>
                    <w14:schemeClr w14:val="tx1"/>
                  </w14:solidFill>
                </w14:textFill>
              </w:rPr>
            </w:pPr>
          </w:p>
        </w:tc>
        <w:tc>
          <w:tcPr>
            <w:tcW w:w="196" w:type="pct"/>
            <w:vMerge w:val="continue"/>
            <w:vAlign w:val="center"/>
          </w:tcPr>
          <w:p w14:paraId="4EBBED96">
            <w:pPr>
              <w:pStyle w:val="105"/>
              <w:jc w:val="center"/>
              <w:rPr>
                <w:color w:val="000000" w:themeColor="text1"/>
                <w14:textFill>
                  <w14:solidFill>
                    <w14:schemeClr w14:val="tx1"/>
                  </w14:solidFill>
                </w14:textFill>
              </w:rPr>
            </w:pPr>
          </w:p>
        </w:tc>
        <w:tc>
          <w:tcPr>
            <w:tcW w:w="271" w:type="pct"/>
            <w:vAlign w:val="center"/>
          </w:tcPr>
          <w:p w14:paraId="10ED4F6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502" w:type="pct"/>
            <w:vAlign w:val="top"/>
          </w:tcPr>
          <w:p w14:paraId="28CF0B60">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65.1 </w:t>
            </w:r>
          </w:p>
        </w:tc>
        <w:tc>
          <w:tcPr>
            <w:tcW w:w="238" w:type="pct"/>
            <w:vAlign w:val="center"/>
          </w:tcPr>
          <w:p w14:paraId="712BA36E">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53.4 </w:t>
            </w:r>
          </w:p>
        </w:tc>
        <w:tc>
          <w:tcPr>
            <w:tcW w:w="238" w:type="pct"/>
            <w:vAlign w:val="center"/>
          </w:tcPr>
          <w:p w14:paraId="3890FD3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49.1 </w:t>
            </w:r>
          </w:p>
        </w:tc>
        <w:tc>
          <w:tcPr>
            <w:tcW w:w="238" w:type="pct"/>
            <w:vAlign w:val="center"/>
          </w:tcPr>
          <w:p w14:paraId="68447D0C">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46.6 </w:t>
            </w:r>
          </w:p>
        </w:tc>
        <w:tc>
          <w:tcPr>
            <w:tcW w:w="238" w:type="pct"/>
            <w:vAlign w:val="center"/>
          </w:tcPr>
          <w:p w14:paraId="67FF6F7C">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44.7 </w:t>
            </w:r>
          </w:p>
        </w:tc>
        <w:tc>
          <w:tcPr>
            <w:tcW w:w="238" w:type="pct"/>
            <w:vAlign w:val="center"/>
          </w:tcPr>
          <w:p w14:paraId="1DF30AE5">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43.3 </w:t>
            </w:r>
          </w:p>
        </w:tc>
        <w:tc>
          <w:tcPr>
            <w:tcW w:w="238" w:type="pct"/>
            <w:vAlign w:val="center"/>
          </w:tcPr>
          <w:p w14:paraId="798F2BE5">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41.1 </w:t>
            </w:r>
          </w:p>
        </w:tc>
        <w:tc>
          <w:tcPr>
            <w:tcW w:w="238" w:type="pct"/>
            <w:vAlign w:val="center"/>
          </w:tcPr>
          <w:p w14:paraId="6275EF1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39.5 </w:t>
            </w:r>
          </w:p>
        </w:tc>
        <w:tc>
          <w:tcPr>
            <w:tcW w:w="238" w:type="pct"/>
            <w:vAlign w:val="center"/>
          </w:tcPr>
          <w:p w14:paraId="5828C4A6">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38.1 </w:t>
            </w:r>
          </w:p>
        </w:tc>
        <w:tc>
          <w:tcPr>
            <w:tcW w:w="238" w:type="pct"/>
            <w:vAlign w:val="center"/>
          </w:tcPr>
          <w:p w14:paraId="746B94A7">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36.0 </w:t>
            </w:r>
          </w:p>
        </w:tc>
        <w:tc>
          <w:tcPr>
            <w:tcW w:w="291" w:type="pct"/>
            <w:vAlign w:val="center"/>
          </w:tcPr>
          <w:p w14:paraId="31A0F23D">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34.4 </w:t>
            </w:r>
          </w:p>
        </w:tc>
        <w:tc>
          <w:tcPr>
            <w:tcW w:w="295" w:type="pct"/>
            <w:vAlign w:val="center"/>
          </w:tcPr>
          <w:p w14:paraId="21C11840">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17.6 </w:t>
            </w:r>
          </w:p>
        </w:tc>
        <w:tc>
          <w:tcPr>
            <w:tcW w:w="437" w:type="pct"/>
            <w:vAlign w:val="center"/>
          </w:tcPr>
          <w:p w14:paraId="766F44CD">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11.6 </w:t>
            </w:r>
          </w:p>
        </w:tc>
        <w:tc>
          <w:tcPr>
            <w:tcW w:w="305" w:type="pct"/>
            <w:vAlign w:val="center"/>
          </w:tcPr>
          <w:p w14:paraId="5D9C0A7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27.4 </w:t>
            </w:r>
          </w:p>
        </w:tc>
        <w:tc>
          <w:tcPr>
            <w:tcW w:w="349" w:type="pct"/>
            <w:vAlign w:val="center"/>
          </w:tcPr>
          <w:p w14:paraId="53E3CDF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21.4 </w:t>
            </w:r>
          </w:p>
        </w:tc>
      </w:tr>
      <w:tr w14:paraId="05E4880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12" w:type="pct"/>
            <w:vMerge w:val="continue"/>
            <w:vAlign w:val="center"/>
          </w:tcPr>
          <w:p w14:paraId="12B66711">
            <w:pPr>
              <w:pStyle w:val="105"/>
              <w:jc w:val="center"/>
              <w:rPr>
                <w:color w:val="000000" w:themeColor="text1"/>
                <w14:textFill>
                  <w14:solidFill>
                    <w14:schemeClr w14:val="tx1"/>
                  </w14:solidFill>
                </w14:textFill>
              </w:rPr>
            </w:pPr>
          </w:p>
        </w:tc>
        <w:tc>
          <w:tcPr>
            <w:tcW w:w="196" w:type="pct"/>
            <w:vMerge w:val="restart"/>
            <w:vAlign w:val="center"/>
          </w:tcPr>
          <w:p w14:paraId="6F8B736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远</w:t>
            </w:r>
          </w:p>
          <w:p w14:paraId="10EF710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期</w:t>
            </w:r>
          </w:p>
        </w:tc>
        <w:tc>
          <w:tcPr>
            <w:tcW w:w="271" w:type="pct"/>
            <w:vAlign w:val="center"/>
          </w:tcPr>
          <w:p w14:paraId="4356518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昼间</w:t>
            </w:r>
          </w:p>
        </w:tc>
        <w:tc>
          <w:tcPr>
            <w:tcW w:w="502" w:type="pct"/>
            <w:vAlign w:val="top"/>
          </w:tcPr>
          <w:p w14:paraId="04ED6430">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73.5 </w:t>
            </w:r>
          </w:p>
        </w:tc>
        <w:tc>
          <w:tcPr>
            <w:tcW w:w="238" w:type="pct"/>
            <w:vAlign w:val="center"/>
          </w:tcPr>
          <w:p w14:paraId="2D9967D8">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63.4 </w:t>
            </w:r>
          </w:p>
        </w:tc>
        <w:tc>
          <w:tcPr>
            <w:tcW w:w="238" w:type="pct"/>
            <w:vAlign w:val="center"/>
          </w:tcPr>
          <w:p w14:paraId="7DE850E5">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60.0 </w:t>
            </w:r>
          </w:p>
        </w:tc>
        <w:tc>
          <w:tcPr>
            <w:tcW w:w="238" w:type="pct"/>
            <w:vAlign w:val="center"/>
          </w:tcPr>
          <w:p w14:paraId="577B7A5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58.0 </w:t>
            </w:r>
          </w:p>
        </w:tc>
        <w:tc>
          <w:tcPr>
            <w:tcW w:w="238" w:type="pct"/>
            <w:vAlign w:val="center"/>
          </w:tcPr>
          <w:p w14:paraId="3089E52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56.7 </w:t>
            </w:r>
          </w:p>
        </w:tc>
        <w:tc>
          <w:tcPr>
            <w:tcW w:w="238" w:type="pct"/>
            <w:vAlign w:val="center"/>
          </w:tcPr>
          <w:p w14:paraId="096FC9B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55.7 </w:t>
            </w:r>
          </w:p>
        </w:tc>
        <w:tc>
          <w:tcPr>
            <w:tcW w:w="238" w:type="pct"/>
            <w:vAlign w:val="center"/>
          </w:tcPr>
          <w:p w14:paraId="55E5501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54.1 </w:t>
            </w:r>
          </w:p>
        </w:tc>
        <w:tc>
          <w:tcPr>
            <w:tcW w:w="238" w:type="pct"/>
            <w:vAlign w:val="center"/>
          </w:tcPr>
          <w:p w14:paraId="5DBD82B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52.9 </w:t>
            </w:r>
          </w:p>
        </w:tc>
        <w:tc>
          <w:tcPr>
            <w:tcW w:w="238" w:type="pct"/>
            <w:vAlign w:val="center"/>
          </w:tcPr>
          <w:p w14:paraId="2C40C73D">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52.0 </w:t>
            </w:r>
          </w:p>
        </w:tc>
        <w:tc>
          <w:tcPr>
            <w:tcW w:w="238" w:type="pct"/>
            <w:vAlign w:val="center"/>
          </w:tcPr>
          <w:p w14:paraId="229CC538">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50.5 </w:t>
            </w:r>
          </w:p>
        </w:tc>
        <w:tc>
          <w:tcPr>
            <w:tcW w:w="291" w:type="pct"/>
            <w:vAlign w:val="center"/>
          </w:tcPr>
          <w:p w14:paraId="3867B41F">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49.4 </w:t>
            </w:r>
          </w:p>
        </w:tc>
        <w:tc>
          <w:tcPr>
            <w:tcW w:w="295" w:type="pct"/>
            <w:vAlign w:val="center"/>
          </w:tcPr>
          <w:p w14:paraId="73FD4E81">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12.0 </w:t>
            </w:r>
          </w:p>
        </w:tc>
        <w:tc>
          <w:tcPr>
            <w:tcW w:w="437" w:type="pct"/>
            <w:vAlign w:val="center"/>
          </w:tcPr>
          <w:p w14:paraId="5BDF8970">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6.0 </w:t>
            </w:r>
          </w:p>
        </w:tc>
        <w:tc>
          <w:tcPr>
            <w:tcW w:w="305" w:type="pct"/>
            <w:vAlign w:val="center"/>
          </w:tcPr>
          <w:p w14:paraId="2AD9CBB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29.9 </w:t>
            </w:r>
          </w:p>
        </w:tc>
        <w:tc>
          <w:tcPr>
            <w:tcW w:w="349" w:type="pct"/>
            <w:vAlign w:val="center"/>
          </w:tcPr>
          <w:p w14:paraId="03C33AF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23.9 </w:t>
            </w:r>
          </w:p>
        </w:tc>
      </w:tr>
      <w:tr w14:paraId="6C66674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212" w:type="pct"/>
            <w:vMerge w:val="continue"/>
            <w:vAlign w:val="center"/>
          </w:tcPr>
          <w:p w14:paraId="514A23D8">
            <w:pPr>
              <w:pStyle w:val="105"/>
              <w:jc w:val="center"/>
              <w:rPr>
                <w:color w:val="000000" w:themeColor="text1"/>
                <w14:textFill>
                  <w14:solidFill>
                    <w14:schemeClr w14:val="tx1"/>
                  </w14:solidFill>
                </w14:textFill>
              </w:rPr>
            </w:pPr>
          </w:p>
        </w:tc>
        <w:tc>
          <w:tcPr>
            <w:tcW w:w="196" w:type="pct"/>
            <w:vMerge w:val="continue"/>
            <w:vAlign w:val="center"/>
          </w:tcPr>
          <w:p w14:paraId="0693541C">
            <w:pPr>
              <w:pStyle w:val="105"/>
              <w:jc w:val="center"/>
              <w:rPr>
                <w:color w:val="000000" w:themeColor="text1"/>
                <w14:textFill>
                  <w14:solidFill>
                    <w14:schemeClr w14:val="tx1"/>
                  </w14:solidFill>
                </w14:textFill>
              </w:rPr>
            </w:pPr>
          </w:p>
        </w:tc>
        <w:tc>
          <w:tcPr>
            <w:tcW w:w="271" w:type="pct"/>
            <w:vAlign w:val="center"/>
          </w:tcPr>
          <w:p w14:paraId="510C785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夜间</w:t>
            </w:r>
          </w:p>
        </w:tc>
        <w:tc>
          <w:tcPr>
            <w:tcW w:w="502" w:type="pct"/>
            <w:vAlign w:val="top"/>
          </w:tcPr>
          <w:p w14:paraId="687F3A2F">
            <w:pPr>
              <w:pStyle w:val="105"/>
              <w:jc w:val="center"/>
              <w:rPr>
                <w:rFonts w:cs="Times New Roman"/>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65.3 </w:t>
            </w:r>
          </w:p>
        </w:tc>
        <w:tc>
          <w:tcPr>
            <w:tcW w:w="238" w:type="pct"/>
            <w:vAlign w:val="center"/>
          </w:tcPr>
          <w:p w14:paraId="316DB3A3">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53.7 </w:t>
            </w:r>
          </w:p>
        </w:tc>
        <w:tc>
          <w:tcPr>
            <w:tcW w:w="238" w:type="pct"/>
            <w:vAlign w:val="center"/>
          </w:tcPr>
          <w:p w14:paraId="040D4486">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49.4 </w:t>
            </w:r>
          </w:p>
        </w:tc>
        <w:tc>
          <w:tcPr>
            <w:tcW w:w="238" w:type="pct"/>
            <w:vAlign w:val="center"/>
          </w:tcPr>
          <w:p w14:paraId="6919326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46.8 </w:t>
            </w:r>
          </w:p>
        </w:tc>
        <w:tc>
          <w:tcPr>
            <w:tcW w:w="238" w:type="pct"/>
            <w:vAlign w:val="center"/>
          </w:tcPr>
          <w:p w14:paraId="232B6D2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45.0 </w:t>
            </w:r>
          </w:p>
        </w:tc>
        <w:tc>
          <w:tcPr>
            <w:tcW w:w="238" w:type="pct"/>
            <w:vAlign w:val="center"/>
          </w:tcPr>
          <w:p w14:paraId="6C736DA4">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43.5 </w:t>
            </w:r>
          </w:p>
        </w:tc>
        <w:tc>
          <w:tcPr>
            <w:tcW w:w="238" w:type="pct"/>
            <w:vAlign w:val="center"/>
          </w:tcPr>
          <w:p w14:paraId="1E2F73E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41.4 </w:t>
            </w:r>
          </w:p>
        </w:tc>
        <w:tc>
          <w:tcPr>
            <w:tcW w:w="238" w:type="pct"/>
            <w:vAlign w:val="center"/>
          </w:tcPr>
          <w:p w14:paraId="4937CBC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39.7 </w:t>
            </w:r>
          </w:p>
        </w:tc>
        <w:tc>
          <w:tcPr>
            <w:tcW w:w="238" w:type="pct"/>
            <w:vAlign w:val="center"/>
          </w:tcPr>
          <w:p w14:paraId="473A618C">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38.4 </w:t>
            </w:r>
          </w:p>
        </w:tc>
        <w:tc>
          <w:tcPr>
            <w:tcW w:w="238" w:type="pct"/>
            <w:vAlign w:val="center"/>
          </w:tcPr>
          <w:p w14:paraId="2C1EC1C3">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36.3 </w:t>
            </w:r>
          </w:p>
        </w:tc>
        <w:tc>
          <w:tcPr>
            <w:tcW w:w="291" w:type="pct"/>
            <w:vAlign w:val="center"/>
          </w:tcPr>
          <w:p w14:paraId="43CD239A">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34.7 </w:t>
            </w:r>
          </w:p>
        </w:tc>
        <w:tc>
          <w:tcPr>
            <w:tcW w:w="295" w:type="pct"/>
            <w:vAlign w:val="center"/>
          </w:tcPr>
          <w:p w14:paraId="7D2F11D2">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18.0 </w:t>
            </w:r>
          </w:p>
        </w:tc>
        <w:tc>
          <w:tcPr>
            <w:tcW w:w="437" w:type="pct"/>
            <w:vAlign w:val="center"/>
          </w:tcPr>
          <w:p w14:paraId="1E84CD3B">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12.0 </w:t>
            </w:r>
          </w:p>
        </w:tc>
        <w:tc>
          <w:tcPr>
            <w:tcW w:w="305" w:type="pct"/>
            <w:vAlign w:val="center"/>
          </w:tcPr>
          <w:p w14:paraId="2BC0CB20">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28.1 </w:t>
            </w:r>
          </w:p>
        </w:tc>
        <w:tc>
          <w:tcPr>
            <w:tcW w:w="349" w:type="pct"/>
            <w:vAlign w:val="center"/>
          </w:tcPr>
          <w:p w14:paraId="764ABE19">
            <w:pPr>
              <w:pStyle w:val="105"/>
              <w:jc w:val="center"/>
              <w:rPr>
                <w:color w:val="000000" w:themeColor="text1"/>
                <w14:textFill>
                  <w14:solidFill>
                    <w14:schemeClr w14:val="tx1"/>
                  </w14:solidFill>
                </w14:textFill>
              </w:rPr>
            </w:pPr>
            <w:r>
              <w:rPr>
                <w:rFonts w:cs="Times New Roman"/>
                <w:color w:val="000000" w:themeColor="text1"/>
                <w14:textFill>
                  <w14:solidFill>
                    <w14:schemeClr w14:val="tx1"/>
                  </w14:solidFill>
                </w14:textFill>
              </w:rPr>
              <w:t xml:space="preserve">22.1 </w:t>
            </w:r>
          </w:p>
        </w:tc>
      </w:tr>
    </w:tbl>
    <w:p w14:paraId="740B838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679950" cy="2699385"/>
            <wp:effectExtent l="0" t="0" r="6350" b="5715"/>
            <wp:docPr id="42" name="图表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0846E8BE">
      <w:pPr>
        <w:pStyle w:val="122"/>
        <w:ind w:left="420" w:hanging="420"/>
        <w:rPr>
          <w:color w:val="000000" w:themeColor="text1"/>
          <w14:textFill>
            <w14:solidFill>
              <w14:schemeClr w14:val="tx1"/>
            </w14:solidFill>
          </w14:textFill>
        </w:rPr>
      </w:pPr>
      <w:bookmarkStart w:id="741" w:name="_Ref149557758"/>
      <w:r>
        <w:rPr>
          <w:rFonts w:hint="eastAsia"/>
          <w:color w:val="000000" w:themeColor="text1"/>
          <w14:textFill>
            <w14:solidFill>
              <w14:schemeClr w14:val="tx1"/>
            </w14:solidFill>
          </w14:textFill>
        </w:rPr>
        <w:t>近期昼、夜间水平向预测结果衰减曲线</w:t>
      </w:r>
      <w:bookmarkEnd w:id="741"/>
    </w:p>
    <w:p w14:paraId="514A9BF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679950" cy="2699385"/>
            <wp:effectExtent l="0" t="0" r="6350" b="5715"/>
            <wp:docPr id="43" name="图表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10011FEE">
      <w:pPr>
        <w:pStyle w:val="122"/>
        <w:spacing w:after="0"/>
        <w:ind w:left="420" w:hanging="420"/>
        <w:rPr>
          <w:color w:val="000000" w:themeColor="text1"/>
          <w14:textFill>
            <w14:solidFill>
              <w14:schemeClr w14:val="tx1"/>
            </w14:solidFill>
          </w14:textFill>
        </w:rPr>
      </w:pPr>
      <w:r>
        <w:rPr>
          <w:rFonts w:hint="eastAsia"/>
          <w:color w:val="000000" w:themeColor="text1"/>
          <w14:textFill>
            <w14:solidFill>
              <w14:schemeClr w14:val="tx1"/>
            </w14:solidFill>
          </w14:textFill>
        </w:rPr>
        <w:t>中期昼、夜间水平向预测结果衰减曲线</w:t>
      </w:r>
    </w:p>
    <w:p w14:paraId="498DCC8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679950" cy="2699385"/>
            <wp:effectExtent l="0" t="0" r="6350" b="5715"/>
            <wp:docPr id="44" name="图表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273AA3AE">
      <w:pPr>
        <w:pStyle w:val="122"/>
        <w:ind w:left="420" w:hanging="420"/>
        <w:rPr>
          <w:color w:val="000000" w:themeColor="text1"/>
          <w14:textFill>
            <w14:solidFill>
              <w14:schemeClr w14:val="tx1"/>
            </w14:solidFill>
          </w14:textFill>
        </w:rPr>
      </w:pPr>
      <w:bookmarkStart w:id="742" w:name="_Ref193786678"/>
      <w:r>
        <w:rPr>
          <w:rFonts w:hint="eastAsia"/>
          <w:color w:val="000000" w:themeColor="text1"/>
          <w14:textFill>
            <w14:solidFill>
              <w14:schemeClr w14:val="tx1"/>
            </w14:solidFill>
          </w14:textFill>
        </w:rPr>
        <w:t>远期昼、夜间水平向预测结果衰减曲线</w:t>
      </w:r>
      <w:bookmarkEnd w:id="742"/>
    </w:p>
    <w:p w14:paraId="4C16A8A4">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）公路两侧铅垂向交通噪声影响预测与分析</w:t>
      </w:r>
    </w:p>
    <w:p w14:paraId="59D4308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为了了解和掌握运营期交通噪声对主线公路两侧距交通干线边界线</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m处，离地面不同高度的影响分布状况（结合项目沿线现状调查，主要高层建筑3</w:t>
      </w:r>
      <w:bookmarkStart w:id="743" w:name="hmcheck_fccfebed4e0248efa8c4e91a6fc09cf8"/>
      <w:r>
        <w:rPr>
          <w:color w:val="000000" w:themeColor="text1"/>
          <w:shd w:val="clear" w:fill="FFAFAA"/>
          <w14:textFill>
            <w14:solidFill>
              <w14:schemeClr w14:val="tx1"/>
            </w14:solidFill>
          </w14:textFill>
        </w:rPr>
        <w:t>~</w:t>
      </w:r>
      <w:bookmarkEnd w:id="743"/>
      <w:r>
        <w:rPr>
          <w:color w:val="000000" w:themeColor="text1"/>
          <w14:textFill>
            <w14:solidFill>
              <w14:schemeClr w14:val="tx1"/>
            </w14:solidFill>
          </w14:textFill>
        </w:rPr>
        <w:t>6F</w:t>
      </w:r>
      <w:r>
        <w:rPr>
          <w:rFonts w:hint="eastAsia"/>
          <w:color w:val="000000" w:themeColor="text1"/>
          <w14:textFill>
            <w14:solidFill>
              <w14:schemeClr w14:val="tx1"/>
            </w14:solidFill>
          </w14:textFill>
        </w:rPr>
        <w:t>，本次评价预测至</w:t>
      </w:r>
      <w:r>
        <w:rPr>
          <w:color w:val="000000" w:themeColor="text1"/>
          <w14:textFill>
            <w14:solidFill>
              <w14:schemeClr w14:val="tx1"/>
            </w14:solidFill>
          </w14:textFill>
        </w:rPr>
        <w:t>10F</w:t>
      </w:r>
      <w:r>
        <w:rPr>
          <w:rFonts w:hint="eastAsia"/>
          <w:color w:val="000000" w:themeColor="text1"/>
          <w14:textFill>
            <w14:solidFill>
              <w14:schemeClr w14:val="tx1"/>
            </w14:solidFill>
          </w14:textFill>
        </w:rPr>
        <w:t>），同样假设在开阔、平坦、平路基、直线段等特定环境条件下，不考虑线路两侧树木与地上物对声波的遮挡等声传播附加衰减、环境的背景噪声的影响，只考虑声波的几何衰减与地面吸收和空气吸收（年平均温度20℃，相对湿度70%），由交通噪声直达声与路面反射声叠加影响预测结果，本项目选取典型路段的铅垂向噪声分布（起点段），铅垂向噪声分布分别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_Ref149557797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表5.4-6</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_Ref149557810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图5.4-8</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1C5672E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对各特征年各道路交通噪声铅垂线预测结果分析如下：运营中期位于公路红线外</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m处的铅垂向不同高度上受交通噪声影响程度不一，以楼层为例（设层高为3.0m），道路以1~</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层声级较高，</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层起随着楼层递增其影响声级值呈直线递减走势，这表明</w:t>
      </w:r>
      <w:bookmarkStart w:id="744" w:name="hmcheck_9b8dd5c574fd4ce2ac3672ff6362c836"/>
      <w:r>
        <w:rPr>
          <w:rFonts w:hint="eastAsia"/>
          <w:color w:val="000000" w:themeColor="text1"/>
          <w:shd w:val="clear" w:fill="FFAFAA"/>
          <w14:textFill>
            <w14:solidFill>
              <w14:schemeClr w14:val="tx1"/>
            </w14:solidFill>
          </w14:textFill>
        </w:rPr>
        <w:t>铅垂向</w:t>
      </w:r>
      <w:bookmarkEnd w:id="744"/>
      <w:r>
        <w:rPr>
          <w:rFonts w:hint="eastAsia"/>
          <w:color w:val="000000" w:themeColor="text1"/>
          <w14:textFill>
            <w14:solidFill>
              <w14:schemeClr w14:val="tx1"/>
            </w14:solidFill>
          </w14:textFill>
        </w:rPr>
        <w:t>噪声受路面反射声的叠加影响很大，且路面越宽，声级达最高点的楼层越高。结合现状垂直噪声监测结果趋势分析，基本符合交通噪声影响的规律。</w:t>
      </w:r>
    </w:p>
    <w:p w14:paraId="71AF5367">
      <w:pPr>
        <w:pStyle w:val="87"/>
        <w:spacing w:before="163"/>
        <w:rPr>
          <w:color w:val="000000" w:themeColor="text1"/>
          <w14:textFill>
            <w14:solidFill>
              <w14:schemeClr w14:val="tx1"/>
            </w14:solidFill>
          </w14:textFill>
        </w:rPr>
      </w:pPr>
      <w:bookmarkStart w:id="745" w:name="_Ref149557797"/>
      <w:r>
        <w:rPr>
          <w:rFonts w:hint="eastAsia"/>
          <w:color w:val="000000" w:themeColor="text1"/>
          <w14:textFill>
            <w14:solidFill>
              <w14:schemeClr w14:val="tx1"/>
            </w14:solidFill>
          </w14:textFill>
        </w:rPr>
        <w:t>典型路段</w:t>
      </w:r>
      <w:r>
        <w:rPr>
          <w:color w:val="000000" w:themeColor="text1"/>
          <w14:textFill>
            <w14:solidFill>
              <w14:schemeClr w14:val="tx1"/>
            </w14:solidFill>
          </w14:textFill>
        </w:rPr>
        <w:t xml:space="preserve">铅垂方向噪声分布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单位：dB（A）</w:t>
      </w:r>
      <w:bookmarkEnd w:id="745"/>
    </w:p>
    <w:tbl>
      <w:tblPr>
        <w:tblStyle w:val="399"/>
        <w:tblW w:w="8880"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1024"/>
        <w:gridCol w:w="1160"/>
        <w:gridCol w:w="1216"/>
        <w:gridCol w:w="1096"/>
        <w:gridCol w:w="1096"/>
        <w:gridCol w:w="1096"/>
        <w:gridCol w:w="1096"/>
        <w:gridCol w:w="1096"/>
      </w:tblGrid>
      <w:tr w14:paraId="470CE8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vMerge w:val="restart"/>
            <w:tcBorders>
              <w:top w:val="single" w:color="auto" w:sz="12" w:space="0"/>
              <w:left w:val="nil"/>
              <w:bottom w:val="nil"/>
              <w:right w:val="single" w:color="auto" w:sz="6" w:space="0"/>
              <w:insideH w:val="nil"/>
              <w:insideV w:val="single" w:sz="6" w:space="0"/>
              <w:tl2br w:val="nil"/>
              <w:tr2bl w:val="nil"/>
            </w:tcBorders>
            <w:vAlign w:val="center"/>
          </w:tcPr>
          <w:p w14:paraId="332C020A">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楼层</w:t>
            </w:r>
          </w:p>
        </w:tc>
        <w:tc>
          <w:tcPr>
            <w:tcW w:w="1160" w:type="dxa"/>
            <w:vMerge w:val="restart"/>
            <w:tcBorders>
              <w:top w:val="single" w:color="auto" w:sz="12" w:space="0"/>
              <w:bottom w:val="nil"/>
              <w:right w:val="single" w:color="auto" w:sz="6" w:space="0"/>
              <w:insideH w:val="nil"/>
              <w:insideV w:val="single" w:sz="6" w:space="0"/>
              <w:tl2br w:val="nil"/>
              <w:tr2bl w:val="nil"/>
            </w:tcBorders>
            <w:vAlign w:val="center"/>
          </w:tcPr>
          <w:p w14:paraId="535C0FD1">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层高（</w:t>
            </w:r>
            <w:r>
              <w:rPr>
                <w:rFonts w:eastAsia="New York"/>
                <w:color w:val="000000" w:themeColor="text1"/>
                <w14:textFill>
                  <w14:solidFill>
                    <w14:schemeClr w14:val="tx1"/>
                  </w14:solidFill>
                </w14:textFill>
              </w:rPr>
              <w:t>m</w:t>
            </w:r>
            <w:r>
              <w:rPr>
                <w:rFonts w:hint="eastAsia" w:ascii="宋体" w:hAnsi="宋体" w:eastAsia="宋体"/>
                <w:color w:val="000000" w:themeColor="text1"/>
                <w14:textFill>
                  <w14:solidFill>
                    <w14:schemeClr w14:val="tx1"/>
                  </w14:solidFill>
                </w14:textFill>
              </w:rPr>
              <w:t>）</w:t>
            </w:r>
          </w:p>
        </w:tc>
        <w:tc>
          <w:tcPr>
            <w:tcW w:w="2312" w:type="dxa"/>
            <w:gridSpan w:val="2"/>
            <w:tcBorders>
              <w:top w:val="single" w:color="auto" w:sz="12" w:space="0"/>
              <w:bottom w:val="nil"/>
              <w:right w:val="single" w:color="auto" w:sz="6" w:space="0"/>
              <w:insideH w:val="nil"/>
              <w:insideV w:val="single" w:sz="6" w:space="0"/>
              <w:tl2br w:val="nil"/>
              <w:tr2bl w:val="nil"/>
            </w:tcBorders>
            <w:noWrap/>
            <w:vAlign w:val="center"/>
          </w:tcPr>
          <w:p w14:paraId="1F8CDCF5">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近期</w:t>
            </w:r>
          </w:p>
        </w:tc>
        <w:tc>
          <w:tcPr>
            <w:tcW w:w="2192" w:type="dxa"/>
            <w:gridSpan w:val="2"/>
            <w:tcBorders>
              <w:top w:val="single" w:color="auto" w:sz="12" w:space="0"/>
              <w:bottom w:val="nil"/>
              <w:right w:val="single" w:color="auto" w:sz="6" w:space="0"/>
              <w:insideH w:val="nil"/>
              <w:insideV w:val="single" w:sz="6" w:space="0"/>
              <w:tl2br w:val="nil"/>
              <w:tr2bl w:val="nil"/>
            </w:tcBorders>
            <w:noWrap/>
            <w:vAlign w:val="center"/>
          </w:tcPr>
          <w:p w14:paraId="54B3CBA4">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中期</w:t>
            </w:r>
          </w:p>
        </w:tc>
        <w:tc>
          <w:tcPr>
            <w:tcW w:w="2192" w:type="dxa"/>
            <w:gridSpan w:val="2"/>
            <w:tcBorders>
              <w:top w:val="single" w:color="auto" w:sz="12" w:space="0"/>
              <w:bottom w:val="nil"/>
              <w:right w:val="nil"/>
              <w:insideH w:val="nil"/>
              <w:insideV w:val="single" w:sz="6" w:space="0"/>
              <w:tl2br w:val="nil"/>
              <w:tr2bl w:val="nil"/>
            </w:tcBorders>
            <w:noWrap/>
            <w:vAlign w:val="center"/>
          </w:tcPr>
          <w:p w14:paraId="4E2EAE93">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远期　</w:t>
            </w:r>
          </w:p>
        </w:tc>
      </w:tr>
      <w:tr w14:paraId="3598611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vMerge w:val="continue"/>
            <w:vAlign w:val="center"/>
          </w:tcPr>
          <w:p w14:paraId="68F08F37">
            <w:pPr>
              <w:pStyle w:val="105"/>
              <w:widowControl w:val="0"/>
              <w:jc w:val="center"/>
              <w:rPr>
                <w:color w:val="000000" w:themeColor="text1"/>
                <w14:textFill>
                  <w14:solidFill>
                    <w14:schemeClr w14:val="tx1"/>
                  </w14:solidFill>
                </w14:textFill>
              </w:rPr>
            </w:pPr>
          </w:p>
        </w:tc>
        <w:tc>
          <w:tcPr>
            <w:tcW w:w="1160" w:type="dxa"/>
            <w:vMerge w:val="continue"/>
            <w:vAlign w:val="center"/>
          </w:tcPr>
          <w:p w14:paraId="7086827F">
            <w:pPr>
              <w:pStyle w:val="105"/>
              <w:widowControl w:val="0"/>
              <w:jc w:val="center"/>
              <w:rPr>
                <w:color w:val="000000" w:themeColor="text1"/>
                <w14:textFill>
                  <w14:solidFill>
                    <w14:schemeClr w14:val="tx1"/>
                  </w14:solidFill>
                </w14:textFill>
              </w:rPr>
            </w:pPr>
          </w:p>
        </w:tc>
        <w:tc>
          <w:tcPr>
            <w:tcW w:w="1216" w:type="dxa"/>
            <w:noWrap/>
            <w:vAlign w:val="center"/>
          </w:tcPr>
          <w:p w14:paraId="4107C127">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1096" w:type="dxa"/>
            <w:noWrap/>
            <w:vAlign w:val="center"/>
          </w:tcPr>
          <w:p w14:paraId="36B0D76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1096" w:type="dxa"/>
            <w:noWrap/>
            <w:vAlign w:val="center"/>
          </w:tcPr>
          <w:p w14:paraId="6E39C1B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1096" w:type="dxa"/>
            <w:noWrap/>
            <w:vAlign w:val="center"/>
          </w:tcPr>
          <w:p w14:paraId="6ECE023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c>
          <w:tcPr>
            <w:tcW w:w="1096" w:type="dxa"/>
            <w:noWrap/>
            <w:vAlign w:val="center"/>
          </w:tcPr>
          <w:p w14:paraId="010C361A">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昼间</w:t>
            </w:r>
          </w:p>
        </w:tc>
        <w:tc>
          <w:tcPr>
            <w:tcW w:w="1096" w:type="dxa"/>
            <w:noWrap/>
            <w:vAlign w:val="center"/>
          </w:tcPr>
          <w:p w14:paraId="408F673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夜间</w:t>
            </w:r>
          </w:p>
        </w:tc>
      </w:tr>
      <w:tr w14:paraId="1C4ED1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54520CC3">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w:t>
            </w:r>
          </w:p>
        </w:tc>
        <w:tc>
          <w:tcPr>
            <w:tcW w:w="1160" w:type="dxa"/>
            <w:noWrap/>
            <w:vAlign w:val="center"/>
          </w:tcPr>
          <w:p w14:paraId="0105EB71">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1.2</w:t>
            </w:r>
          </w:p>
        </w:tc>
        <w:tc>
          <w:tcPr>
            <w:tcW w:w="1216" w:type="dxa"/>
            <w:noWrap/>
            <w:vAlign w:val="center"/>
          </w:tcPr>
          <w:p w14:paraId="1ED4AB42">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w:t>
            </w:r>
            <w:r>
              <w:rPr>
                <w:color w:val="000000" w:themeColor="text1"/>
                <w:szCs w:val="24"/>
                <w14:textFill>
                  <w14:solidFill>
                    <w14:schemeClr w14:val="tx1"/>
                  </w14:solidFill>
                </w14:textFill>
              </w:rPr>
              <w:t>4.9</w:t>
            </w:r>
          </w:p>
        </w:tc>
        <w:tc>
          <w:tcPr>
            <w:tcW w:w="1096" w:type="dxa"/>
            <w:noWrap/>
            <w:vAlign w:val="center"/>
          </w:tcPr>
          <w:p w14:paraId="336C95F2">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w:t>
            </w:r>
            <w:r>
              <w:rPr>
                <w:color w:val="000000" w:themeColor="text1"/>
                <w:szCs w:val="24"/>
                <w14:textFill>
                  <w14:solidFill>
                    <w14:schemeClr w14:val="tx1"/>
                  </w14:solidFill>
                </w14:textFill>
              </w:rPr>
              <w:t>3</w:t>
            </w:r>
          </w:p>
        </w:tc>
        <w:tc>
          <w:tcPr>
            <w:tcW w:w="1096" w:type="dxa"/>
            <w:noWrap/>
            <w:vAlign w:val="center"/>
          </w:tcPr>
          <w:p w14:paraId="77D65C3E">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66.2</w:t>
            </w:r>
          </w:p>
        </w:tc>
        <w:tc>
          <w:tcPr>
            <w:tcW w:w="1096" w:type="dxa"/>
            <w:noWrap/>
            <w:vAlign w:val="center"/>
          </w:tcPr>
          <w:p w14:paraId="2DA2D8EE">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57.6</w:t>
            </w:r>
          </w:p>
        </w:tc>
        <w:tc>
          <w:tcPr>
            <w:tcW w:w="1096" w:type="dxa"/>
            <w:noWrap/>
            <w:vAlign w:val="center"/>
          </w:tcPr>
          <w:p w14:paraId="5C42797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w:t>
            </w:r>
            <w:r>
              <w:rPr>
                <w:color w:val="000000" w:themeColor="text1"/>
                <w:szCs w:val="24"/>
                <w14:textFill>
                  <w14:solidFill>
                    <w14:schemeClr w14:val="tx1"/>
                  </w14:solidFill>
                </w14:textFill>
              </w:rPr>
              <w:t>6.8</w:t>
            </w:r>
          </w:p>
        </w:tc>
        <w:tc>
          <w:tcPr>
            <w:tcW w:w="1096" w:type="dxa"/>
            <w:noWrap/>
            <w:vAlign w:val="center"/>
          </w:tcPr>
          <w:p w14:paraId="50DD8013">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58.</w:t>
            </w:r>
            <w:r>
              <w:rPr>
                <w:color w:val="000000" w:themeColor="text1"/>
                <w:szCs w:val="24"/>
                <w14:textFill>
                  <w14:solidFill>
                    <w14:schemeClr w14:val="tx1"/>
                  </w14:solidFill>
                </w14:textFill>
              </w:rPr>
              <w:t>0</w:t>
            </w:r>
          </w:p>
        </w:tc>
      </w:tr>
      <w:tr w14:paraId="51381B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68DC451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w:t>
            </w:r>
          </w:p>
        </w:tc>
        <w:tc>
          <w:tcPr>
            <w:tcW w:w="1160" w:type="dxa"/>
            <w:noWrap/>
            <w:vAlign w:val="center"/>
          </w:tcPr>
          <w:p w14:paraId="3D16F4D5">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4.2</w:t>
            </w:r>
          </w:p>
        </w:tc>
        <w:tc>
          <w:tcPr>
            <w:tcW w:w="1216" w:type="dxa"/>
            <w:noWrap/>
            <w:vAlign w:val="center"/>
          </w:tcPr>
          <w:p w14:paraId="1D8B1A3A">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w:t>
            </w:r>
            <w:r>
              <w:rPr>
                <w:color w:val="000000" w:themeColor="text1"/>
                <w:szCs w:val="24"/>
                <w14:textFill>
                  <w14:solidFill>
                    <w14:schemeClr w14:val="tx1"/>
                  </w14:solidFill>
                </w14:textFill>
              </w:rPr>
              <w:t>4.8</w:t>
            </w:r>
          </w:p>
        </w:tc>
        <w:tc>
          <w:tcPr>
            <w:tcW w:w="1096" w:type="dxa"/>
            <w:noWrap/>
            <w:vAlign w:val="center"/>
          </w:tcPr>
          <w:p w14:paraId="01D6A021">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w:t>
            </w:r>
            <w:r>
              <w:rPr>
                <w:color w:val="000000" w:themeColor="text1"/>
                <w:szCs w:val="24"/>
                <w14:textFill>
                  <w14:solidFill>
                    <w14:schemeClr w14:val="tx1"/>
                  </w14:solidFill>
                </w14:textFill>
              </w:rPr>
              <w:t>3</w:t>
            </w:r>
          </w:p>
        </w:tc>
        <w:tc>
          <w:tcPr>
            <w:tcW w:w="1096" w:type="dxa"/>
            <w:noWrap/>
            <w:vAlign w:val="center"/>
          </w:tcPr>
          <w:p w14:paraId="1419ED1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66.1</w:t>
            </w:r>
          </w:p>
        </w:tc>
        <w:tc>
          <w:tcPr>
            <w:tcW w:w="1096" w:type="dxa"/>
            <w:noWrap/>
            <w:vAlign w:val="center"/>
          </w:tcPr>
          <w:p w14:paraId="1C3EF87B">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57.6</w:t>
            </w:r>
          </w:p>
        </w:tc>
        <w:tc>
          <w:tcPr>
            <w:tcW w:w="1096" w:type="dxa"/>
            <w:noWrap/>
            <w:vAlign w:val="center"/>
          </w:tcPr>
          <w:p w14:paraId="25ED7616">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66.</w:t>
            </w:r>
            <w:r>
              <w:rPr>
                <w:color w:val="000000" w:themeColor="text1"/>
                <w:szCs w:val="24"/>
                <w14:textFill>
                  <w14:solidFill>
                    <w14:schemeClr w14:val="tx1"/>
                  </w14:solidFill>
                </w14:textFill>
              </w:rPr>
              <w:t>7</w:t>
            </w:r>
          </w:p>
        </w:tc>
        <w:tc>
          <w:tcPr>
            <w:tcW w:w="1096" w:type="dxa"/>
            <w:noWrap/>
            <w:vAlign w:val="center"/>
          </w:tcPr>
          <w:p w14:paraId="4CC98419">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58.</w:t>
            </w:r>
            <w:r>
              <w:rPr>
                <w:color w:val="000000" w:themeColor="text1"/>
                <w:szCs w:val="24"/>
                <w14:textFill>
                  <w14:solidFill>
                    <w14:schemeClr w14:val="tx1"/>
                  </w14:solidFill>
                </w14:textFill>
              </w:rPr>
              <w:t>0</w:t>
            </w:r>
          </w:p>
        </w:tc>
      </w:tr>
      <w:tr w14:paraId="6D3C15B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0FF1ABAF">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3</w:t>
            </w:r>
          </w:p>
        </w:tc>
        <w:tc>
          <w:tcPr>
            <w:tcW w:w="1160" w:type="dxa"/>
            <w:noWrap/>
            <w:vAlign w:val="center"/>
          </w:tcPr>
          <w:p w14:paraId="2EA12582">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7.2</w:t>
            </w:r>
          </w:p>
        </w:tc>
        <w:tc>
          <w:tcPr>
            <w:tcW w:w="1216" w:type="dxa"/>
            <w:noWrap/>
            <w:vAlign w:val="center"/>
          </w:tcPr>
          <w:p w14:paraId="3690E778">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64.8</w:t>
            </w:r>
          </w:p>
        </w:tc>
        <w:tc>
          <w:tcPr>
            <w:tcW w:w="1096" w:type="dxa"/>
            <w:noWrap/>
            <w:vAlign w:val="center"/>
          </w:tcPr>
          <w:p w14:paraId="73D012D8">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57.2</w:t>
            </w:r>
          </w:p>
        </w:tc>
        <w:tc>
          <w:tcPr>
            <w:tcW w:w="1096" w:type="dxa"/>
            <w:noWrap/>
            <w:vAlign w:val="center"/>
          </w:tcPr>
          <w:p w14:paraId="329C0D89">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66.1</w:t>
            </w:r>
          </w:p>
        </w:tc>
        <w:tc>
          <w:tcPr>
            <w:tcW w:w="1096" w:type="dxa"/>
            <w:noWrap/>
            <w:vAlign w:val="center"/>
          </w:tcPr>
          <w:p w14:paraId="1A69A701">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57.5</w:t>
            </w:r>
          </w:p>
        </w:tc>
        <w:tc>
          <w:tcPr>
            <w:tcW w:w="1096" w:type="dxa"/>
            <w:noWrap/>
            <w:vAlign w:val="center"/>
          </w:tcPr>
          <w:p w14:paraId="195B72C5">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66.6</w:t>
            </w:r>
          </w:p>
        </w:tc>
        <w:tc>
          <w:tcPr>
            <w:tcW w:w="1096" w:type="dxa"/>
            <w:noWrap/>
            <w:vAlign w:val="center"/>
          </w:tcPr>
          <w:p w14:paraId="0813985B">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57.9</w:t>
            </w:r>
          </w:p>
        </w:tc>
      </w:tr>
      <w:tr w14:paraId="1E142D5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0132B744">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4</w:t>
            </w:r>
          </w:p>
        </w:tc>
        <w:tc>
          <w:tcPr>
            <w:tcW w:w="1160" w:type="dxa"/>
            <w:noWrap/>
            <w:vAlign w:val="center"/>
          </w:tcPr>
          <w:p w14:paraId="5D5B1EC9">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10.2</w:t>
            </w:r>
          </w:p>
        </w:tc>
        <w:tc>
          <w:tcPr>
            <w:tcW w:w="1216" w:type="dxa"/>
            <w:noWrap/>
            <w:vAlign w:val="center"/>
          </w:tcPr>
          <w:p w14:paraId="1CFB4918">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64.3</w:t>
            </w:r>
          </w:p>
        </w:tc>
        <w:tc>
          <w:tcPr>
            <w:tcW w:w="1096" w:type="dxa"/>
            <w:noWrap/>
            <w:vAlign w:val="center"/>
          </w:tcPr>
          <w:p w14:paraId="312E17F4">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56.7</w:t>
            </w:r>
          </w:p>
        </w:tc>
        <w:tc>
          <w:tcPr>
            <w:tcW w:w="1096" w:type="dxa"/>
            <w:noWrap/>
            <w:vAlign w:val="center"/>
          </w:tcPr>
          <w:p w14:paraId="6350797B">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66.0</w:t>
            </w:r>
          </w:p>
        </w:tc>
        <w:tc>
          <w:tcPr>
            <w:tcW w:w="1096" w:type="dxa"/>
            <w:noWrap/>
            <w:vAlign w:val="center"/>
          </w:tcPr>
          <w:p w14:paraId="3F663985">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57.1</w:t>
            </w:r>
          </w:p>
        </w:tc>
        <w:tc>
          <w:tcPr>
            <w:tcW w:w="1096" w:type="dxa"/>
            <w:noWrap/>
            <w:vAlign w:val="center"/>
          </w:tcPr>
          <w:p w14:paraId="1BD69044">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66.3</w:t>
            </w:r>
          </w:p>
        </w:tc>
        <w:tc>
          <w:tcPr>
            <w:tcW w:w="1096" w:type="dxa"/>
            <w:noWrap/>
            <w:vAlign w:val="center"/>
          </w:tcPr>
          <w:p w14:paraId="54B98595">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57.4</w:t>
            </w:r>
          </w:p>
        </w:tc>
      </w:tr>
      <w:tr w14:paraId="3348C0B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392533B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w:t>
            </w:r>
          </w:p>
        </w:tc>
        <w:tc>
          <w:tcPr>
            <w:tcW w:w="1160" w:type="dxa"/>
            <w:noWrap/>
            <w:vAlign w:val="center"/>
          </w:tcPr>
          <w:p w14:paraId="6AE0936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13.2</w:t>
            </w:r>
          </w:p>
        </w:tc>
        <w:tc>
          <w:tcPr>
            <w:tcW w:w="1216" w:type="dxa"/>
            <w:noWrap/>
            <w:vAlign w:val="center"/>
          </w:tcPr>
          <w:p w14:paraId="40AE014A">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63.7</w:t>
            </w:r>
          </w:p>
        </w:tc>
        <w:tc>
          <w:tcPr>
            <w:tcW w:w="1096" w:type="dxa"/>
            <w:noWrap/>
            <w:vAlign w:val="center"/>
          </w:tcPr>
          <w:p w14:paraId="1BFBC82A">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56.1</w:t>
            </w:r>
          </w:p>
        </w:tc>
        <w:tc>
          <w:tcPr>
            <w:tcW w:w="1096" w:type="dxa"/>
            <w:noWrap/>
            <w:vAlign w:val="center"/>
          </w:tcPr>
          <w:p w14:paraId="7459040D">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65.6</w:t>
            </w:r>
          </w:p>
        </w:tc>
        <w:tc>
          <w:tcPr>
            <w:tcW w:w="1096" w:type="dxa"/>
            <w:noWrap/>
            <w:vAlign w:val="center"/>
          </w:tcPr>
          <w:p w14:paraId="19200641">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56.6</w:t>
            </w:r>
          </w:p>
        </w:tc>
        <w:tc>
          <w:tcPr>
            <w:tcW w:w="1096" w:type="dxa"/>
            <w:noWrap/>
            <w:vAlign w:val="center"/>
          </w:tcPr>
          <w:p w14:paraId="7B1CD08A">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65.9</w:t>
            </w:r>
          </w:p>
        </w:tc>
        <w:tc>
          <w:tcPr>
            <w:tcW w:w="1096" w:type="dxa"/>
            <w:noWrap/>
            <w:vAlign w:val="center"/>
          </w:tcPr>
          <w:p w14:paraId="22CFE6D4">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56.8</w:t>
            </w:r>
          </w:p>
        </w:tc>
      </w:tr>
      <w:tr w14:paraId="2DCCD17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10A3A7BD">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w:t>
            </w:r>
          </w:p>
        </w:tc>
        <w:tc>
          <w:tcPr>
            <w:tcW w:w="1160" w:type="dxa"/>
            <w:noWrap/>
            <w:vAlign w:val="center"/>
          </w:tcPr>
          <w:p w14:paraId="00F307F2">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16.2</w:t>
            </w:r>
          </w:p>
        </w:tc>
        <w:tc>
          <w:tcPr>
            <w:tcW w:w="1216" w:type="dxa"/>
            <w:noWrap/>
            <w:vAlign w:val="center"/>
          </w:tcPr>
          <w:p w14:paraId="3E83A1D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62.0</w:t>
            </w:r>
          </w:p>
        </w:tc>
        <w:tc>
          <w:tcPr>
            <w:tcW w:w="1096" w:type="dxa"/>
            <w:noWrap/>
            <w:vAlign w:val="center"/>
          </w:tcPr>
          <w:p w14:paraId="7127D5BE">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54.4</w:t>
            </w:r>
          </w:p>
        </w:tc>
        <w:tc>
          <w:tcPr>
            <w:tcW w:w="1096" w:type="dxa"/>
            <w:noWrap/>
            <w:vAlign w:val="center"/>
          </w:tcPr>
          <w:p w14:paraId="1AA85F64">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64.5</w:t>
            </w:r>
          </w:p>
        </w:tc>
        <w:tc>
          <w:tcPr>
            <w:tcW w:w="1096" w:type="dxa"/>
            <w:noWrap/>
            <w:vAlign w:val="center"/>
          </w:tcPr>
          <w:p w14:paraId="2A8D7499">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54.9</w:t>
            </w:r>
          </w:p>
        </w:tc>
        <w:tc>
          <w:tcPr>
            <w:tcW w:w="1096" w:type="dxa"/>
            <w:noWrap/>
            <w:vAlign w:val="center"/>
          </w:tcPr>
          <w:p w14:paraId="112C5DEA">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64.7</w:t>
            </w:r>
          </w:p>
        </w:tc>
        <w:tc>
          <w:tcPr>
            <w:tcW w:w="1096" w:type="dxa"/>
            <w:noWrap/>
            <w:vAlign w:val="center"/>
          </w:tcPr>
          <w:p w14:paraId="32BE71FC">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55.1</w:t>
            </w:r>
          </w:p>
        </w:tc>
      </w:tr>
      <w:tr w14:paraId="73D3738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3D9DB739">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7</w:t>
            </w:r>
          </w:p>
        </w:tc>
        <w:tc>
          <w:tcPr>
            <w:tcW w:w="1160" w:type="dxa"/>
            <w:noWrap/>
            <w:vAlign w:val="center"/>
          </w:tcPr>
          <w:p w14:paraId="68DB7817">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19.2</w:t>
            </w:r>
          </w:p>
        </w:tc>
        <w:tc>
          <w:tcPr>
            <w:tcW w:w="1216" w:type="dxa"/>
            <w:noWrap/>
            <w:vAlign w:val="center"/>
          </w:tcPr>
          <w:p w14:paraId="53C214F4">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61.2</w:t>
            </w:r>
          </w:p>
        </w:tc>
        <w:tc>
          <w:tcPr>
            <w:tcW w:w="1096" w:type="dxa"/>
            <w:noWrap/>
            <w:vAlign w:val="center"/>
          </w:tcPr>
          <w:p w14:paraId="66EBF917">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53.6</w:t>
            </w:r>
          </w:p>
        </w:tc>
        <w:tc>
          <w:tcPr>
            <w:tcW w:w="1096" w:type="dxa"/>
            <w:noWrap/>
            <w:vAlign w:val="center"/>
          </w:tcPr>
          <w:p w14:paraId="01016EF1">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63.9</w:t>
            </w:r>
          </w:p>
        </w:tc>
        <w:tc>
          <w:tcPr>
            <w:tcW w:w="1096" w:type="dxa"/>
            <w:noWrap/>
            <w:vAlign w:val="center"/>
          </w:tcPr>
          <w:p w14:paraId="30B2A2FE">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54.1</w:t>
            </w:r>
          </w:p>
        </w:tc>
        <w:tc>
          <w:tcPr>
            <w:tcW w:w="1096" w:type="dxa"/>
            <w:noWrap/>
            <w:vAlign w:val="center"/>
          </w:tcPr>
          <w:p w14:paraId="47CFB702">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64.2</w:t>
            </w:r>
          </w:p>
        </w:tc>
        <w:tc>
          <w:tcPr>
            <w:tcW w:w="1096" w:type="dxa"/>
            <w:noWrap/>
            <w:vAlign w:val="center"/>
          </w:tcPr>
          <w:p w14:paraId="62C666F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54.3</w:t>
            </w:r>
          </w:p>
        </w:tc>
      </w:tr>
      <w:tr w14:paraId="0EB5209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3D2DDF6C">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8</w:t>
            </w:r>
          </w:p>
        </w:tc>
        <w:tc>
          <w:tcPr>
            <w:tcW w:w="1160" w:type="dxa"/>
            <w:noWrap/>
            <w:vAlign w:val="center"/>
          </w:tcPr>
          <w:p w14:paraId="5544DD6B">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22.2</w:t>
            </w:r>
          </w:p>
        </w:tc>
        <w:tc>
          <w:tcPr>
            <w:tcW w:w="1216" w:type="dxa"/>
            <w:noWrap/>
            <w:vAlign w:val="center"/>
          </w:tcPr>
          <w:p w14:paraId="5B810BD5">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60.4</w:t>
            </w:r>
          </w:p>
        </w:tc>
        <w:tc>
          <w:tcPr>
            <w:tcW w:w="1096" w:type="dxa"/>
            <w:noWrap/>
            <w:vAlign w:val="center"/>
          </w:tcPr>
          <w:p w14:paraId="79930F48">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52.8</w:t>
            </w:r>
          </w:p>
        </w:tc>
        <w:tc>
          <w:tcPr>
            <w:tcW w:w="1096" w:type="dxa"/>
            <w:noWrap/>
            <w:vAlign w:val="center"/>
          </w:tcPr>
          <w:p w14:paraId="75FE20F8">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63.4</w:t>
            </w:r>
          </w:p>
        </w:tc>
        <w:tc>
          <w:tcPr>
            <w:tcW w:w="1096" w:type="dxa"/>
            <w:noWrap/>
            <w:vAlign w:val="center"/>
          </w:tcPr>
          <w:p w14:paraId="30CED78E">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53.3</w:t>
            </w:r>
          </w:p>
        </w:tc>
        <w:tc>
          <w:tcPr>
            <w:tcW w:w="1096" w:type="dxa"/>
            <w:noWrap/>
            <w:vAlign w:val="center"/>
          </w:tcPr>
          <w:p w14:paraId="6E57679B">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63.7</w:t>
            </w:r>
          </w:p>
        </w:tc>
        <w:tc>
          <w:tcPr>
            <w:tcW w:w="1096" w:type="dxa"/>
            <w:noWrap/>
            <w:vAlign w:val="center"/>
          </w:tcPr>
          <w:p w14:paraId="6028F0FB">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53.6</w:t>
            </w:r>
          </w:p>
        </w:tc>
      </w:tr>
      <w:tr w14:paraId="4389F53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4A316203">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9</w:t>
            </w:r>
          </w:p>
        </w:tc>
        <w:tc>
          <w:tcPr>
            <w:tcW w:w="1160" w:type="dxa"/>
            <w:noWrap/>
            <w:vAlign w:val="center"/>
          </w:tcPr>
          <w:p w14:paraId="5868A28F">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25.2</w:t>
            </w:r>
          </w:p>
        </w:tc>
        <w:tc>
          <w:tcPr>
            <w:tcW w:w="1216" w:type="dxa"/>
            <w:noWrap/>
            <w:vAlign w:val="center"/>
          </w:tcPr>
          <w:p w14:paraId="7B2655E7">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59.7</w:t>
            </w:r>
          </w:p>
        </w:tc>
        <w:tc>
          <w:tcPr>
            <w:tcW w:w="1096" w:type="dxa"/>
            <w:noWrap/>
            <w:vAlign w:val="center"/>
          </w:tcPr>
          <w:p w14:paraId="34BCE19F">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52.1</w:t>
            </w:r>
          </w:p>
        </w:tc>
        <w:tc>
          <w:tcPr>
            <w:tcW w:w="1096" w:type="dxa"/>
            <w:noWrap/>
            <w:vAlign w:val="center"/>
          </w:tcPr>
          <w:p w14:paraId="08BDF14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63.0</w:t>
            </w:r>
          </w:p>
        </w:tc>
        <w:tc>
          <w:tcPr>
            <w:tcW w:w="1096" w:type="dxa"/>
            <w:noWrap/>
            <w:vAlign w:val="center"/>
          </w:tcPr>
          <w:p w14:paraId="4E6251B9">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52.6</w:t>
            </w:r>
          </w:p>
        </w:tc>
        <w:tc>
          <w:tcPr>
            <w:tcW w:w="1096" w:type="dxa"/>
            <w:noWrap/>
            <w:vAlign w:val="center"/>
          </w:tcPr>
          <w:p w14:paraId="69958F9F">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63.2</w:t>
            </w:r>
          </w:p>
        </w:tc>
        <w:tc>
          <w:tcPr>
            <w:tcW w:w="1096" w:type="dxa"/>
            <w:noWrap/>
            <w:vAlign w:val="center"/>
          </w:tcPr>
          <w:p w14:paraId="4F69AB25">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52.9</w:t>
            </w:r>
          </w:p>
        </w:tc>
      </w:tr>
      <w:tr w14:paraId="6D29DD2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1024" w:type="dxa"/>
            <w:noWrap/>
            <w:vAlign w:val="center"/>
          </w:tcPr>
          <w:p w14:paraId="5A5A4312">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10</w:t>
            </w:r>
          </w:p>
        </w:tc>
        <w:tc>
          <w:tcPr>
            <w:tcW w:w="1160" w:type="dxa"/>
            <w:noWrap/>
            <w:vAlign w:val="center"/>
          </w:tcPr>
          <w:p w14:paraId="547C2038">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28.2</w:t>
            </w:r>
          </w:p>
        </w:tc>
        <w:tc>
          <w:tcPr>
            <w:tcW w:w="1216" w:type="dxa"/>
            <w:noWrap/>
            <w:vAlign w:val="center"/>
          </w:tcPr>
          <w:p w14:paraId="3972013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59.1</w:t>
            </w:r>
          </w:p>
        </w:tc>
        <w:tc>
          <w:tcPr>
            <w:tcW w:w="1096" w:type="dxa"/>
            <w:noWrap/>
            <w:vAlign w:val="center"/>
          </w:tcPr>
          <w:p w14:paraId="7C83AC9D">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51.5</w:t>
            </w:r>
          </w:p>
        </w:tc>
        <w:tc>
          <w:tcPr>
            <w:tcW w:w="1096" w:type="dxa"/>
            <w:noWrap/>
            <w:vAlign w:val="center"/>
          </w:tcPr>
          <w:p w14:paraId="5931D8F0">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62.5</w:t>
            </w:r>
          </w:p>
        </w:tc>
        <w:tc>
          <w:tcPr>
            <w:tcW w:w="1096" w:type="dxa"/>
            <w:noWrap/>
            <w:vAlign w:val="center"/>
          </w:tcPr>
          <w:p w14:paraId="67719EE6">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52.0</w:t>
            </w:r>
          </w:p>
        </w:tc>
        <w:tc>
          <w:tcPr>
            <w:tcW w:w="1096" w:type="dxa"/>
            <w:noWrap/>
            <w:vAlign w:val="center"/>
          </w:tcPr>
          <w:p w14:paraId="3D0F333E">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62.8</w:t>
            </w:r>
          </w:p>
        </w:tc>
        <w:tc>
          <w:tcPr>
            <w:tcW w:w="1096" w:type="dxa"/>
            <w:noWrap/>
            <w:vAlign w:val="center"/>
          </w:tcPr>
          <w:p w14:paraId="790C597F">
            <w:pPr>
              <w:pStyle w:val="105"/>
              <w:widowControl w:val="0"/>
              <w:jc w:val="center"/>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52.2</w:t>
            </w:r>
          </w:p>
        </w:tc>
      </w:tr>
    </w:tbl>
    <w:p w14:paraId="36A52EA2">
      <w:pPr>
        <w:spacing w:before="163" w:beforeLines="50"/>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2519680" cy="4859655"/>
            <wp:effectExtent l="0" t="0" r="13970" b="17145"/>
            <wp:docPr id="908" name="图表 9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Pr>
          <w:color w:val="000000" w:themeColor="text1"/>
          <w14:textFill>
            <w14:solidFill>
              <w14:schemeClr w14:val="tx1"/>
            </w14:solidFill>
          </w14:textFill>
        </w:rPr>
        <w:t xml:space="preserve">  </w:t>
      </w:r>
      <w:r>
        <w:rPr>
          <w:color w:val="000000" w:themeColor="text1"/>
          <w14:textFill>
            <w14:solidFill>
              <w14:schemeClr w14:val="tx1"/>
            </w14:solidFill>
          </w14:textFill>
        </w:rPr>
        <w:drawing>
          <wp:inline distT="0" distB="0" distL="0" distR="0">
            <wp:extent cx="2519680" cy="4859655"/>
            <wp:effectExtent l="0" t="0" r="13970" b="17145"/>
            <wp:docPr id="909" name="图表 9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6A091CF8">
      <w:pPr>
        <w:pStyle w:val="122"/>
        <w:rPr>
          <w:color w:val="000000" w:themeColor="text1"/>
          <w14:textFill>
            <w14:solidFill>
              <w14:schemeClr w14:val="tx1"/>
            </w14:solidFill>
          </w14:textFill>
        </w:rPr>
      </w:pPr>
      <w:bookmarkStart w:id="746" w:name="_Ref149557810"/>
      <w:r>
        <w:rPr>
          <w:rFonts w:hint="eastAsia"/>
          <w:color w:val="000000" w:themeColor="text1"/>
          <w14:textFill>
            <w14:solidFill>
              <w14:schemeClr w14:val="tx1"/>
            </w14:solidFill>
          </w14:textFill>
        </w:rPr>
        <w:t>中期交通噪声铅垂线分布图（</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m路宽）</w:t>
      </w:r>
      <w:bookmarkEnd w:id="746"/>
    </w:p>
    <w:p w14:paraId="130EFAA2">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对公路沿线环境敏感目标影响预测与评价</w:t>
      </w:r>
    </w:p>
    <w:p w14:paraId="0F4385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A.</w:t>
      </w:r>
      <w:r>
        <w:rPr>
          <w:color w:val="000000" w:themeColor="text1"/>
          <w14:textFill>
            <w14:solidFill>
              <w14:schemeClr w14:val="tx1"/>
            </w14:solidFill>
          </w14:textFill>
        </w:rPr>
        <w:t>敏感点</w:t>
      </w:r>
      <w:r>
        <w:rPr>
          <w:rFonts w:hint="eastAsia"/>
          <w:color w:val="000000" w:themeColor="text1"/>
          <w14:textFill>
            <w14:solidFill>
              <w14:schemeClr w14:val="tx1"/>
            </w14:solidFill>
          </w14:textFill>
        </w:rPr>
        <w:t>环境背景噪声取值</w:t>
      </w:r>
    </w:p>
    <w:p w14:paraId="1ACFE4FB">
      <w:pPr>
        <w:ind w:firstLine="480"/>
        <w:rPr>
          <w:color w:val="000000" w:themeColor="text1"/>
          <w14:textFill>
            <w14:solidFill>
              <w14:schemeClr w14:val="tx1"/>
            </w14:solidFill>
          </w14:textFill>
        </w:rPr>
      </w:pPr>
      <w:bookmarkStart w:id="747" w:name="_Hlk186408076"/>
      <w:r>
        <w:rPr>
          <w:rFonts w:hint="eastAsia"/>
          <w:color w:val="000000" w:themeColor="text1"/>
          <w14:textFill>
            <w14:solidFill>
              <w14:schemeClr w14:val="tx1"/>
            </w14:solidFill>
          </w14:textFill>
        </w:rPr>
        <w:t>根据本项目所经区域的环境特征、噪声污染源和噪声敏感目标现状情况，在项目沿线共选取了4处敏感目标布设噪声</w:t>
      </w:r>
      <w:bookmarkStart w:id="748" w:name="hmcheck_687c62288587489a995c4bf7f50b9463"/>
      <w:r>
        <w:rPr>
          <w:rFonts w:hint="eastAsia"/>
          <w:color w:val="000000" w:themeColor="text1"/>
          <w:shd w:val="clear" w:fill="FFAFAA"/>
          <w14:textFill>
            <w14:solidFill>
              <w14:schemeClr w14:val="tx1"/>
            </w14:solidFill>
          </w14:textFill>
        </w:rPr>
        <w:t>监测点</w:t>
      </w:r>
      <w:bookmarkEnd w:id="748"/>
      <w:r>
        <w:rPr>
          <w:color w:val="000000" w:themeColor="text1"/>
          <w14:textFill>
            <w14:solidFill>
              <w14:schemeClr w14:val="tx1"/>
            </w14:solidFill>
          </w14:textFill>
        </w:rPr>
        <w:t>7</w:t>
      </w:r>
      <w:r>
        <w:rPr>
          <w:rFonts w:hint="eastAsia"/>
          <w:color w:val="000000" w:themeColor="text1"/>
          <w14:textFill>
            <w14:solidFill>
              <w14:schemeClr w14:val="tx1"/>
            </w14:solidFill>
          </w14:textFill>
        </w:rPr>
        <w:t>个点位和一个水平衰减断面，其余敏感目标采用类比方式取值。</w:t>
      </w:r>
      <w:bookmarkEnd w:id="747"/>
      <w:r>
        <w:rPr>
          <w:rFonts w:hint="eastAsia"/>
          <w:color w:val="000000" w:themeColor="text1"/>
          <w14:textFill>
            <w14:solidFill>
              <w14:schemeClr w14:val="tx1"/>
            </w14:solidFill>
          </w14:textFill>
        </w:rPr>
        <w:t>项目声环境敏感目标取值均为实测，详见</w:t>
      </w:r>
      <w:r>
        <w:rPr>
          <w:color w:val="000000" w:themeColor="text1"/>
          <w:highlight w:val="yellow"/>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_Ref149557843 \r \h</w:instrText>
      </w:r>
      <w:r>
        <w:rPr>
          <w:color w:val="000000" w:themeColor="text1"/>
          <w14:textFill>
            <w14:solidFill>
              <w14:schemeClr w14:val="tx1"/>
            </w14:solidFill>
          </w14:textFill>
        </w:rPr>
        <w:instrText xml:space="preserve"> </w:instrText>
      </w:r>
      <w:r>
        <w:rPr>
          <w:color w:val="000000" w:themeColor="text1"/>
          <w:highlight w:val="yellow"/>
          <w14:textFill>
            <w14:solidFill>
              <w14:schemeClr w14:val="tx1"/>
            </w14:solidFill>
          </w14:textFill>
        </w:rPr>
        <w:fldChar w:fldCharType="separate"/>
      </w:r>
      <w:r>
        <w:rPr>
          <w:rFonts w:hint="eastAsia"/>
          <w:color w:val="000000" w:themeColor="text1"/>
          <w14:textFill>
            <w14:solidFill>
              <w14:schemeClr w14:val="tx1"/>
            </w14:solidFill>
          </w14:textFill>
        </w:rPr>
        <w:t>表5.4-7</w:t>
      </w:r>
      <w:r>
        <w:rPr>
          <w:color w:val="000000" w:themeColor="text1"/>
          <w:highlight w:val="yellow"/>
          <w14:textFill>
            <w14:solidFill>
              <w14:schemeClr w14:val="tx1"/>
            </w14:solidFill>
          </w14:textFill>
        </w:rPr>
        <w:fldChar w:fldCharType="end"/>
      </w:r>
      <w:r>
        <w:rPr>
          <w:rFonts w:hint="eastAsia"/>
          <w:color w:val="000000" w:themeColor="text1"/>
          <w14:textFill>
            <w14:solidFill>
              <w14:schemeClr w14:val="tx1"/>
            </w14:solidFill>
          </w14:textFill>
        </w:rPr>
        <w:t>。</w:t>
      </w:r>
    </w:p>
    <w:p w14:paraId="70AD7299">
      <w:pPr>
        <w:ind w:firstLine="480"/>
        <w:rPr>
          <w:color w:val="000000" w:themeColor="text1"/>
          <w14:textFill>
            <w14:solidFill>
              <w14:schemeClr w14:val="tx1"/>
            </w14:solidFill>
          </w14:textFill>
        </w:rPr>
      </w:pPr>
    </w:p>
    <w:p w14:paraId="53624232">
      <w:pPr>
        <w:ind w:firstLine="480"/>
        <w:rPr>
          <w:color w:val="000000" w:themeColor="text1"/>
          <w14:textFill>
            <w14:solidFill>
              <w14:schemeClr w14:val="tx1"/>
            </w14:solidFill>
          </w14:textFill>
        </w:rPr>
      </w:pPr>
    </w:p>
    <w:p w14:paraId="41F3FCF7">
      <w:pPr>
        <w:ind w:firstLine="480"/>
        <w:rPr>
          <w:color w:val="000000" w:themeColor="text1"/>
          <w14:textFill>
            <w14:solidFill>
              <w14:schemeClr w14:val="tx1"/>
            </w14:solidFill>
          </w14:textFill>
        </w:rPr>
      </w:pPr>
    </w:p>
    <w:p w14:paraId="13DB412D">
      <w:pPr>
        <w:ind w:firstLine="480"/>
        <w:rPr>
          <w:color w:val="000000" w:themeColor="text1"/>
          <w14:textFill>
            <w14:solidFill>
              <w14:schemeClr w14:val="tx1"/>
            </w14:solidFill>
          </w14:textFill>
        </w:rPr>
      </w:pPr>
    </w:p>
    <w:p w14:paraId="61980635">
      <w:pPr>
        <w:ind w:firstLine="480"/>
        <w:rPr>
          <w:color w:val="000000" w:themeColor="text1"/>
          <w14:textFill>
            <w14:solidFill>
              <w14:schemeClr w14:val="tx1"/>
            </w14:solidFill>
          </w14:textFill>
        </w:rPr>
      </w:pPr>
    </w:p>
    <w:p w14:paraId="06708C6D">
      <w:pPr>
        <w:ind w:firstLine="480"/>
        <w:rPr>
          <w:color w:val="000000" w:themeColor="text1"/>
          <w14:textFill>
            <w14:solidFill>
              <w14:schemeClr w14:val="tx1"/>
            </w14:solidFill>
          </w14:textFill>
        </w:rPr>
      </w:pPr>
    </w:p>
    <w:p w14:paraId="5ED48A7E">
      <w:pPr>
        <w:ind w:firstLine="480"/>
        <w:rPr>
          <w:color w:val="000000" w:themeColor="text1"/>
          <w14:textFill>
            <w14:solidFill>
              <w14:schemeClr w14:val="tx1"/>
            </w14:solidFill>
          </w14:textFill>
        </w:rPr>
      </w:pPr>
    </w:p>
    <w:p w14:paraId="51011B4F">
      <w:pPr>
        <w:pStyle w:val="87"/>
        <w:spacing w:before="163"/>
        <w:rPr>
          <w:color w:val="000000" w:themeColor="text1"/>
          <w14:textFill>
            <w14:solidFill>
              <w14:schemeClr w14:val="tx1"/>
            </w14:solidFill>
          </w14:textFill>
        </w:rPr>
      </w:pPr>
      <w:bookmarkStart w:id="749" w:name="_Ref149557843"/>
      <w:r>
        <w:rPr>
          <w:color w:val="000000" w:themeColor="text1"/>
          <w14:textFill>
            <w14:solidFill>
              <w14:schemeClr w14:val="tx1"/>
            </w14:solidFill>
          </w14:textFill>
        </w:rPr>
        <w:t>公路两侧</w:t>
      </w:r>
      <w:r>
        <w:rPr>
          <w:rFonts w:hint="eastAsia"/>
          <w:color w:val="000000" w:themeColor="text1"/>
          <w14:textFill>
            <w14:solidFill>
              <w14:schemeClr w14:val="tx1"/>
            </w14:solidFill>
          </w14:textFill>
        </w:rPr>
        <w:t>现状</w:t>
      </w:r>
      <w:r>
        <w:rPr>
          <w:color w:val="000000" w:themeColor="text1"/>
          <w14:textFill>
            <w14:solidFill>
              <w14:schemeClr w14:val="tx1"/>
            </w14:solidFill>
          </w14:textFill>
        </w:rPr>
        <w:t>敏感点环境背景噪声取值列表</w:t>
      </w:r>
      <w:r>
        <w:rPr>
          <w:rFonts w:hint="eastAsia"/>
          <w:color w:val="000000" w:themeColor="text1"/>
          <w14:textFill>
            <w14:solidFill>
              <w14:schemeClr w14:val="tx1"/>
            </w14:solidFill>
          </w14:textFill>
        </w:rPr>
        <w:t xml:space="preserve">  单位：dB（A）</w:t>
      </w:r>
      <w:bookmarkEnd w:id="749"/>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28"/>
        <w:gridCol w:w="990"/>
        <w:gridCol w:w="481"/>
        <w:gridCol w:w="653"/>
        <w:gridCol w:w="1174"/>
        <w:gridCol w:w="593"/>
        <w:gridCol w:w="593"/>
        <w:gridCol w:w="760"/>
        <w:gridCol w:w="847"/>
        <w:gridCol w:w="2551"/>
      </w:tblGrid>
      <w:tr w14:paraId="331C59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4E98470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序号</w:t>
            </w:r>
          </w:p>
        </w:tc>
        <w:tc>
          <w:tcPr>
            <w:tcW w:w="811" w:type="pct"/>
            <w:gridSpan w:val="2"/>
            <w:vMerge w:val="restart"/>
            <w:vAlign w:val="center"/>
          </w:tcPr>
          <w:p w14:paraId="67F38032">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敏感点名称</w:t>
            </w:r>
          </w:p>
        </w:tc>
        <w:tc>
          <w:tcPr>
            <w:tcW w:w="360" w:type="pct"/>
            <w:vMerge w:val="restart"/>
            <w:vAlign w:val="center"/>
          </w:tcPr>
          <w:p w14:paraId="4376CE3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楼层</w:t>
            </w:r>
          </w:p>
        </w:tc>
        <w:tc>
          <w:tcPr>
            <w:tcW w:w="647" w:type="pct"/>
            <w:vMerge w:val="restart"/>
            <w:vAlign w:val="center"/>
          </w:tcPr>
          <w:p w14:paraId="152E6296">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声环境功能区</w:t>
            </w:r>
            <w:r>
              <w:rPr>
                <w:rFonts w:hint="eastAsia"/>
                <w:color w:val="000000" w:themeColor="text1"/>
                <w:sz w:val="18"/>
                <w:szCs w:val="18"/>
                <w14:textFill>
                  <w14:solidFill>
                    <w14:schemeClr w14:val="tx1"/>
                  </w14:solidFill>
                </w14:textFill>
              </w:rPr>
              <w:t>（项目建成后）</w:t>
            </w:r>
          </w:p>
        </w:tc>
        <w:tc>
          <w:tcPr>
            <w:tcW w:w="654" w:type="pct"/>
            <w:gridSpan w:val="2"/>
            <w:vAlign w:val="center"/>
          </w:tcPr>
          <w:p w14:paraId="3E082882">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现状噪声值</w:t>
            </w:r>
          </w:p>
        </w:tc>
        <w:tc>
          <w:tcPr>
            <w:tcW w:w="886" w:type="pct"/>
            <w:gridSpan w:val="2"/>
            <w:vAlign w:val="center"/>
          </w:tcPr>
          <w:p w14:paraId="4132185B">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背景噪声取值</w:t>
            </w:r>
          </w:p>
        </w:tc>
        <w:tc>
          <w:tcPr>
            <w:tcW w:w="1406" w:type="pct"/>
            <w:vMerge w:val="restart"/>
            <w:vAlign w:val="center"/>
          </w:tcPr>
          <w:p w14:paraId="2B505F05">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说明</w:t>
            </w:r>
          </w:p>
        </w:tc>
      </w:tr>
      <w:tr w14:paraId="14CB14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0E0A49EC">
            <w:pPr>
              <w:pStyle w:val="105"/>
              <w:jc w:val="center"/>
              <w:rPr>
                <w:color w:val="000000" w:themeColor="text1"/>
                <w:sz w:val="18"/>
                <w:szCs w:val="18"/>
                <w14:textFill>
                  <w14:solidFill>
                    <w14:schemeClr w14:val="tx1"/>
                  </w14:solidFill>
                </w14:textFill>
              </w:rPr>
            </w:pPr>
          </w:p>
        </w:tc>
        <w:tc>
          <w:tcPr>
            <w:tcW w:w="811" w:type="pct"/>
            <w:gridSpan w:val="2"/>
            <w:vMerge w:val="continue"/>
            <w:vAlign w:val="center"/>
          </w:tcPr>
          <w:p w14:paraId="08B19150">
            <w:pPr>
              <w:pStyle w:val="105"/>
              <w:jc w:val="center"/>
              <w:rPr>
                <w:color w:val="000000" w:themeColor="text1"/>
                <w:sz w:val="18"/>
                <w:szCs w:val="18"/>
                <w14:textFill>
                  <w14:solidFill>
                    <w14:schemeClr w14:val="tx1"/>
                  </w14:solidFill>
                </w14:textFill>
              </w:rPr>
            </w:pPr>
          </w:p>
        </w:tc>
        <w:tc>
          <w:tcPr>
            <w:tcW w:w="360" w:type="pct"/>
            <w:vMerge w:val="continue"/>
            <w:vAlign w:val="center"/>
          </w:tcPr>
          <w:p w14:paraId="7ACA5FE0">
            <w:pPr>
              <w:pStyle w:val="105"/>
              <w:jc w:val="center"/>
              <w:rPr>
                <w:color w:val="000000" w:themeColor="text1"/>
                <w:sz w:val="18"/>
                <w:szCs w:val="18"/>
                <w14:textFill>
                  <w14:solidFill>
                    <w14:schemeClr w14:val="tx1"/>
                  </w14:solidFill>
                </w14:textFill>
              </w:rPr>
            </w:pPr>
          </w:p>
        </w:tc>
        <w:tc>
          <w:tcPr>
            <w:tcW w:w="647" w:type="pct"/>
            <w:vMerge w:val="continue"/>
            <w:vAlign w:val="center"/>
          </w:tcPr>
          <w:p w14:paraId="7E39E291">
            <w:pPr>
              <w:pStyle w:val="105"/>
              <w:jc w:val="center"/>
              <w:rPr>
                <w:color w:val="000000" w:themeColor="text1"/>
                <w:sz w:val="18"/>
                <w:szCs w:val="18"/>
                <w14:textFill>
                  <w14:solidFill>
                    <w14:schemeClr w14:val="tx1"/>
                  </w14:solidFill>
                </w14:textFill>
              </w:rPr>
            </w:pPr>
          </w:p>
        </w:tc>
        <w:tc>
          <w:tcPr>
            <w:tcW w:w="327" w:type="pct"/>
            <w:vAlign w:val="center"/>
          </w:tcPr>
          <w:p w14:paraId="02FB16D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昼间</w:t>
            </w:r>
          </w:p>
        </w:tc>
        <w:tc>
          <w:tcPr>
            <w:tcW w:w="327" w:type="pct"/>
            <w:vAlign w:val="center"/>
          </w:tcPr>
          <w:p w14:paraId="14739962">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夜间</w:t>
            </w:r>
          </w:p>
        </w:tc>
        <w:tc>
          <w:tcPr>
            <w:tcW w:w="419" w:type="pct"/>
            <w:vAlign w:val="center"/>
          </w:tcPr>
          <w:p w14:paraId="1FFA304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昼间</w:t>
            </w:r>
          </w:p>
        </w:tc>
        <w:tc>
          <w:tcPr>
            <w:tcW w:w="467" w:type="pct"/>
            <w:vAlign w:val="center"/>
          </w:tcPr>
          <w:p w14:paraId="1E2A375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夜间</w:t>
            </w:r>
          </w:p>
        </w:tc>
        <w:tc>
          <w:tcPr>
            <w:tcW w:w="1406" w:type="pct"/>
            <w:vMerge w:val="continue"/>
            <w:vAlign w:val="center"/>
          </w:tcPr>
          <w:p w14:paraId="71D18D9B">
            <w:pPr>
              <w:pStyle w:val="105"/>
              <w:jc w:val="center"/>
              <w:rPr>
                <w:color w:val="000000" w:themeColor="text1"/>
                <w:sz w:val="18"/>
                <w:szCs w:val="18"/>
                <w14:textFill>
                  <w14:solidFill>
                    <w14:schemeClr w14:val="tx1"/>
                  </w14:solidFill>
                </w14:textFill>
              </w:rPr>
            </w:pPr>
          </w:p>
        </w:tc>
      </w:tr>
      <w:tr w14:paraId="2E55FC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27" w:hRule="atLeast"/>
          <w:tblHeader/>
          <w:jc w:val="center"/>
        </w:trPr>
        <w:tc>
          <w:tcPr>
            <w:tcW w:w="236" w:type="pct"/>
            <w:vMerge w:val="restart"/>
            <w:vAlign w:val="center"/>
          </w:tcPr>
          <w:p w14:paraId="53E7692B">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c>
          <w:tcPr>
            <w:tcW w:w="546" w:type="pct"/>
            <w:vMerge w:val="restart"/>
            <w:vAlign w:val="center"/>
          </w:tcPr>
          <w:p w14:paraId="3A76CB4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牌边村新桥（本项目的2类区和4a类）</w:t>
            </w:r>
          </w:p>
        </w:tc>
        <w:tc>
          <w:tcPr>
            <w:tcW w:w="265" w:type="pct"/>
            <w:vMerge w:val="restart"/>
            <w:vAlign w:val="center"/>
          </w:tcPr>
          <w:p w14:paraId="464172C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60" w:type="pct"/>
            <w:vAlign w:val="center"/>
          </w:tcPr>
          <w:p w14:paraId="4F05AC0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72AB20C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327" w:type="pct"/>
            <w:noWrap/>
            <w:vAlign w:val="center"/>
          </w:tcPr>
          <w:p w14:paraId="01E330B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54</w:t>
            </w:r>
          </w:p>
        </w:tc>
        <w:tc>
          <w:tcPr>
            <w:tcW w:w="327" w:type="pct"/>
            <w:noWrap/>
            <w:vAlign w:val="center"/>
          </w:tcPr>
          <w:p w14:paraId="5E5788D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419" w:type="pct"/>
            <w:noWrap/>
            <w:vAlign w:val="center"/>
          </w:tcPr>
          <w:p w14:paraId="04D7259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54</w:t>
            </w:r>
          </w:p>
        </w:tc>
        <w:tc>
          <w:tcPr>
            <w:tcW w:w="467" w:type="pct"/>
            <w:noWrap/>
            <w:vAlign w:val="center"/>
          </w:tcPr>
          <w:p w14:paraId="1691E43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1406" w:type="pct"/>
            <w:vMerge w:val="restart"/>
            <w:vAlign w:val="center"/>
          </w:tcPr>
          <w:p w14:paraId="0BC2EB3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本项目4a类，现状2类，不受G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国道影响，背景值取2类区实测值</w:t>
            </w:r>
          </w:p>
        </w:tc>
      </w:tr>
      <w:tr w14:paraId="7307A3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27" w:hRule="atLeast"/>
          <w:tblHeader/>
          <w:jc w:val="center"/>
        </w:trPr>
        <w:tc>
          <w:tcPr>
            <w:tcW w:w="236" w:type="pct"/>
            <w:vMerge w:val="continue"/>
            <w:vAlign w:val="center"/>
          </w:tcPr>
          <w:p w14:paraId="3A179D1E">
            <w:pPr>
              <w:pStyle w:val="105"/>
              <w:jc w:val="center"/>
              <w:rPr>
                <w:color w:val="000000" w:themeColor="text1"/>
                <w:sz w:val="18"/>
                <w:szCs w:val="18"/>
                <w14:textFill>
                  <w14:solidFill>
                    <w14:schemeClr w14:val="tx1"/>
                  </w14:solidFill>
                </w14:textFill>
              </w:rPr>
            </w:pPr>
          </w:p>
        </w:tc>
        <w:tc>
          <w:tcPr>
            <w:tcW w:w="546" w:type="pct"/>
            <w:vMerge w:val="continue"/>
            <w:vAlign w:val="center"/>
          </w:tcPr>
          <w:p w14:paraId="7E810974">
            <w:pPr>
              <w:pStyle w:val="105"/>
              <w:jc w:val="center"/>
              <w:rPr>
                <w:color w:val="000000" w:themeColor="text1"/>
                <w:sz w:val="18"/>
                <w:szCs w:val="18"/>
                <w14:textFill>
                  <w14:solidFill>
                    <w14:schemeClr w14:val="tx1"/>
                  </w14:solidFill>
                </w14:textFill>
              </w:rPr>
            </w:pPr>
          </w:p>
        </w:tc>
        <w:tc>
          <w:tcPr>
            <w:tcW w:w="265" w:type="pct"/>
            <w:vMerge w:val="continue"/>
            <w:vAlign w:val="center"/>
          </w:tcPr>
          <w:p w14:paraId="10DB300A">
            <w:pPr>
              <w:pStyle w:val="105"/>
              <w:jc w:val="center"/>
              <w:rPr>
                <w:color w:val="000000" w:themeColor="text1"/>
                <w:sz w:val="18"/>
                <w:szCs w:val="18"/>
                <w14:textFill>
                  <w14:solidFill>
                    <w14:schemeClr w14:val="tx1"/>
                  </w14:solidFill>
                </w14:textFill>
              </w:rPr>
            </w:pPr>
          </w:p>
        </w:tc>
        <w:tc>
          <w:tcPr>
            <w:tcW w:w="360" w:type="pct"/>
            <w:vAlign w:val="center"/>
          </w:tcPr>
          <w:p w14:paraId="5213AECD">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29F4E035">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327" w:type="pct"/>
            <w:noWrap/>
            <w:vAlign w:val="center"/>
          </w:tcPr>
          <w:p w14:paraId="5644C6A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3</w:t>
            </w:r>
          </w:p>
        </w:tc>
        <w:tc>
          <w:tcPr>
            <w:tcW w:w="327" w:type="pct"/>
            <w:noWrap/>
            <w:vAlign w:val="center"/>
          </w:tcPr>
          <w:p w14:paraId="631C368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419" w:type="pct"/>
            <w:noWrap/>
            <w:vAlign w:val="center"/>
          </w:tcPr>
          <w:p w14:paraId="76B8350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3</w:t>
            </w:r>
          </w:p>
        </w:tc>
        <w:tc>
          <w:tcPr>
            <w:tcW w:w="467" w:type="pct"/>
            <w:vAlign w:val="center"/>
          </w:tcPr>
          <w:p w14:paraId="399965E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1406" w:type="pct"/>
            <w:vMerge w:val="continue"/>
            <w:vAlign w:val="center"/>
          </w:tcPr>
          <w:p w14:paraId="0D78A983">
            <w:pPr>
              <w:pStyle w:val="105"/>
              <w:jc w:val="center"/>
              <w:rPr>
                <w:color w:val="000000" w:themeColor="text1"/>
                <w:sz w:val="18"/>
                <w:szCs w:val="18"/>
                <w14:textFill>
                  <w14:solidFill>
                    <w14:schemeClr w14:val="tx1"/>
                  </w14:solidFill>
                </w14:textFill>
              </w:rPr>
            </w:pPr>
          </w:p>
        </w:tc>
      </w:tr>
      <w:tr w14:paraId="6DC277B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628C0B67">
            <w:pPr>
              <w:pStyle w:val="105"/>
              <w:jc w:val="center"/>
              <w:rPr>
                <w:color w:val="000000" w:themeColor="text1"/>
                <w:sz w:val="18"/>
                <w:szCs w:val="18"/>
                <w14:textFill>
                  <w14:solidFill>
                    <w14:schemeClr w14:val="tx1"/>
                  </w14:solidFill>
                </w14:textFill>
              </w:rPr>
            </w:pPr>
          </w:p>
        </w:tc>
        <w:tc>
          <w:tcPr>
            <w:tcW w:w="546" w:type="pct"/>
            <w:vMerge w:val="continue"/>
            <w:vAlign w:val="center"/>
          </w:tcPr>
          <w:p w14:paraId="57AA9B74">
            <w:pPr>
              <w:pStyle w:val="105"/>
              <w:jc w:val="center"/>
              <w:rPr>
                <w:color w:val="000000" w:themeColor="text1"/>
                <w:sz w:val="18"/>
                <w:szCs w:val="18"/>
                <w14:textFill>
                  <w14:solidFill>
                    <w14:schemeClr w14:val="tx1"/>
                  </w14:solidFill>
                </w14:textFill>
              </w:rPr>
            </w:pPr>
          </w:p>
        </w:tc>
        <w:tc>
          <w:tcPr>
            <w:tcW w:w="265" w:type="pct"/>
            <w:vMerge w:val="restart"/>
            <w:vAlign w:val="center"/>
          </w:tcPr>
          <w:p w14:paraId="0A2580F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360" w:type="pct"/>
            <w:vAlign w:val="center"/>
          </w:tcPr>
          <w:p w14:paraId="512F56C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58805F3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2FA30F3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54</w:t>
            </w:r>
          </w:p>
        </w:tc>
        <w:tc>
          <w:tcPr>
            <w:tcW w:w="327" w:type="pct"/>
            <w:noWrap/>
            <w:vAlign w:val="center"/>
          </w:tcPr>
          <w:p w14:paraId="387122B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419" w:type="pct"/>
            <w:noWrap/>
            <w:vAlign w:val="center"/>
          </w:tcPr>
          <w:p w14:paraId="188262E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54</w:t>
            </w:r>
          </w:p>
        </w:tc>
        <w:tc>
          <w:tcPr>
            <w:tcW w:w="467" w:type="pct"/>
            <w:noWrap/>
            <w:vAlign w:val="center"/>
          </w:tcPr>
          <w:p w14:paraId="60A7A20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1406" w:type="pct"/>
            <w:vMerge w:val="restart"/>
            <w:vAlign w:val="center"/>
          </w:tcPr>
          <w:p w14:paraId="0B4F733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实测</w:t>
            </w:r>
          </w:p>
        </w:tc>
      </w:tr>
      <w:tr w14:paraId="5753467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0F6DE6E6">
            <w:pPr>
              <w:pStyle w:val="105"/>
              <w:jc w:val="center"/>
              <w:rPr>
                <w:color w:val="000000" w:themeColor="text1"/>
                <w:sz w:val="18"/>
                <w:szCs w:val="18"/>
                <w14:textFill>
                  <w14:solidFill>
                    <w14:schemeClr w14:val="tx1"/>
                  </w14:solidFill>
                </w14:textFill>
              </w:rPr>
            </w:pPr>
          </w:p>
        </w:tc>
        <w:tc>
          <w:tcPr>
            <w:tcW w:w="546" w:type="pct"/>
            <w:vMerge w:val="continue"/>
            <w:vAlign w:val="center"/>
          </w:tcPr>
          <w:p w14:paraId="37B74567">
            <w:pPr>
              <w:pStyle w:val="105"/>
              <w:jc w:val="center"/>
              <w:rPr>
                <w:color w:val="000000" w:themeColor="text1"/>
                <w:sz w:val="18"/>
                <w:szCs w:val="18"/>
                <w14:textFill>
                  <w14:solidFill>
                    <w14:schemeClr w14:val="tx1"/>
                  </w14:solidFill>
                </w14:textFill>
              </w:rPr>
            </w:pPr>
          </w:p>
        </w:tc>
        <w:tc>
          <w:tcPr>
            <w:tcW w:w="265" w:type="pct"/>
            <w:vMerge w:val="continue"/>
            <w:vAlign w:val="center"/>
          </w:tcPr>
          <w:p w14:paraId="3B564EA9">
            <w:pPr>
              <w:pStyle w:val="105"/>
              <w:jc w:val="center"/>
              <w:rPr>
                <w:color w:val="000000" w:themeColor="text1"/>
                <w:sz w:val="18"/>
                <w:szCs w:val="18"/>
                <w14:textFill>
                  <w14:solidFill>
                    <w14:schemeClr w14:val="tx1"/>
                  </w14:solidFill>
                </w14:textFill>
              </w:rPr>
            </w:pPr>
          </w:p>
        </w:tc>
        <w:tc>
          <w:tcPr>
            <w:tcW w:w="360" w:type="pct"/>
            <w:vAlign w:val="center"/>
          </w:tcPr>
          <w:p w14:paraId="61EF697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2876C9B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5DAD6D7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3</w:t>
            </w:r>
          </w:p>
        </w:tc>
        <w:tc>
          <w:tcPr>
            <w:tcW w:w="327" w:type="pct"/>
            <w:noWrap/>
            <w:vAlign w:val="center"/>
          </w:tcPr>
          <w:p w14:paraId="36387D2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419" w:type="pct"/>
            <w:noWrap/>
            <w:vAlign w:val="center"/>
          </w:tcPr>
          <w:p w14:paraId="7104C35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3</w:t>
            </w:r>
          </w:p>
        </w:tc>
        <w:tc>
          <w:tcPr>
            <w:tcW w:w="467" w:type="pct"/>
            <w:noWrap/>
            <w:vAlign w:val="center"/>
          </w:tcPr>
          <w:p w14:paraId="3DDE3D0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1406" w:type="pct"/>
            <w:vMerge w:val="continue"/>
            <w:vAlign w:val="center"/>
          </w:tcPr>
          <w:p w14:paraId="1CC5C0C6">
            <w:pPr>
              <w:pStyle w:val="105"/>
              <w:jc w:val="center"/>
              <w:rPr>
                <w:color w:val="000000" w:themeColor="text1"/>
                <w:sz w:val="18"/>
                <w:szCs w:val="18"/>
                <w14:textFill>
                  <w14:solidFill>
                    <w14:schemeClr w14:val="tx1"/>
                  </w14:solidFill>
                </w14:textFill>
              </w:rPr>
            </w:pPr>
          </w:p>
        </w:tc>
      </w:tr>
      <w:tr w14:paraId="01CF76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35" w:hRule="atLeast"/>
          <w:tblHeader/>
          <w:jc w:val="center"/>
        </w:trPr>
        <w:tc>
          <w:tcPr>
            <w:tcW w:w="236" w:type="pct"/>
            <w:vMerge w:val="continue"/>
            <w:vAlign w:val="center"/>
          </w:tcPr>
          <w:p w14:paraId="1DAAA42D">
            <w:pPr>
              <w:pStyle w:val="105"/>
              <w:jc w:val="center"/>
              <w:rPr>
                <w:color w:val="000000" w:themeColor="text1"/>
                <w:sz w:val="18"/>
                <w:szCs w:val="18"/>
                <w14:textFill>
                  <w14:solidFill>
                    <w14:schemeClr w14:val="tx1"/>
                  </w14:solidFill>
                </w14:textFill>
              </w:rPr>
            </w:pPr>
          </w:p>
        </w:tc>
        <w:tc>
          <w:tcPr>
            <w:tcW w:w="811" w:type="pct"/>
            <w:gridSpan w:val="2"/>
            <w:vMerge w:val="restart"/>
            <w:vAlign w:val="center"/>
          </w:tcPr>
          <w:p w14:paraId="29F66B8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牌边村新桥（G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国道的4a类）</w:t>
            </w:r>
          </w:p>
        </w:tc>
        <w:tc>
          <w:tcPr>
            <w:tcW w:w="360" w:type="pct"/>
            <w:vAlign w:val="center"/>
          </w:tcPr>
          <w:p w14:paraId="0628349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6475E17E">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w:t>
            </w:r>
          </w:p>
        </w:tc>
        <w:tc>
          <w:tcPr>
            <w:tcW w:w="327" w:type="pct"/>
            <w:noWrap/>
            <w:vAlign w:val="center"/>
          </w:tcPr>
          <w:p w14:paraId="62827B4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8</w:t>
            </w:r>
          </w:p>
        </w:tc>
        <w:tc>
          <w:tcPr>
            <w:tcW w:w="327" w:type="pct"/>
            <w:noWrap/>
            <w:vAlign w:val="center"/>
          </w:tcPr>
          <w:p w14:paraId="29352EC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3</w:t>
            </w:r>
          </w:p>
        </w:tc>
        <w:tc>
          <w:tcPr>
            <w:tcW w:w="419" w:type="pct"/>
            <w:noWrap/>
            <w:vAlign w:val="center"/>
          </w:tcPr>
          <w:p w14:paraId="4872666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8</w:t>
            </w:r>
          </w:p>
        </w:tc>
        <w:tc>
          <w:tcPr>
            <w:tcW w:w="467" w:type="pct"/>
            <w:vAlign w:val="center"/>
          </w:tcPr>
          <w:p w14:paraId="7819D11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3</w:t>
            </w:r>
          </w:p>
        </w:tc>
        <w:tc>
          <w:tcPr>
            <w:tcW w:w="1406" w:type="pct"/>
            <w:vAlign w:val="center"/>
          </w:tcPr>
          <w:p w14:paraId="7C72EA4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位于G324国道第一排，但位于本项目的2类区，实测</w:t>
            </w:r>
          </w:p>
        </w:tc>
      </w:tr>
      <w:tr w14:paraId="5FE76E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35" w:hRule="atLeast"/>
          <w:tblHeader/>
          <w:jc w:val="center"/>
        </w:trPr>
        <w:tc>
          <w:tcPr>
            <w:tcW w:w="236" w:type="pct"/>
            <w:vMerge w:val="continue"/>
            <w:vAlign w:val="center"/>
          </w:tcPr>
          <w:p w14:paraId="1E8B5262">
            <w:pPr>
              <w:pStyle w:val="105"/>
              <w:jc w:val="center"/>
              <w:rPr>
                <w:color w:val="000000" w:themeColor="text1"/>
                <w:sz w:val="18"/>
                <w:szCs w:val="18"/>
                <w14:textFill>
                  <w14:solidFill>
                    <w14:schemeClr w14:val="tx1"/>
                  </w14:solidFill>
                </w14:textFill>
              </w:rPr>
            </w:pPr>
          </w:p>
        </w:tc>
        <w:tc>
          <w:tcPr>
            <w:tcW w:w="811" w:type="pct"/>
            <w:gridSpan w:val="2"/>
            <w:vMerge w:val="continue"/>
            <w:vAlign w:val="center"/>
          </w:tcPr>
          <w:p w14:paraId="233F0800">
            <w:pPr>
              <w:pStyle w:val="105"/>
              <w:jc w:val="center"/>
              <w:rPr>
                <w:color w:val="000000" w:themeColor="text1"/>
                <w:sz w:val="18"/>
                <w:szCs w:val="18"/>
                <w14:textFill>
                  <w14:solidFill>
                    <w14:schemeClr w14:val="tx1"/>
                  </w14:solidFill>
                </w14:textFill>
              </w:rPr>
            </w:pPr>
          </w:p>
        </w:tc>
        <w:tc>
          <w:tcPr>
            <w:tcW w:w="360" w:type="pct"/>
            <w:vAlign w:val="center"/>
          </w:tcPr>
          <w:p w14:paraId="1555ABA5">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548626C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w:t>
            </w:r>
          </w:p>
        </w:tc>
        <w:tc>
          <w:tcPr>
            <w:tcW w:w="327" w:type="pct"/>
            <w:noWrap/>
            <w:vAlign w:val="center"/>
          </w:tcPr>
          <w:p w14:paraId="782BE37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8</w:t>
            </w:r>
          </w:p>
        </w:tc>
        <w:tc>
          <w:tcPr>
            <w:tcW w:w="327" w:type="pct"/>
            <w:noWrap/>
            <w:vAlign w:val="center"/>
          </w:tcPr>
          <w:p w14:paraId="7132D9D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3</w:t>
            </w:r>
          </w:p>
        </w:tc>
        <w:tc>
          <w:tcPr>
            <w:tcW w:w="419" w:type="pct"/>
            <w:noWrap/>
            <w:vAlign w:val="center"/>
          </w:tcPr>
          <w:p w14:paraId="0222161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8</w:t>
            </w:r>
          </w:p>
        </w:tc>
        <w:tc>
          <w:tcPr>
            <w:tcW w:w="467" w:type="pct"/>
            <w:vAlign w:val="center"/>
          </w:tcPr>
          <w:p w14:paraId="57F7A2F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3</w:t>
            </w:r>
          </w:p>
        </w:tc>
        <w:tc>
          <w:tcPr>
            <w:tcW w:w="1406" w:type="pct"/>
            <w:vAlign w:val="center"/>
          </w:tcPr>
          <w:p w14:paraId="453FBFD6">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不具备监测条件，取1F实测</w:t>
            </w:r>
          </w:p>
        </w:tc>
      </w:tr>
      <w:tr w14:paraId="1C28CDB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51472B0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c>
          <w:tcPr>
            <w:tcW w:w="1171" w:type="pct"/>
            <w:gridSpan w:val="3"/>
            <w:vMerge w:val="restart"/>
            <w:vAlign w:val="center"/>
          </w:tcPr>
          <w:p w14:paraId="0B53575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上张村林泉</w:t>
            </w:r>
          </w:p>
        </w:tc>
        <w:tc>
          <w:tcPr>
            <w:tcW w:w="647" w:type="pct"/>
            <w:vAlign w:val="center"/>
          </w:tcPr>
          <w:p w14:paraId="4586C33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6E7FBF8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9</w:t>
            </w:r>
          </w:p>
        </w:tc>
        <w:tc>
          <w:tcPr>
            <w:tcW w:w="327" w:type="pct"/>
            <w:noWrap/>
            <w:vAlign w:val="center"/>
          </w:tcPr>
          <w:p w14:paraId="72F470C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2</w:t>
            </w:r>
          </w:p>
        </w:tc>
        <w:tc>
          <w:tcPr>
            <w:tcW w:w="419" w:type="pct"/>
            <w:noWrap/>
            <w:vAlign w:val="center"/>
          </w:tcPr>
          <w:p w14:paraId="790CFC6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9</w:t>
            </w:r>
          </w:p>
        </w:tc>
        <w:tc>
          <w:tcPr>
            <w:tcW w:w="467" w:type="pct"/>
            <w:noWrap/>
            <w:vAlign w:val="center"/>
          </w:tcPr>
          <w:p w14:paraId="057BDA1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2</w:t>
            </w:r>
          </w:p>
        </w:tc>
        <w:tc>
          <w:tcPr>
            <w:tcW w:w="1406" w:type="pct"/>
            <w:vAlign w:val="center"/>
          </w:tcPr>
          <w:p w14:paraId="48925F48">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现状无4a类区，背景值取2类区实测值</w:t>
            </w:r>
          </w:p>
        </w:tc>
      </w:tr>
      <w:tr w14:paraId="03B2CC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2B29E1FF">
            <w:pPr>
              <w:pStyle w:val="105"/>
              <w:jc w:val="center"/>
              <w:rPr>
                <w:color w:val="000000" w:themeColor="text1"/>
                <w:sz w:val="18"/>
                <w:szCs w:val="18"/>
                <w14:textFill>
                  <w14:solidFill>
                    <w14:schemeClr w14:val="tx1"/>
                  </w14:solidFill>
                </w14:textFill>
              </w:rPr>
            </w:pPr>
          </w:p>
        </w:tc>
        <w:tc>
          <w:tcPr>
            <w:tcW w:w="1171" w:type="pct"/>
            <w:gridSpan w:val="3"/>
            <w:vMerge w:val="continue"/>
            <w:vAlign w:val="center"/>
          </w:tcPr>
          <w:p w14:paraId="4FF460C9">
            <w:pPr>
              <w:pStyle w:val="105"/>
              <w:jc w:val="center"/>
              <w:rPr>
                <w:color w:val="000000" w:themeColor="text1"/>
                <w:sz w:val="18"/>
                <w:szCs w:val="18"/>
                <w14:textFill>
                  <w14:solidFill>
                    <w14:schemeClr w14:val="tx1"/>
                  </w14:solidFill>
                </w14:textFill>
              </w:rPr>
            </w:pPr>
          </w:p>
        </w:tc>
        <w:tc>
          <w:tcPr>
            <w:tcW w:w="647" w:type="pct"/>
            <w:vAlign w:val="center"/>
          </w:tcPr>
          <w:p w14:paraId="5FC39C6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412B3AD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9</w:t>
            </w:r>
          </w:p>
        </w:tc>
        <w:tc>
          <w:tcPr>
            <w:tcW w:w="327" w:type="pct"/>
            <w:noWrap/>
            <w:vAlign w:val="center"/>
          </w:tcPr>
          <w:p w14:paraId="183BE0F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2</w:t>
            </w:r>
          </w:p>
        </w:tc>
        <w:tc>
          <w:tcPr>
            <w:tcW w:w="419" w:type="pct"/>
            <w:noWrap/>
            <w:vAlign w:val="center"/>
          </w:tcPr>
          <w:p w14:paraId="2D1BC94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9</w:t>
            </w:r>
          </w:p>
        </w:tc>
        <w:tc>
          <w:tcPr>
            <w:tcW w:w="467" w:type="pct"/>
            <w:noWrap/>
            <w:vAlign w:val="center"/>
          </w:tcPr>
          <w:p w14:paraId="6B03ED8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2</w:t>
            </w:r>
          </w:p>
        </w:tc>
        <w:tc>
          <w:tcPr>
            <w:tcW w:w="1406" w:type="pct"/>
            <w:vAlign w:val="center"/>
          </w:tcPr>
          <w:p w14:paraId="3349D87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2类区实测</w:t>
            </w:r>
          </w:p>
        </w:tc>
      </w:tr>
      <w:tr w14:paraId="5B1E135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1DCF577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811" w:type="pct"/>
            <w:gridSpan w:val="2"/>
            <w:vMerge w:val="restart"/>
            <w:vAlign w:val="center"/>
          </w:tcPr>
          <w:p w14:paraId="0786E88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上张村王房（高铁4b区外，即高铁两侧6</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m）</w:t>
            </w:r>
          </w:p>
        </w:tc>
        <w:tc>
          <w:tcPr>
            <w:tcW w:w="360" w:type="pct"/>
            <w:vAlign w:val="center"/>
          </w:tcPr>
          <w:p w14:paraId="407F6E2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7BBF419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6EA87A3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1</w:t>
            </w:r>
          </w:p>
        </w:tc>
        <w:tc>
          <w:tcPr>
            <w:tcW w:w="327" w:type="pct"/>
            <w:noWrap/>
            <w:vAlign w:val="center"/>
          </w:tcPr>
          <w:p w14:paraId="64E17B3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419" w:type="pct"/>
            <w:noWrap/>
            <w:vAlign w:val="center"/>
          </w:tcPr>
          <w:p w14:paraId="7307D22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1</w:t>
            </w:r>
          </w:p>
        </w:tc>
        <w:tc>
          <w:tcPr>
            <w:tcW w:w="467" w:type="pct"/>
            <w:noWrap/>
            <w:vAlign w:val="center"/>
          </w:tcPr>
          <w:p w14:paraId="75FA17C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1406" w:type="pct"/>
            <w:vMerge w:val="restart"/>
            <w:vAlign w:val="center"/>
          </w:tcPr>
          <w:p w14:paraId="65B753AD">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采用实测值（上张村王房高铁10m处）</w:t>
            </w:r>
          </w:p>
        </w:tc>
      </w:tr>
      <w:tr w14:paraId="26BD03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01620FE6">
            <w:pPr>
              <w:pStyle w:val="105"/>
              <w:jc w:val="center"/>
              <w:rPr>
                <w:color w:val="000000" w:themeColor="text1"/>
                <w:sz w:val="18"/>
                <w:szCs w:val="18"/>
                <w14:textFill>
                  <w14:solidFill>
                    <w14:schemeClr w14:val="tx1"/>
                  </w14:solidFill>
                </w14:textFill>
              </w:rPr>
            </w:pPr>
          </w:p>
        </w:tc>
        <w:tc>
          <w:tcPr>
            <w:tcW w:w="811" w:type="pct"/>
            <w:gridSpan w:val="2"/>
            <w:vMerge w:val="continue"/>
            <w:vAlign w:val="center"/>
          </w:tcPr>
          <w:p w14:paraId="48CC7EEF">
            <w:pPr>
              <w:pStyle w:val="105"/>
              <w:jc w:val="center"/>
              <w:rPr>
                <w:color w:val="000000" w:themeColor="text1"/>
                <w:sz w:val="18"/>
                <w:szCs w:val="18"/>
                <w14:textFill>
                  <w14:solidFill>
                    <w14:schemeClr w14:val="tx1"/>
                  </w14:solidFill>
                </w14:textFill>
              </w:rPr>
            </w:pPr>
          </w:p>
        </w:tc>
        <w:tc>
          <w:tcPr>
            <w:tcW w:w="360" w:type="pct"/>
            <w:vAlign w:val="center"/>
          </w:tcPr>
          <w:p w14:paraId="7486464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54293D5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499AEBC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2</w:t>
            </w:r>
          </w:p>
        </w:tc>
        <w:tc>
          <w:tcPr>
            <w:tcW w:w="327" w:type="pct"/>
            <w:noWrap/>
            <w:vAlign w:val="center"/>
          </w:tcPr>
          <w:p w14:paraId="1AFBDBF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5</w:t>
            </w:r>
          </w:p>
        </w:tc>
        <w:tc>
          <w:tcPr>
            <w:tcW w:w="419" w:type="pct"/>
            <w:noWrap/>
            <w:vAlign w:val="center"/>
          </w:tcPr>
          <w:p w14:paraId="39035E9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2</w:t>
            </w:r>
          </w:p>
        </w:tc>
        <w:tc>
          <w:tcPr>
            <w:tcW w:w="467" w:type="pct"/>
            <w:noWrap/>
            <w:vAlign w:val="center"/>
          </w:tcPr>
          <w:p w14:paraId="064074A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5</w:t>
            </w:r>
          </w:p>
        </w:tc>
        <w:tc>
          <w:tcPr>
            <w:tcW w:w="1406" w:type="pct"/>
            <w:vMerge w:val="continue"/>
            <w:vAlign w:val="center"/>
          </w:tcPr>
          <w:p w14:paraId="6D6B2DFC">
            <w:pPr>
              <w:pStyle w:val="105"/>
              <w:jc w:val="center"/>
              <w:rPr>
                <w:color w:val="000000" w:themeColor="text1"/>
                <w:sz w:val="18"/>
                <w:szCs w:val="18"/>
                <w14:textFill>
                  <w14:solidFill>
                    <w14:schemeClr w14:val="tx1"/>
                  </w14:solidFill>
                </w14:textFill>
              </w:rPr>
            </w:pPr>
          </w:p>
        </w:tc>
      </w:tr>
      <w:tr w14:paraId="24DB49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52A85407">
            <w:pPr>
              <w:pStyle w:val="105"/>
              <w:jc w:val="center"/>
              <w:rPr>
                <w:color w:val="000000" w:themeColor="text1"/>
                <w:sz w:val="18"/>
                <w:szCs w:val="18"/>
                <w14:textFill>
                  <w14:solidFill>
                    <w14:schemeClr w14:val="tx1"/>
                  </w14:solidFill>
                </w14:textFill>
              </w:rPr>
            </w:pPr>
          </w:p>
        </w:tc>
        <w:tc>
          <w:tcPr>
            <w:tcW w:w="811" w:type="pct"/>
            <w:gridSpan w:val="2"/>
            <w:vMerge w:val="restart"/>
            <w:vAlign w:val="center"/>
          </w:tcPr>
          <w:p w14:paraId="5C298DB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上张村王房（临拟建项目第一排，高铁4b区外）</w:t>
            </w:r>
          </w:p>
        </w:tc>
        <w:tc>
          <w:tcPr>
            <w:tcW w:w="360" w:type="pct"/>
            <w:vAlign w:val="center"/>
          </w:tcPr>
          <w:p w14:paraId="09292A7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5973DF7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5AF142F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327" w:type="pct"/>
            <w:noWrap/>
            <w:vAlign w:val="center"/>
          </w:tcPr>
          <w:p w14:paraId="6F846DA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419" w:type="pct"/>
            <w:noWrap/>
            <w:vAlign w:val="center"/>
          </w:tcPr>
          <w:p w14:paraId="711AC73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467" w:type="pct"/>
            <w:noWrap/>
            <w:vAlign w:val="center"/>
          </w:tcPr>
          <w:p w14:paraId="5489F1F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1406" w:type="pct"/>
            <w:vMerge w:val="restart"/>
            <w:vAlign w:val="center"/>
          </w:tcPr>
          <w:p w14:paraId="348EA819">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临拟建项目第一排2户距离高铁102m，对于高铁是2类区，对于本项目是4a类，采用实测。</w:t>
            </w:r>
          </w:p>
        </w:tc>
      </w:tr>
      <w:tr w14:paraId="7B37419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3A8B450B">
            <w:pPr>
              <w:pStyle w:val="105"/>
              <w:jc w:val="center"/>
              <w:rPr>
                <w:color w:val="000000" w:themeColor="text1"/>
                <w:sz w:val="18"/>
                <w:szCs w:val="18"/>
                <w14:textFill>
                  <w14:solidFill>
                    <w14:schemeClr w14:val="tx1"/>
                  </w14:solidFill>
                </w14:textFill>
              </w:rPr>
            </w:pPr>
          </w:p>
        </w:tc>
        <w:tc>
          <w:tcPr>
            <w:tcW w:w="811" w:type="pct"/>
            <w:gridSpan w:val="2"/>
            <w:vMerge w:val="continue"/>
            <w:vAlign w:val="center"/>
          </w:tcPr>
          <w:p w14:paraId="0E2DCE41">
            <w:pPr>
              <w:pStyle w:val="105"/>
              <w:jc w:val="center"/>
              <w:rPr>
                <w:color w:val="000000" w:themeColor="text1"/>
                <w:sz w:val="18"/>
                <w:szCs w:val="18"/>
                <w14:textFill>
                  <w14:solidFill>
                    <w14:schemeClr w14:val="tx1"/>
                  </w14:solidFill>
                </w14:textFill>
              </w:rPr>
            </w:pPr>
          </w:p>
        </w:tc>
        <w:tc>
          <w:tcPr>
            <w:tcW w:w="360" w:type="pct"/>
            <w:vAlign w:val="center"/>
          </w:tcPr>
          <w:p w14:paraId="01CCA0E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0565A18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60E028D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327" w:type="pct"/>
            <w:noWrap/>
            <w:vAlign w:val="center"/>
          </w:tcPr>
          <w:p w14:paraId="5C02A2A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419" w:type="pct"/>
            <w:noWrap/>
            <w:vAlign w:val="center"/>
          </w:tcPr>
          <w:p w14:paraId="5BAA68C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467" w:type="pct"/>
            <w:noWrap/>
            <w:vAlign w:val="center"/>
          </w:tcPr>
          <w:p w14:paraId="1E53E6A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1406" w:type="pct"/>
            <w:vMerge w:val="continue"/>
            <w:vAlign w:val="center"/>
          </w:tcPr>
          <w:p w14:paraId="1986AA20">
            <w:pPr>
              <w:pStyle w:val="105"/>
              <w:jc w:val="center"/>
              <w:rPr>
                <w:color w:val="000000" w:themeColor="text1"/>
                <w:sz w:val="18"/>
                <w:szCs w:val="18"/>
                <w14:textFill>
                  <w14:solidFill>
                    <w14:schemeClr w14:val="tx1"/>
                  </w14:solidFill>
                </w14:textFill>
              </w:rPr>
            </w:pPr>
          </w:p>
        </w:tc>
      </w:tr>
      <w:tr w14:paraId="61EA55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46C03E40">
            <w:pPr>
              <w:pStyle w:val="105"/>
              <w:jc w:val="center"/>
              <w:rPr>
                <w:color w:val="000000" w:themeColor="text1"/>
                <w:sz w:val="18"/>
                <w:szCs w:val="18"/>
                <w14:textFill>
                  <w14:solidFill>
                    <w14:schemeClr w14:val="tx1"/>
                  </w14:solidFill>
                </w14:textFill>
              </w:rPr>
            </w:pPr>
          </w:p>
        </w:tc>
        <w:tc>
          <w:tcPr>
            <w:tcW w:w="811" w:type="pct"/>
            <w:gridSpan w:val="2"/>
            <w:vMerge w:val="restart"/>
            <w:vAlign w:val="center"/>
          </w:tcPr>
          <w:p w14:paraId="603E973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上张村王房（临拟建项目第二排，高铁4b区外）</w:t>
            </w:r>
          </w:p>
        </w:tc>
        <w:tc>
          <w:tcPr>
            <w:tcW w:w="360" w:type="pct"/>
            <w:vAlign w:val="center"/>
          </w:tcPr>
          <w:p w14:paraId="7AF7D0C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1783280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453F65B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327" w:type="pct"/>
            <w:noWrap/>
            <w:vAlign w:val="center"/>
          </w:tcPr>
          <w:p w14:paraId="3770540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419" w:type="pct"/>
            <w:noWrap/>
            <w:vAlign w:val="center"/>
          </w:tcPr>
          <w:p w14:paraId="7EDDDE6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467" w:type="pct"/>
            <w:noWrap/>
            <w:vAlign w:val="center"/>
          </w:tcPr>
          <w:p w14:paraId="295028A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1406" w:type="pct"/>
            <w:vMerge w:val="continue"/>
            <w:vAlign w:val="center"/>
          </w:tcPr>
          <w:p w14:paraId="0D79F4B6">
            <w:pPr>
              <w:pStyle w:val="105"/>
              <w:jc w:val="center"/>
              <w:rPr>
                <w:color w:val="000000" w:themeColor="text1"/>
                <w:sz w:val="18"/>
                <w:szCs w:val="18"/>
                <w14:textFill>
                  <w14:solidFill>
                    <w14:schemeClr w14:val="tx1"/>
                  </w14:solidFill>
                </w14:textFill>
              </w:rPr>
            </w:pPr>
          </w:p>
        </w:tc>
      </w:tr>
      <w:tr w14:paraId="54CF41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1815A791">
            <w:pPr>
              <w:pStyle w:val="105"/>
              <w:jc w:val="center"/>
              <w:rPr>
                <w:color w:val="000000" w:themeColor="text1"/>
                <w:sz w:val="18"/>
                <w:szCs w:val="18"/>
                <w14:textFill>
                  <w14:solidFill>
                    <w14:schemeClr w14:val="tx1"/>
                  </w14:solidFill>
                </w14:textFill>
              </w:rPr>
            </w:pPr>
          </w:p>
        </w:tc>
        <w:tc>
          <w:tcPr>
            <w:tcW w:w="811" w:type="pct"/>
            <w:gridSpan w:val="2"/>
            <w:vMerge w:val="continue"/>
            <w:vAlign w:val="center"/>
          </w:tcPr>
          <w:p w14:paraId="582B419D">
            <w:pPr>
              <w:pStyle w:val="105"/>
              <w:jc w:val="center"/>
              <w:rPr>
                <w:color w:val="000000" w:themeColor="text1"/>
                <w:sz w:val="18"/>
                <w:szCs w:val="18"/>
                <w14:textFill>
                  <w14:solidFill>
                    <w14:schemeClr w14:val="tx1"/>
                  </w14:solidFill>
                </w14:textFill>
              </w:rPr>
            </w:pPr>
          </w:p>
        </w:tc>
        <w:tc>
          <w:tcPr>
            <w:tcW w:w="360" w:type="pct"/>
            <w:vAlign w:val="center"/>
          </w:tcPr>
          <w:p w14:paraId="746563E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42C6B05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55E7951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327" w:type="pct"/>
            <w:noWrap/>
            <w:vAlign w:val="center"/>
          </w:tcPr>
          <w:p w14:paraId="5D24676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419" w:type="pct"/>
            <w:noWrap/>
            <w:vAlign w:val="center"/>
          </w:tcPr>
          <w:p w14:paraId="489A7F0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8</w:t>
            </w:r>
          </w:p>
        </w:tc>
        <w:tc>
          <w:tcPr>
            <w:tcW w:w="467" w:type="pct"/>
            <w:noWrap/>
            <w:vAlign w:val="center"/>
          </w:tcPr>
          <w:p w14:paraId="36F33E5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1406" w:type="pct"/>
            <w:vMerge w:val="continue"/>
            <w:vAlign w:val="center"/>
          </w:tcPr>
          <w:p w14:paraId="1D005C5E">
            <w:pPr>
              <w:pStyle w:val="105"/>
              <w:jc w:val="center"/>
              <w:rPr>
                <w:color w:val="000000" w:themeColor="text1"/>
                <w:sz w:val="18"/>
                <w:szCs w:val="18"/>
                <w14:textFill>
                  <w14:solidFill>
                    <w14:schemeClr w14:val="tx1"/>
                  </w14:solidFill>
                </w14:textFill>
              </w:rPr>
            </w:pPr>
          </w:p>
        </w:tc>
      </w:tr>
      <w:tr w14:paraId="770B6C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1E95549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p>
        </w:tc>
        <w:tc>
          <w:tcPr>
            <w:tcW w:w="811" w:type="pct"/>
            <w:gridSpan w:val="2"/>
            <w:vMerge w:val="restart"/>
            <w:vAlign w:val="center"/>
          </w:tcPr>
          <w:p w14:paraId="01C35AB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联华村后郑（临拟建项目第一排）</w:t>
            </w:r>
          </w:p>
        </w:tc>
        <w:tc>
          <w:tcPr>
            <w:tcW w:w="360" w:type="pct"/>
            <w:vAlign w:val="center"/>
          </w:tcPr>
          <w:p w14:paraId="70430AE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2D174EFD">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327" w:type="pct"/>
            <w:noWrap/>
            <w:vAlign w:val="center"/>
          </w:tcPr>
          <w:p w14:paraId="65C46FB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w:t>
            </w:r>
          </w:p>
        </w:tc>
        <w:tc>
          <w:tcPr>
            <w:tcW w:w="327" w:type="pct"/>
            <w:noWrap/>
            <w:vAlign w:val="center"/>
          </w:tcPr>
          <w:p w14:paraId="6AC6023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6</w:t>
            </w:r>
          </w:p>
        </w:tc>
        <w:tc>
          <w:tcPr>
            <w:tcW w:w="419" w:type="pct"/>
            <w:noWrap/>
            <w:vAlign w:val="center"/>
          </w:tcPr>
          <w:p w14:paraId="6FB0E9A8">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50</w:t>
            </w:r>
          </w:p>
        </w:tc>
        <w:tc>
          <w:tcPr>
            <w:tcW w:w="467" w:type="pct"/>
            <w:noWrap/>
            <w:vAlign w:val="center"/>
          </w:tcPr>
          <w:p w14:paraId="315866F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6</w:t>
            </w:r>
          </w:p>
        </w:tc>
        <w:tc>
          <w:tcPr>
            <w:tcW w:w="1406" w:type="pct"/>
            <w:vMerge w:val="restart"/>
            <w:vAlign w:val="center"/>
          </w:tcPr>
          <w:p w14:paraId="3404112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现状无4a类区，背景值取2类区实测值</w:t>
            </w:r>
          </w:p>
        </w:tc>
      </w:tr>
      <w:tr w14:paraId="621A93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45917987">
            <w:pPr>
              <w:pStyle w:val="105"/>
              <w:jc w:val="center"/>
              <w:rPr>
                <w:color w:val="000000" w:themeColor="text1"/>
                <w:sz w:val="18"/>
                <w:szCs w:val="18"/>
                <w14:textFill>
                  <w14:solidFill>
                    <w14:schemeClr w14:val="tx1"/>
                  </w14:solidFill>
                </w14:textFill>
              </w:rPr>
            </w:pPr>
          </w:p>
        </w:tc>
        <w:tc>
          <w:tcPr>
            <w:tcW w:w="811" w:type="pct"/>
            <w:gridSpan w:val="2"/>
            <w:vMerge w:val="continue"/>
            <w:vAlign w:val="center"/>
          </w:tcPr>
          <w:p w14:paraId="12ACE52A">
            <w:pPr>
              <w:pStyle w:val="105"/>
              <w:jc w:val="center"/>
              <w:rPr>
                <w:color w:val="000000" w:themeColor="text1"/>
                <w:sz w:val="18"/>
                <w:szCs w:val="18"/>
                <w14:textFill>
                  <w14:solidFill>
                    <w14:schemeClr w14:val="tx1"/>
                  </w14:solidFill>
                </w14:textFill>
              </w:rPr>
            </w:pPr>
          </w:p>
        </w:tc>
        <w:tc>
          <w:tcPr>
            <w:tcW w:w="360" w:type="pct"/>
            <w:vAlign w:val="center"/>
          </w:tcPr>
          <w:p w14:paraId="6088CD29">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5C451FB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w:t>
            </w:r>
            <w:r>
              <w:rPr>
                <w:color w:val="000000" w:themeColor="text1"/>
                <w:sz w:val="18"/>
                <w:szCs w:val="18"/>
                <w14:textFill>
                  <w14:solidFill>
                    <w14:schemeClr w14:val="tx1"/>
                  </w14:solidFill>
                </w14:textFill>
              </w:rPr>
              <w:t xml:space="preserve"> </w:t>
            </w:r>
            <w:r>
              <w:rPr>
                <w:rFonts w:hint="eastAsia"/>
                <w:color w:val="000000" w:themeColor="text1"/>
                <w:sz w:val="18"/>
                <w:szCs w:val="18"/>
                <w14:textFill>
                  <w14:solidFill>
                    <w14:schemeClr w14:val="tx1"/>
                  </w14:solidFill>
                </w14:textFill>
              </w:rPr>
              <w:t>类</w:t>
            </w:r>
          </w:p>
        </w:tc>
        <w:tc>
          <w:tcPr>
            <w:tcW w:w="327" w:type="pct"/>
            <w:noWrap/>
            <w:vAlign w:val="center"/>
          </w:tcPr>
          <w:p w14:paraId="125B176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2</w:t>
            </w:r>
          </w:p>
        </w:tc>
        <w:tc>
          <w:tcPr>
            <w:tcW w:w="327" w:type="pct"/>
            <w:noWrap/>
            <w:vAlign w:val="center"/>
          </w:tcPr>
          <w:p w14:paraId="255656D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419" w:type="pct"/>
            <w:noWrap/>
            <w:vAlign w:val="center"/>
          </w:tcPr>
          <w:p w14:paraId="13211E6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2</w:t>
            </w:r>
          </w:p>
        </w:tc>
        <w:tc>
          <w:tcPr>
            <w:tcW w:w="467" w:type="pct"/>
            <w:noWrap/>
            <w:vAlign w:val="center"/>
          </w:tcPr>
          <w:p w14:paraId="2411B85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1406" w:type="pct"/>
            <w:vMerge w:val="continue"/>
            <w:vAlign w:val="center"/>
          </w:tcPr>
          <w:p w14:paraId="6466EE4D">
            <w:pPr>
              <w:pStyle w:val="105"/>
              <w:jc w:val="center"/>
              <w:rPr>
                <w:color w:val="000000" w:themeColor="text1"/>
                <w:sz w:val="18"/>
                <w:szCs w:val="18"/>
                <w14:textFill>
                  <w14:solidFill>
                    <w14:schemeClr w14:val="tx1"/>
                  </w14:solidFill>
                </w14:textFill>
              </w:rPr>
            </w:pPr>
          </w:p>
        </w:tc>
      </w:tr>
      <w:tr w14:paraId="44DC15E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496DF80D">
            <w:pPr>
              <w:pStyle w:val="105"/>
              <w:jc w:val="center"/>
              <w:rPr>
                <w:color w:val="000000" w:themeColor="text1"/>
                <w:sz w:val="18"/>
                <w:szCs w:val="18"/>
                <w14:textFill>
                  <w14:solidFill>
                    <w14:schemeClr w14:val="tx1"/>
                  </w14:solidFill>
                </w14:textFill>
              </w:rPr>
            </w:pPr>
          </w:p>
        </w:tc>
        <w:tc>
          <w:tcPr>
            <w:tcW w:w="811" w:type="pct"/>
            <w:gridSpan w:val="2"/>
            <w:vAlign w:val="center"/>
          </w:tcPr>
          <w:p w14:paraId="18AEC0B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联华村后郑后排</w:t>
            </w:r>
          </w:p>
        </w:tc>
        <w:tc>
          <w:tcPr>
            <w:tcW w:w="360" w:type="pct"/>
            <w:vAlign w:val="center"/>
          </w:tcPr>
          <w:p w14:paraId="7DD176D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25DFB4C2">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41F0B05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327" w:type="pct"/>
            <w:noWrap/>
            <w:vAlign w:val="center"/>
          </w:tcPr>
          <w:p w14:paraId="3749206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6</w:t>
            </w:r>
          </w:p>
        </w:tc>
        <w:tc>
          <w:tcPr>
            <w:tcW w:w="419" w:type="pct"/>
            <w:noWrap/>
            <w:vAlign w:val="center"/>
          </w:tcPr>
          <w:p w14:paraId="6FFD229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467" w:type="pct"/>
            <w:noWrap/>
            <w:vAlign w:val="center"/>
          </w:tcPr>
          <w:p w14:paraId="700C80F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6</w:t>
            </w:r>
          </w:p>
        </w:tc>
        <w:tc>
          <w:tcPr>
            <w:tcW w:w="1406" w:type="pct"/>
            <w:vMerge w:val="continue"/>
            <w:vAlign w:val="center"/>
          </w:tcPr>
          <w:p w14:paraId="42D7A3B7">
            <w:pPr>
              <w:pStyle w:val="105"/>
              <w:jc w:val="center"/>
              <w:rPr>
                <w:color w:val="000000" w:themeColor="text1"/>
                <w:sz w:val="18"/>
                <w:szCs w:val="18"/>
                <w14:textFill>
                  <w14:solidFill>
                    <w14:schemeClr w14:val="tx1"/>
                  </w14:solidFill>
                </w14:textFill>
              </w:rPr>
            </w:pPr>
          </w:p>
        </w:tc>
      </w:tr>
      <w:tr w14:paraId="3758C0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Align w:val="center"/>
          </w:tcPr>
          <w:p w14:paraId="67DE59E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p>
        </w:tc>
        <w:tc>
          <w:tcPr>
            <w:tcW w:w="811" w:type="pct"/>
            <w:gridSpan w:val="2"/>
            <w:vAlign w:val="center"/>
          </w:tcPr>
          <w:p w14:paraId="33CE7BE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侨丰村</w:t>
            </w:r>
          </w:p>
        </w:tc>
        <w:tc>
          <w:tcPr>
            <w:tcW w:w="360" w:type="pct"/>
            <w:vAlign w:val="center"/>
          </w:tcPr>
          <w:p w14:paraId="7A99FE2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29C1B02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362C2F9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7</w:t>
            </w:r>
          </w:p>
        </w:tc>
        <w:tc>
          <w:tcPr>
            <w:tcW w:w="327" w:type="pct"/>
            <w:noWrap/>
            <w:vAlign w:val="center"/>
          </w:tcPr>
          <w:p w14:paraId="4899B4F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419" w:type="pct"/>
            <w:noWrap/>
            <w:vAlign w:val="center"/>
          </w:tcPr>
          <w:p w14:paraId="4B518B9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7</w:t>
            </w:r>
          </w:p>
        </w:tc>
        <w:tc>
          <w:tcPr>
            <w:tcW w:w="467" w:type="pct"/>
            <w:noWrap/>
            <w:vAlign w:val="center"/>
          </w:tcPr>
          <w:p w14:paraId="3D73472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7</w:t>
            </w:r>
          </w:p>
        </w:tc>
        <w:tc>
          <w:tcPr>
            <w:tcW w:w="1406" w:type="pct"/>
            <w:vAlign w:val="center"/>
          </w:tcPr>
          <w:p w14:paraId="4937429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现状为2类，实测</w:t>
            </w:r>
          </w:p>
        </w:tc>
      </w:tr>
      <w:tr w14:paraId="799F77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02E9279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p>
        </w:tc>
        <w:tc>
          <w:tcPr>
            <w:tcW w:w="811" w:type="pct"/>
            <w:gridSpan w:val="2"/>
            <w:vAlign w:val="center"/>
          </w:tcPr>
          <w:p w14:paraId="743ADE0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联华村火烧埔（临高速第一排4</w:t>
            </w:r>
            <w:r>
              <w:rPr>
                <w:color w:val="000000" w:themeColor="text1"/>
                <w:sz w:val="18"/>
                <w:szCs w:val="18"/>
                <w14:textFill>
                  <w14:solidFill>
                    <w14:schemeClr w14:val="tx1"/>
                  </w14:solidFill>
                </w14:textFill>
              </w:rPr>
              <w:t>a</w:t>
            </w:r>
            <w:r>
              <w:rPr>
                <w:rFonts w:hint="eastAsia"/>
                <w:color w:val="000000" w:themeColor="text1"/>
                <w:sz w:val="18"/>
                <w:szCs w:val="18"/>
                <w14:textFill>
                  <w14:solidFill>
                    <w14:schemeClr w14:val="tx1"/>
                  </w14:solidFill>
                </w14:textFill>
              </w:rPr>
              <w:t>）</w:t>
            </w:r>
          </w:p>
        </w:tc>
        <w:tc>
          <w:tcPr>
            <w:tcW w:w="360" w:type="pct"/>
            <w:vAlign w:val="center"/>
          </w:tcPr>
          <w:p w14:paraId="2FFE87F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1E4FAB1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7F506E4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9</w:t>
            </w:r>
          </w:p>
        </w:tc>
        <w:tc>
          <w:tcPr>
            <w:tcW w:w="327" w:type="pct"/>
            <w:noWrap/>
            <w:vAlign w:val="center"/>
          </w:tcPr>
          <w:p w14:paraId="02E71BC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4</w:t>
            </w:r>
          </w:p>
        </w:tc>
        <w:tc>
          <w:tcPr>
            <w:tcW w:w="419" w:type="pct"/>
            <w:noWrap/>
            <w:vAlign w:val="center"/>
          </w:tcPr>
          <w:p w14:paraId="4A3A70E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9</w:t>
            </w:r>
          </w:p>
        </w:tc>
        <w:tc>
          <w:tcPr>
            <w:tcW w:w="467" w:type="pct"/>
            <w:noWrap/>
            <w:vAlign w:val="center"/>
          </w:tcPr>
          <w:p w14:paraId="1C00367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4</w:t>
            </w:r>
          </w:p>
        </w:tc>
        <w:tc>
          <w:tcPr>
            <w:tcW w:w="1406" w:type="pct"/>
            <w:vAlign w:val="center"/>
          </w:tcPr>
          <w:p w14:paraId="3A50075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现状为</w:t>
            </w: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a类，实测</w:t>
            </w:r>
          </w:p>
        </w:tc>
      </w:tr>
      <w:tr w14:paraId="7E1AAFF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064A4A07">
            <w:pPr>
              <w:pStyle w:val="105"/>
              <w:jc w:val="center"/>
              <w:rPr>
                <w:color w:val="000000" w:themeColor="text1"/>
                <w:sz w:val="18"/>
                <w:szCs w:val="18"/>
                <w14:textFill>
                  <w14:solidFill>
                    <w14:schemeClr w14:val="tx1"/>
                  </w14:solidFill>
                </w14:textFill>
              </w:rPr>
            </w:pPr>
          </w:p>
        </w:tc>
        <w:tc>
          <w:tcPr>
            <w:tcW w:w="811" w:type="pct"/>
            <w:gridSpan w:val="2"/>
            <w:vAlign w:val="center"/>
          </w:tcPr>
          <w:p w14:paraId="031A2FE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联华村火烧埔</w:t>
            </w:r>
          </w:p>
        </w:tc>
        <w:tc>
          <w:tcPr>
            <w:tcW w:w="360" w:type="pct"/>
            <w:vAlign w:val="center"/>
          </w:tcPr>
          <w:p w14:paraId="15C01F7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480DA765">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1B29050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327" w:type="pct"/>
            <w:noWrap/>
            <w:vAlign w:val="center"/>
          </w:tcPr>
          <w:p w14:paraId="4A5FABA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419" w:type="pct"/>
            <w:noWrap/>
            <w:vAlign w:val="center"/>
          </w:tcPr>
          <w:p w14:paraId="7F1798E9">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467" w:type="pct"/>
            <w:noWrap/>
            <w:vAlign w:val="center"/>
          </w:tcPr>
          <w:p w14:paraId="37185BD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1406" w:type="pct"/>
            <w:vAlign w:val="center"/>
          </w:tcPr>
          <w:p w14:paraId="7D4453C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现状为2类，实测（后排实测）</w:t>
            </w:r>
          </w:p>
        </w:tc>
      </w:tr>
      <w:tr w14:paraId="0F7D8C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4550562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8</w:t>
            </w:r>
          </w:p>
        </w:tc>
        <w:tc>
          <w:tcPr>
            <w:tcW w:w="811" w:type="pct"/>
            <w:gridSpan w:val="2"/>
            <w:vAlign w:val="center"/>
          </w:tcPr>
          <w:p w14:paraId="3958F8B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联华村田楼（临拟建项目第一排）</w:t>
            </w:r>
          </w:p>
        </w:tc>
        <w:tc>
          <w:tcPr>
            <w:tcW w:w="360" w:type="pct"/>
            <w:vAlign w:val="center"/>
          </w:tcPr>
          <w:p w14:paraId="7CE9033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41F754D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7A09C129">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327" w:type="pct"/>
            <w:noWrap/>
            <w:vAlign w:val="center"/>
          </w:tcPr>
          <w:p w14:paraId="47C0A17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419" w:type="pct"/>
            <w:noWrap/>
            <w:vAlign w:val="center"/>
          </w:tcPr>
          <w:p w14:paraId="68DBBA45">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467" w:type="pct"/>
            <w:noWrap/>
            <w:vAlign w:val="center"/>
          </w:tcPr>
          <w:p w14:paraId="6E0DD94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1406" w:type="pct"/>
            <w:vMerge w:val="restart"/>
            <w:vAlign w:val="center"/>
          </w:tcPr>
          <w:p w14:paraId="2C4A86D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与火烧埔相邻，参照火烧埔后排实测值</w:t>
            </w:r>
          </w:p>
        </w:tc>
      </w:tr>
      <w:tr w14:paraId="07823C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71326A30">
            <w:pPr>
              <w:pStyle w:val="105"/>
              <w:jc w:val="center"/>
              <w:rPr>
                <w:color w:val="000000" w:themeColor="text1"/>
                <w:sz w:val="18"/>
                <w:szCs w:val="18"/>
                <w14:textFill>
                  <w14:solidFill>
                    <w14:schemeClr w14:val="tx1"/>
                  </w14:solidFill>
                </w14:textFill>
              </w:rPr>
            </w:pPr>
          </w:p>
        </w:tc>
        <w:tc>
          <w:tcPr>
            <w:tcW w:w="811" w:type="pct"/>
            <w:gridSpan w:val="2"/>
            <w:vAlign w:val="center"/>
          </w:tcPr>
          <w:p w14:paraId="7897BCA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联华村田楼后排</w:t>
            </w:r>
          </w:p>
        </w:tc>
        <w:tc>
          <w:tcPr>
            <w:tcW w:w="360" w:type="pct"/>
            <w:vAlign w:val="center"/>
          </w:tcPr>
          <w:p w14:paraId="6389C5B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35619295">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54A58568">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327" w:type="pct"/>
            <w:noWrap/>
            <w:vAlign w:val="center"/>
          </w:tcPr>
          <w:p w14:paraId="2F2D847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419" w:type="pct"/>
            <w:noWrap/>
            <w:vAlign w:val="center"/>
          </w:tcPr>
          <w:p w14:paraId="564BE89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51</w:t>
            </w:r>
          </w:p>
        </w:tc>
        <w:tc>
          <w:tcPr>
            <w:tcW w:w="467" w:type="pct"/>
            <w:noWrap/>
            <w:vAlign w:val="center"/>
          </w:tcPr>
          <w:p w14:paraId="43E84F1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1406" w:type="pct"/>
            <w:vMerge w:val="continue"/>
            <w:vAlign w:val="center"/>
          </w:tcPr>
          <w:p w14:paraId="4EC604EC">
            <w:pPr>
              <w:pStyle w:val="105"/>
              <w:jc w:val="center"/>
              <w:rPr>
                <w:color w:val="000000" w:themeColor="text1"/>
                <w:sz w:val="18"/>
                <w:szCs w:val="18"/>
                <w14:textFill>
                  <w14:solidFill>
                    <w14:schemeClr w14:val="tx1"/>
                  </w14:solidFill>
                </w14:textFill>
              </w:rPr>
            </w:pPr>
          </w:p>
        </w:tc>
      </w:tr>
      <w:tr w14:paraId="6A173D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54C237C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9</w:t>
            </w:r>
          </w:p>
        </w:tc>
        <w:tc>
          <w:tcPr>
            <w:tcW w:w="811" w:type="pct"/>
            <w:gridSpan w:val="2"/>
            <w:vMerge w:val="restart"/>
            <w:vAlign w:val="center"/>
          </w:tcPr>
          <w:p w14:paraId="36921B8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联华村西山（临拟建项目第一排）</w:t>
            </w:r>
          </w:p>
        </w:tc>
        <w:tc>
          <w:tcPr>
            <w:tcW w:w="360" w:type="pct"/>
            <w:vAlign w:val="center"/>
          </w:tcPr>
          <w:p w14:paraId="4810E2C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138737D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733C7F8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327" w:type="pct"/>
            <w:noWrap/>
            <w:vAlign w:val="center"/>
          </w:tcPr>
          <w:p w14:paraId="4E5C29C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8</w:t>
            </w:r>
          </w:p>
        </w:tc>
        <w:tc>
          <w:tcPr>
            <w:tcW w:w="419" w:type="pct"/>
            <w:noWrap/>
            <w:vAlign w:val="center"/>
          </w:tcPr>
          <w:p w14:paraId="3E7C4A0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467" w:type="pct"/>
            <w:noWrap/>
            <w:vAlign w:val="center"/>
          </w:tcPr>
          <w:p w14:paraId="18AEFB8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8</w:t>
            </w:r>
          </w:p>
        </w:tc>
        <w:tc>
          <w:tcPr>
            <w:tcW w:w="1406" w:type="pct"/>
            <w:vMerge w:val="restart"/>
            <w:vAlign w:val="center"/>
          </w:tcPr>
          <w:p w14:paraId="3D411EF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现状无4a类区，背景值取2类区实测值，考虑到后排2类区部分建筑临枝钟路，保守采用临枝钟路一排实测数据</w:t>
            </w:r>
          </w:p>
        </w:tc>
      </w:tr>
      <w:tr w14:paraId="25B1BC5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04FD53DC">
            <w:pPr>
              <w:pStyle w:val="105"/>
              <w:jc w:val="center"/>
              <w:rPr>
                <w:color w:val="000000" w:themeColor="text1"/>
                <w:sz w:val="18"/>
                <w:szCs w:val="18"/>
                <w14:textFill>
                  <w14:solidFill>
                    <w14:schemeClr w14:val="tx1"/>
                  </w14:solidFill>
                </w14:textFill>
              </w:rPr>
            </w:pPr>
          </w:p>
        </w:tc>
        <w:tc>
          <w:tcPr>
            <w:tcW w:w="811" w:type="pct"/>
            <w:gridSpan w:val="2"/>
            <w:vMerge w:val="continue"/>
            <w:vAlign w:val="center"/>
          </w:tcPr>
          <w:p w14:paraId="28BF2B92">
            <w:pPr>
              <w:pStyle w:val="105"/>
              <w:jc w:val="center"/>
              <w:rPr>
                <w:color w:val="000000" w:themeColor="text1"/>
                <w:sz w:val="18"/>
                <w:szCs w:val="18"/>
                <w14:textFill>
                  <w14:solidFill>
                    <w14:schemeClr w14:val="tx1"/>
                  </w14:solidFill>
                </w14:textFill>
              </w:rPr>
            </w:pPr>
          </w:p>
        </w:tc>
        <w:tc>
          <w:tcPr>
            <w:tcW w:w="360" w:type="pct"/>
            <w:vAlign w:val="center"/>
          </w:tcPr>
          <w:p w14:paraId="7576272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3F</w:t>
            </w:r>
          </w:p>
        </w:tc>
        <w:tc>
          <w:tcPr>
            <w:tcW w:w="647" w:type="pct"/>
            <w:vAlign w:val="center"/>
          </w:tcPr>
          <w:p w14:paraId="347D258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39148D3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3</w:t>
            </w:r>
          </w:p>
        </w:tc>
        <w:tc>
          <w:tcPr>
            <w:tcW w:w="327" w:type="pct"/>
            <w:noWrap/>
            <w:vAlign w:val="center"/>
          </w:tcPr>
          <w:p w14:paraId="0D80DD6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46</w:t>
            </w:r>
          </w:p>
        </w:tc>
        <w:tc>
          <w:tcPr>
            <w:tcW w:w="419" w:type="pct"/>
            <w:noWrap/>
            <w:vAlign w:val="center"/>
          </w:tcPr>
          <w:p w14:paraId="1842E1C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3</w:t>
            </w:r>
          </w:p>
        </w:tc>
        <w:tc>
          <w:tcPr>
            <w:tcW w:w="467" w:type="pct"/>
            <w:noWrap/>
            <w:vAlign w:val="center"/>
          </w:tcPr>
          <w:p w14:paraId="270804B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46</w:t>
            </w:r>
          </w:p>
        </w:tc>
        <w:tc>
          <w:tcPr>
            <w:tcW w:w="1406" w:type="pct"/>
            <w:vMerge w:val="continue"/>
            <w:vAlign w:val="center"/>
          </w:tcPr>
          <w:p w14:paraId="3DC0762E">
            <w:pPr>
              <w:pStyle w:val="105"/>
              <w:jc w:val="center"/>
              <w:rPr>
                <w:color w:val="000000" w:themeColor="text1"/>
                <w:sz w:val="18"/>
                <w:szCs w:val="18"/>
                <w14:textFill>
                  <w14:solidFill>
                    <w14:schemeClr w14:val="tx1"/>
                  </w14:solidFill>
                </w14:textFill>
              </w:rPr>
            </w:pPr>
          </w:p>
        </w:tc>
      </w:tr>
      <w:tr w14:paraId="4C7D1F3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1122FD03">
            <w:pPr>
              <w:pStyle w:val="105"/>
              <w:jc w:val="center"/>
              <w:rPr>
                <w:color w:val="000000" w:themeColor="text1"/>
                <w:sz w:val="18"/>
                <w:szCs w:val="18"/>
                <w14:textFill>
                  <w14:solidFill>
                    <w14:schemeClr w14:val="tx1"/>
                  </w14:solidFill>
                </w14:textFill>
              </w:rPr>
            </w:pPr>
          </w:p>
        </w:tc>
        <w:tc>
          <w:tcPr>
            <w:tcW w:w="811" w:type="pct"/>
            <w:gridSpan w:val="2"/>
            <w:vAlign w:val="center"/>
          </w:tcPr>
          <w:p w14:paraId="7A64CF0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联华村西山</w:t>
            </w:r>
          </w:p>
        </w:tc>
        <w:tc>
          <w:tcPr>
            <w:tcW w:w="360" w:type="pct"/>
            <w:vAlign w:val="center"/>
          </w:tcPr>
          <w:p w14:paraId="2B8FBEA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3A7310A8">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1417C6F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327" w:type="pct"/>
            <w:noWrap/>
            <w:vAlign w:val="center"/>
          </w:tcPr>
          <w:p w14:paraId="68600FB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8</w:t>
            </w:r>
          </w:p>
        </w:tc>
        <w:tc>
          <w:tcPr>
            <w:tcW w:w="419" w:type="pct"/>
            <w:noWrap/>
            <w:vAlign w:val="center"/>
          </w:tcPr>
          <w:p w14:paraId="5BD3C26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467" w:type="pct"/>
            <w:noWrap/>
            <w:vAlign w:val="center"/>
          </w:tcPr>
          <w:p w14:paraId="600FBB7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8</w:t>
            </w:r>
          </w:p>
        </w:tc>
        <w:tc>
          <w:tcPr>
            <w:tcW w:w="1406" w:type="pct"/>
            <w:vMerge w:val="continue"/>
            <w:vAlign w:val="center"/>
          </w:tcPr>
          <w:p w14:paraId="4A44E697">
            <w:pPr>
              <w:pStyle w:val="105"/>
              <w:jc w:val="center"/>
              <w:rPr>
                <w:color w:val="000000" w:themeColor="text1"/>
                <w:sz w:val="18"/>
                <w:szCs w:val="18"/>
                <w14:textFill>
                  <w14:solidFill>
                    <w14:schemeClr w14:val="tx1"/>
                  </w14:solidFill>
                </w14:textFill>
              </w:rPr>
            </w:pPr>
          </w:p>
        </w:tc>
      </w:tr>
      <w:tr w14:paraId="1C7E51A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Align w:val="center"/>
          </w:tcPr>
          <w:p w14:paraId="2F645F6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w:t>
            </w:r>
          </w:p>
        </w:tc>
        <w:tc>
          <w:tcPr>
            <w:tcW w:w="1171" w:type="pct"/>
            <w:gridSpan w:val="3"/>
            <w:vAlign w:val="center"/>
          </w:tcPr>
          <w:p w14:paraId="5DB62C3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联华村（朱里）</w:t>
            </w:r>
          </w:p>
        </w:tc>
        <w:tc>
          <w:tcPr>
            <w:tcW w:w="647" w:type="pct"/>
            <w:vAlign w:val="center"/>
          </w:tcPr>
          <w:p w14:paraId="5ECC7B3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35BEF13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327" w:type="pct"/>
            <w:noWrap/>
            <w:vAlign w:val="center"/>
          </w:tcPr>
          <w:p w14:paraId="5243930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8</w:t>
            </w:r>
          </w:p>
        </w:tc>
        <w:tc>
          <w:tcPr>
            <w:tcW w:w="419" w:type="pct"/>
            <w:noWrap/>
            <w:vAlign w:val="center"/>
          </w:tcPr>
          <w:p w14:paraId="18D7DEA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467" w:type="pct"/>
            <w:noWrap/>
            <w:vAlign w:val="center"/>
          </w:tcPr>
          <w:p w14:paraId="17FFF91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8</w:t>
            </w:r>
          </w:p>
        </w:tc>
        <w:tc>
          <w:tcPr>
            <w:tcW w:w="1406" w:type="pct"/>
            <w:vAlign w:val="center"/>
          </w:tcPr>
          <w:p w14:paraId="24379B2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与西山相邻，参照西山实测值</w:t>
            </w:r>
          </w:p>
        </w:tc>
      </w:tr>
      <w:tr w14:paraId="314515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restart"/>
            <w:vAlign w:val="center"/>
          </w:tcPr>
          <w:p w14:paraId="6D33354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1</w:t>
            </w:r>
          </w:p>
        </w:tc>
        <w:tc>
          <w:tcPr>
            <w:tcW w:w="1171" w:type="pct"/>
            <w:gridSpan w:val="3"/>
            <w:vMerge w:val="restart"/>
            <w:vAlign w:val="center"/>
          </w:tcPr>
          <w:p w14:paraId="1CABF98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联华村（木厝洋）</w:t>
            </w:r>
          </w:p>
        </w:tc>
        <w:tc>
          <w:tcPr>
            <w:tcW w:w="647" w:type="pct"/>
            <w:vAlign w:val="center"/>
          </w:tcPr>
          <w:p w14:paraId="67615A0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327" w:type="pct"/>
            <w:noWrap/>
            <w:vAlign w:val="center"/>
          </w:tcPr>
          <w:p w14:paraId="1CA4682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327" w:type="pct"/>
            <w:noWrap/>
            <w:vAlign w:val="center"/>
          </w:tcPr>
          <w:p w14:paraId="1735CE3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419" w:type="pct"/>
            <w:noWrap/>
            <w:vAlign w:val="center"/>
          </w:tcPr>
          <w:p w14:paraId="411F518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467" w:type="pct"/>
            <w:noWrap/>
            <w:vAlign w:val="center"/>
          </w:tcPr>
          <w:p w14:paraId="3F8F296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1406" w:type="pct"/>
            <w:vMerge w:val="restart"/>
            <w:vAlign w:val="center"/>
          </w:tcPr>
          <w:p w14:paraId="5DD946E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现状无4a类区，背景值取2类区实测值</w:t>
            </w:r>
          </w:p>
        </w:tc>
      </w:tr>
      <w:tr w14:paraId="4454679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Merge w:val="continue"/>
            <w:vAlign w:val="center"/>
          </w:tcPr>
          <w:p w14:paraId="53405368">
            <w:pPr>
              <w:pStyle w:val="105"/>
              <w:jc w:val="center"/>
              <w:rPr>
                <w:color w:val="000000" w:themeColor="text1"/>
                <w:sz w:val="18"/>
                <w:szCs w:val="18"/>
                <w14:textFill>
                  <w14:solidFill>
                    <w14:schemeClr w14:val="tx1"/>
                  </w14:solidFill>
                </w14:textFill>
              </w:rPr>
            </w:pPr>
          </w:p>
        </w:tc>
        <w:tc>
          <w:tcPr>
            <w:tcW w:w="1171" w:type="pct"/>
            <w:gridSpan w:val="3"/>
            <w:vMerge w:val="continue"/>
            <w:vAlign w:val="center"/>
          </w:tcPr>
          <w:p w14:paraId="1705AB95">
            <w:pPr>
              <w:pStyle w:val="105"/>
              <w:jc w:val="center"/>
              <w:rPr>
                <w:color w:val="000000" w:themeColor="text1"/>
                <w:sz w:val="18"/>
                <w:szCs w:val="18"/>
                <w14:textFill>
                  <w14:solidFill>
                    <w14:schemeClr w14:val="tx1"/>
                  </w14:solidFill>
                </w14:textFill>
              </w:rPr>
            </w:pPr>
          </w:p>
        </w:tc>
        <w:tc>
          <w:tcPr>
            <w:tcW w:w="647" w:type="pct"/>
            <w:vAlign w:val="center"/>
          </w:tcPr>
          <w:p w14:paraId="53D56AD4">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327" w:type="pct"/>
            <w:noWrap/>
            <w:vAlign w:val="center"/>
          </w:tcPr>
          <w:p w14:paraId="1838DA0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327" w:type="pct"/>
            <w:noWrap/>
            <w:vAlign w:val="center"/>
          </w:tcPr>
          <w:p w14:paraId="13574A7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419" w:type="pct"/>
            <w:noWrap/>
            <w:vAlign w:val="center"/>
          </w:tcPr>
          <w:p w14:paraId="74D864B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5</w:t>
            </w:r>
          </w:p>
        </w:tc>
        <w:tc>
          <w:tcPr>
            <w:tcW w:w="467" w:type="pct"/>
            <w:noWrap/>
            <w:vAlign w:val="center"/>
          </w:tcPr>
          <w:p w14:paraId="53219F9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3</w:t>
            </w:r>
          </w:p>
        </w:tc>
        <w:tc>
          <w:tcPr>
            <w:tcW w:w="1406" w:type="pct"/>
            <w:vMerge w:val="continue"/>
            <w:vAlign w:val="center"/>
          </w:tcPr>
          <w:p w14:paraId="0A74C4A0">
            <w:pPr>
              <w:pStyle w:val="105"/>
              <w:jc w:val="center"/>
              <w:rPr>
                <w:color w:val="000000" w:themeColor="text1"/>
                <w:sz w:val="18"/>
                <w:szCs w:val="18"/>
                <w14:textFill>
                  <w14:solidFill>
                    <w14:schemeClr w14:val="tx1"/>
                  </w14:solidFill>
                </w14:textFill>
              </w:rPr>
            </w:pPr>
          </w:p>
        </w:tc>
      </w:tr>
      <w:tr w14:paraId="60D831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236" w:type="pct"/>
            <w:vAlign w:val="center"/>
          </w:tcPr>
          <w:p w14:paraId="2AEB568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w:t>
            </w:r>
          </w:p>
        </w:tc>
        <w:tc>
          <w:tcPr>
            <w:tcW w:w="811" w:type="pct"/>
            <w:gridSpan w:val="2"/>
            <w:vAlign w:val="center"/>
          </w:tcPr>
          <w:p w14:paraId="09AA21F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联华村三落厝</w:t>
            </w:r>
          </w:p>
        </w:tc>
        <w:tc>
          <w:tcPr>
            <w:tcW w:w="360" w:type="pct"/>
            <w:vAlign w:val="center"/>
          </w:tcPr>
          <w:p w14:paraId="433CF10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F</w:t>
            </w:r>
          </w:p>
        </w:tc>
        <w:tc>
          <w:tcPr>
            <w:tcW w:w="647" w:type="pct"/>
            <w:vAlign w:val="center"/>
          </w:tcPr>
          <w:p w14:paraId="037A744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2类</w:t>
            </w:r>
          </w:p>
        </w:tc>
        <w:tc>
          <w:tcPr>
            <w:tcW w:w="327" w:type="pct"/>
            <w:noWrap/>
            <w:vAlign w:val="center"/>
          </w:tcPr>
          <w:p w14:paraId="1723E51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2</w:t>
            </w:r>
          </w:p>
        </w:tc>
        <w:tc>
          <w:tcPr>
            <w:tcW w:w="327" w:type="pct"/>
            <w:noWrap/>
            <w:vAlign w:val="center"/>
          </w:tcPr>
          <w:p w14:paraId="47AB1E1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1</w:t>
            </w:r>
          </w:p>
        </w:tc>
        <w:tc>
          <w:tcPr>
            <w:tcW w:w="419" w:type="pct"/>
            <w:noWrap/>
            <w:vAlign w:val="center"/>
          </w:tcPr>
          <w:p w14:paraId="2ABA241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r>
              <w:rPr>
                <w:color w:val="000000" w:themeColor="text1"/>
                <w:sz w:val="18"/>
                <w:szCs w:val="18"/>
                <w14:textFill>
                  <w14:solidFill>
                    <w14:schemeClr w14:val="tx1"/>
                  </w14:solidFill>
                </w14:textFill>
              </w:rPr>
              <w:t>2</w:t>
            </w:r>
          </w:p>
        </w:tc>
        <w:tc>
          <w:tcPr>
            <w:tcW w:w="467" w:type="pct"/>
            <w:noWrap/>
            <w:vAlign w:val="center"/>
          </w:tcPr>
          <w:p w14:paraId="78A55FF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1</w:t>
            </w:r>
          </w:p>
        </w:tc>
        <w:tc>
          <w:tcPr>
            <w:tcW w:w="1406" w:type="pct"/>
            <w:vAlign w:val="center"/>
          </w:tcPr>
          <w:p w14:paraId="639E175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现状为2类，实测</w:t>
            </w:r>
          </w:p>
        </w:tc>
      </w:tr>
      <w:tr w14:paraId="30BFE4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340" w:hRule="atLeast"/>
          <w:tblHeader/>
          <w:jc w:val="center"/>
        </w:trPr>
        <w:tc>
          <w:tcPr>
            <w:tcW w:w="5000" w:type="pct"/>
            <w:gridSpan w:val="10"/>
            <w:vAlign w:val="center"/>
          </w:tcPr>
          <w:p w14:paraId="2BDB8ACA">
            <w:pPr>
              <w:pStyle w:val="105"/>
              <w:jc w:val="left"/>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注：根据</w:t>
            </w:r>
            <w:r>
              <w:rPr>
                <w:color w:val="000000" w:themeColor="text1"/>
                <w:sz w:val="18"/>
                <w:szCs w:val="18"/>
                <w14:textFill>
                  <w14:solidFill>
                    <w14:schemeClr w14:val="tx1"/>
                  </w14:solidFill>
                </w14:textFill>
              </w:rPr>
              <w:t>HJ1358—2024</w:t>
            </w:r>
            <w:r>
              <w:rPr>
                <w:rFonts w:hint="eastAsia"/>
                <w:color w:val="000000" w:themeColor="text1"/>
                <w:sz w:val="18"/>
                <w:szCs w:val="18"/>
                <w14:textFill>
                  <w14:solidFill>
                    <w14:schemeClr w14:val="tx1"/>
                  </w14:solidFill>
                </w14:textFill>
              </w:rPr>
              <w:t xml:space="preserve">，评价量为 </w:t>
            </w:r>
            <w:bookmarkStart w:id="750" w:name="hmcheck_7ae6a2b71a5d4f2391887f6a0a2f5276"/>
            <w:r>
              <w:rPr>
                <w:rFonts w:hint="eastAsia"/>
                <w:color w:val="000000" w:themeColor="text1"/>
                <w:sz w:val="18"/>
                <w:szCs w:val="18"/>
                <w:shd w:val="clear" w:fill="FFAFAA"/>
                <w14:textFill>
                  <w14:solidFill>
                    <w14:schemeClr w14:val="tx1"/>
                  </w14:solidFill>
                </w14:textFill>
              </w:rPr>
              <w:t>LAeq</w:t>
            </w:r>
            <w:bookmarkEnd w:id="750"/>
            <w:r>
              <w:rPr>
                <w:rFonts w:hint="eastAsia"/>
                <w:color w:val="000000" w:themeColor="text1"/>
                <w:sz w:val="18"/>
                <w:szCs w:val="18"/>
                <w14:textFill>
                  <w14:solidFill>
                    <w14:schemeClr w14:val="tx1"/>
                  </w14:solidFill>
                </w14:textFill>
              </w:rPr>
              <w:t>，取两日</w:t>
            </w:r>
            <w:bookmarkStart w:id="751" w:name="hmcheck_9b8166de523b4c8bae4fc884f5f45c5e"/>
            <w:r>
              <w:rPr>
                <w:rFonts w:hint="eastAsia"/>
                <w:color w:val="000000" w:themeColor="text1"/>
                <w:sz w:val="18"/>
                <w:szCs w:val="18"/>
                <w:shd w:val="clear" w:fill="FFAFAA"/>
                <w14:textFill>
                  <w14:solidFill>
                    <w14:schemeClr w14:val="tx1"/>
                  </w14:solidFill>
                </w14:textFill>
              </w:rPr>
              <w:t>监测值</w:t>
            </w:r>
            <w:bookmarkEnd w:id="751"/>
            <w:r>
              <w:rPr>
                <w:rFonts w:hint="eastAsia"/>
                <w:color w:val="000000" w:themeColor="text1"/>
                <w:sz w:val="18"/>
                <w:szCs w:val="18"/>
                <w14:textFill>
                  <w14:solidFill>
                    <w14:schemeClr w14:val="tx1"/>
                  </w14:solidFill>
                </w14:textFill>
              </w:rPr>
              <w:t>的算术平均值。</w:t>
            </w:r>
          </w:p>
        </w:tc>
      </w:tr>
    </w:tbl>
    <w:p w14:paraId="045A53CE">
      <w:pPr>
        <w:pStyle w:val="124"/>
        <w:spacing w:before="163"/>
        <w:rPr>
          <w:color w:val="000000" w:themeColor="text1"/>
          <w:szCs w:val="24"/>
          <w14:textFill>
            <w14:solidFill>
              <w14:schemeClr w14:val="tx1"/>
            </w14:solidFill>
          </w14:textFill>
        </w:rPr>
      </w:pPr>
      <w:r>
        <w:rPr>
          <w:rFonts w:hint="eastAsia"/>
          <w:color w:val="000000" w:themeColor="text1"/>
          <w14:textFill>
            <w14:solidFill>
              <w14:schemeClr w14:val="tx1"/>
            </w14:solidFill>
          </w14:textFill>
        </w:rPr>
        <w:t>B.</w:t>
      </w:r>
      <w:r>
        <w:rPr>
          <w:color w:val="000000" w:themeColor="text1"/>
          <w14:textFill>
            <w14:solidFill>
              <w14:schemeClr w14:val="tx1"/>
            </w14:solidFill>
          </w14:textFill>
        </w:rPr>
        <w:t>交通噪声对沿线敏感点的影响预测</w:t>
      </w:r>
    </w:p>
    <w:p w14:paraId="2835626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敏感点环境噪声预测是根据各敏感点不同类区的预测点与线位关系，全面考虑所对应的工程路面结构、路基形式、高差、地形、地上物以及地面覆盖状况、空气吸收等声传播条件的因素修正，由交通噪声影响预测贡献值叠加对应的声环境背景值得到。拟建公路沿线各敏感点环境噪声预测结果见</w:t>
      </w:r>
      <w:r>
        <w:rPr>
          <w:color w:val="000000" w:themeColor="text1"/>
          <w:szCs w:val="20"/>
          <w14:textFill>
            <w14:solidFill>
              <w14:schemeClr w14:val="tx1"/>
            </w14:solidFill>
          </w14:textFill>
        </w:rPr>
        <w:fldChar w:fldCharType="begin"/>
      </w:r>
      <w:r>
        <w:rPr>
          <w:color w:val="000000" w:themeColor="text1"/>
          <w:szCs w:val="24"/>
          <w14:textFill>
            <w14:solidFill>
              <w14:schemeClr w14:val="tx1"/>
            </w14:solidFill>
          </w14:textFill>
        </w:rPr>
        <w:instrText xml:space="preserve"> REF _Ref149557861 \r \h </w:instrText>
      </w:r>
      <w:r>
        <w:rPr>
          <w:color w:val="000000" w:themeColor="text1"/>
          <w:szCs w:val="20"/>
          <w14:textFill>
            <w14:solidFill>
              <w14:schemeClr w14:val="tx1"/>
            </w14:solidFill>
          </w14:textFill>
        </w:rPr>
        <w:fldChar w:fldCharType="separate"/>
      </w:r>
      <w:r>
        <w:rPr>
          <w:rFonts w:hint="eastAsia"/>
          <w:color w:val="000000" w:themeColor="text1"/>
          <w:szCs w:val="24"/>
          <w14:textFill>
            <w14:solidFill>
              <w14:schemeClr w14:val="tx1"/>
            </w14:solidFill>
          </w14:textFill>
        </w:rPr>
        <w:t>表5.4-8</w:t>
      </w:r>
      <w:r>
        <w:rPr>
          <w:color w:val="000000" w:themeColor="text1"/>
          <w:szCs w:val="20"/>
          <w14:textFill>
            <w14:solidFill>
              <w14:schemeClr w14:val="tx1"/>
            </w14:solidFill>
          </w14:textFill>
        </w:rPr>
        <w:fldChar w:fldCharType="end"/>
      </w:r>
      <w:r>
        <w:rPr>
          <w:color w:val="000000" w:themeColor="text1"/>
          <w:szCs w:val="20"/>
          <w14:textFill>
            <w14:solidFill>
              <w14:schemeClr w14:val="tx1"/>
            </w14:solidFill>
          </w14:textFill>
        </w:rPr>
        <w:t>。</w:t>
      </w:r>
    </w:p>
    <w:p w14:paraId="736FE72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从预测结果可以看出，项目运营期沿线敏感目标受交通噪声影响不大，仅部分敏感点昼夜夜间出现部分超标，因此，针对部分超标路段及敏感目标应采取相应措施，详见本报告“环保措施章节”。</w:t>
      </w:r>
    </w:p>
    <w:p w14:paraId="413C5957">
      <w:pPr>
        <w:ind w:firstLine="480"/>
        <w:rPr>
          <w:color w:val="000000" w:themeColor="text1"/>
          <w14:textFill>
            <w14:solidFill>
              <w14:schemeClr w14:val="tx1"/>
            </w14:solidFill>
          </w14:textFill>
        </w:rPr>
        <w:sectPr>
          <w:pgSz w:w="11906" w:h="16838"/>
          <w:pgMar w:top="1418" w:right="1418" w:bottom="1418" w:left="1418" w:header="851" w:footer="992" w:gutter="0"/>
          <w:cols w:space="425" w:num="1"/>
          <w:docGrid w:type="lines" w:linePitch="326" w:charSpace="0"/>
        </w:sectPr>
      </w:pPr>
    </w:p>
    <w:p w14:paraId="41B00ED9">
      <w:pPr>
        <w:pStyle w:val="87"/>
        <w:spacing w:before="0" w:beforeLines="0"/>
        <w:ind w:left="482" w:firstLine="482"/>
        <w:rPr>
          <w:color w:val="000000" w:themeColor="text1"/>
          <w14:textFill>
            <w14:solidFill>
              <w14:schemeClr w14:val="tx1"/>
            </w14:solidFill>
          </w14:textFill>
        </w:rPr>
      </w:pPr>
      <w:bookmarkStart w:id="752" w:name="_Ref149557861"/>
      <w:r>
        <w:rPr>
          <w:rFonts w:hint="eastAsia"/>
          <w:color w:val="000000" w:themeColor="text1"/>
          <w14:textFill>
            <w14:solidFill>
              <w14:schemeClr w14:val="tx1"/>
            </w14:solidFill>
          </w14:textFill>
        </w:rPr>
        <w:t>声环境现状敏感目标噪声预测结果与达标分析表</w:t>
      </w:r>
      <w:bookmarkEnd w:id="752"/>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426"/>
        <w:gridCol w:w="426"/>
        <w:gridCol w:w="1703"/>
        <w:gridCol w:w="709"/>
        <w:gridCol w:w="566"/>
        <w:gridCol w:w="568"/>
        <w:gridCol w:w="582"/>
        <w:gridCol w:w="675"/>
        <w:gridCol w:w="675"/>
        <w:gridCol w:w="675"/>
        <w:gridCol w:w="675"/>
        <w:gridCol w:w="543"/>
        <w:gridCol w:w="515"/>
        <w:gridCol w:w="661"/>
        <w:gridCol w:w="540"/>
        <w:gridCol w:w="409"/>
        <w:gridCol w:w="473"/>
        <w:gridCol w:w="610"/>
        <w:gridCol w:w="526"/>
        <w:gridCol w:w="510"/>
        <w:gridCol w:w="459"/>
        <w:gridCol w:w="650"/>
        <w:gridCol w:w="426"/>
      </w:tblGrid>
      <w:tr w14:paraId="572EA9B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31DF68D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序号</w:t>
            </w:r>
          </w:p>
        </w:tc>
        <w:tc>
          <w:tcPr>
            <w:tcW w:w="760" w:type="pct"/>
            <w:gridSpan w:val="2"/>
            <w:vMerge w:val="restart"/>
            <w:vAlign w:val="center"/>
          </w:tcPr>
          <w:p w14:paraId="6F3FD98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声环境</w:t>
            </w:r>
          </w:p>
          <w:p w14:paraId="3A1433E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保护目标</w:t>
            </w:r>
          </w:p>
        </w:tc>
        <w:tc>
          <w:tcPr>
            <w:tcW w:w="253" w:type="pct"/>
            <w:vMerge w:val="restart"/>
            <w:vAlign w:val="center"/>
          </w:tcPr>
          <w:p w14:paraId="1EEB74D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预测点与路线中心线距离</w:t>
            </w:r>
            <w:r>
              <w:rPr>
                <w:color w:val="000000" w:themeColor="text1"/>
                <w:sz w:val="18"/>
                <w:szCs w:val="18"/>
                <w14:textFill>
                  <w14:solidFill>
                    <w14:schemeClr w14:val="tx1"/>
                  </w14:solidFill>
                </w14:textFill>
              </w:rPr>
              <w:t>m</w:t>
            </w:r>
          </w:p>
        </w:tc>
        <w:tc>
          <w:tcPr>
            <w:tcW w:w="202" w:type="pct"/>
            <w:vMerge w:val="restart"/>
            <w:vAlign w:val="center"/>
          </w:tcPr>
          <w:p w14:paraId="016B5A9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预测点与路线高差</w:t>
            </w:r>
            <w:r>
              <w:rPr>
                <w:color w:val="000000" w:themeColor="text1"/>
                <w:sz w:val="18"/>
                <w:szCs w:val="18"/>
                <w14:textFill>
                  <w14:solidFill>
                    <w14:schemeClr w14:val="tx1"/>
                  </w14:solidFill>
                </w14:textFill>
              </w:rPr>
              <w:t>m</w:t>
            </w:r>
          </w:p>
        </w:tc>
        <w:tc>
          <w:tcPr>
            <w:tcW w:w="203" w:type="pct"/>
            <w:vMerge w:val="restart"/>
            <w:vAlign w:val="center"/>
          </w:tcPr>
          <w:p w14:paraId="388FA40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纵坡（</w:t>
            </w:r>
            <w:r>
              <w:rPr>
                <w:color w:val="000000" w:themeColor="text1"/>
                <w:sz w:val="18"/>
                <w:szCs w:val="18"/>
                <w14:textFill>
                  <w14:solidFill>
                    <w14:schemeClr w14:val="tx1"/>
                  </w14:solidFill>
                </w14:textFill>
              </w:rPr>
              <w:t>%</w:t>
            </w:r>
            <w:r>
              <w:rPr>
                <w:rFonts w:hint="eastAsia"/>
                <w:color w:val="000000" w:themeColor="text1"/>
                <w:sz w:val="18"/>
                <w:szCs w:val="18"/>
                <w14:textFill>
                  <w14:solidFill>
                    <w14:schemeClr w14:val="tx1"/>
                  </w14:solidFill>
                </w14:textFill>
              </w:rPr>
              <w:t>）</w:t>
            </w:r>
          </w:p>
        </w:tc>
        <w:tc>
          <w:tcPr>
            <w:tcW w:w="208" w:type="pct"/>
            <w:vMerge w:val="restart"/>
            <w:vAlign w:val="center"/>
          </w:tcPr>
          <w:p w14:paraId="63BABCF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功能区类别</w:t>
            </w:r>
          </w:p>
        </w:tc>
        <w:tc>
          <w:tcPr>
            <w:tcW w:w="241" w:type="pct"/>
            <w:vMerge w:val="restart"/>
            <w:vAlign w:val="center"/>
          </w:tcPr>
          <w:p w14:paraId="0B1D5B1C">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时段</w:t>
            </w:r>
          </w:p>
        </w:tc>
        <w:tc>
          <w:tcPr>
            <w:tcW w:w="241" w:type="pct"/>
            <w:vMerge w:val="restart"/>
            <w:vAlign w:val="center"/>
          </w:tcPr>
          <w:p w14:paraId="01DB5F4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标准限值</w:t>
            </w:r>
            <w:r>
              <w:rPr>
                <w:color w:val="000000" w:themeColor="text1"/>
                <w:sz w:val="18"/>
                <w:szCs w:val="18"/>
                <w14:textFill>
                  <w14:solidFill>
                    <w14:schemeClr w14:val="tx1"/>
                  </w14:solidFill>
                </w14:textFill>
              </w:rPr>
              <w:t>dB</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A</w:t>
            </w:r>
            <w:r>
              <w:rPr>
                <w:rFonts w:hint="eastAsia"/>
                <w:color w:val="000000" w:themeColor="text1"/>
                <w:sz w:val="18"/>
                <w:szCs w:val="18"/>
                <w14:textFill>
                  <w14:solidFill>
                    <w14:schemeClr w14:val="tx1"/>
                  </w14:solidFill>
                </w14:textFill>
              </w:rPr>
              <w:t>）</w:t>
            </w:r>
          </w:p>
        </w:tc>
        <w:tc>
          <w:tcPr>
            <w:tcW w:w="241" w:type="pct"/>
            <w:vMerge w:val="restart"/>
            <w:vAlign w:val="center"/>
          </w:tcPr>
          <w:p w14:paraId="5906966C">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背景值</w:t>
            </w:r>
            <w:r>
              <w:rPr>
                <w:color w:val="000000" w:themeColor="text1"/>
                <w:sz w:val="18"/>
                <w:szCs w:val="18"/>
                <w14:textFill>
                  <w14:solidFill>
                    <w14:schemeClr w14:val="tx1"/>
                  </w14:solidFill>
                </w14:textFill>
              </w:rPr>
              <w:t>dB</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A</w:t>
            </w:r>
            <w:r>
              <w:rPr>
                <w:rFonts w:hint="eastAsia"/>
                <w:color w:val="000000" w:themeColor="text1"/>
                <w:sz w:val="18"/>
                <w:szCs w:val="18"/>
                <w14:textFill>
                  <w14:solidFill>
                    <w14:schemeClr w14:val="tx1"/>
                  </w14:solidFill>
                </w14:textFill>
              </w:rPr>
              <w:t>）</w:t>
            </w:r>
          </w:p>
        </w:tc>
        <w:tc>
          <w:tcPr>
            <w:tcW w:w="241" w:type="pct"/>
            <w:vMerge w:val="restart"/>
            <w:vAlign w:val="center"/>
          </w:tcPr>
          <w:p w14:paraId="04F2C91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现状值</w:t>
            </w:r>
            <w:r>
              <w:rPr>
                <w:color w:val="000000" w:themeColor="text1"/>
                <w:sz w:val="18"/>
                <w:szCs w:val="18"/>
                <w14:textFill>
                  <w14:solidFill>
                    <w14:schemeClr w14:val="tx1"/>
                  </w14:solidFill>
                </w14:textFill>
              </w:rPr>
              <w:t>dB</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A</w:t>
            </w:r>
            <w:r>
              <w:rPr>
                <w:rFonts w:hint="eastAsia"/>
                <w:color w:val="000000" w:themeColor="text1"/>
                <w:sz w:val="18"/>
                <w:szCs w:val="18"/>
                <w14:textFill>
                  <w14:solidFill>
                    <w14:schemeClr w14:val="tx1"/>
                  </w14:solidFill>
                </w14:textFill>
              </w:rPr>
              <w:t>）</w:t>
            </w:r>
          </w:p>
        </w:tc>
        <w:tc>
          <w:tcPr>
            <w:tcW w:w="807" w:type="pct"/>
            <w:gridSpan w:val="4"/>
            <w:vAlign w:val="center"/>
          </w:tcPr>
          <w:p w14:paraId="09708AA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近期</w:t>
            </w:r>
            <w:r>
              <w:rPr>
                <w:color w:val="000000" w:themeColor="text1"/>
                <w:sz w:val="18"/>
                <w:szCs w:val="18"/>
                <w14:textFill>
                  <w14:solidFill>
                    <w14:schemeClr w14:val="tx1"/>
                  </w14:solidFill>
                </w14:textFill>
              </w:rPr>
              <w:t>/dB</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A</w:t>
            </w:r>
            <w:r>
              <w:rPr>
                <w:rFonts w:hint="eastAsia"/>
                <w:color w:val="000000" w:themeColor="text1"/>
                <w:sz w:val="18"/>
                <w:szCs w:val="18"/>
                <w14:textFill>
                  <w14:solidFill>
                    <w14:schemeClr w14:val="tx1"/>
                  </w14:solidFill>
                </w14:textFill>
              </w:rPr>
              <w:t>）</w:t>
            </w:r>
          </w:p>
        </w:tc>
        <w:tc>
          <w:tcPr>
            <w:tcW w:w="721" w:type="pct"/>
            <w:gridSpan w:val="4"/>
            <w:vAlign w:val="center"/>
          </w:tcPr>
          <w:p w14:paraId="6607823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中期</w:t>
            </w:r>
            <w:r>
              <w:rPr>
                <w:color w:val="000000" w:themeColor="text1"/>
                <w:sz w:val="18"/>
                <w:szCs w:val="18"/>
                <w14:textFill>
                  <w14:solidFill>
                    <w14:schemeClr w14:val="tx1"/>
                  </w14:solidFill>
                </w14:textFill>
              </w:rPr>
              <w:t>/dB</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A</w:t>
            </w:r>
            <w:r>
              <w:rPr>
                <w:rFonts w:hint="eastAsia"/>
                <w:color w:val="000000" w:themeColor="text1"/>
                <w:sz w:val="18"/>
                <w:szCs w:val="18"/>
                <w14:textFill>
                  <w14:solidFill>
                    <w14:schemeClr w14:val="tx1"/>
                  </w14:solidFill>
                </w14:textFill>
              </w:rPr>
              <w:t>）</w:t>
            </w:r>
          </w:p>
        </w:tc>
        <w:tc>
          <w:tcPr>
            <w:tcW w:w="730" w:type="pct"/>
            <w:gridSpan w:val="4"/>
            <w:vAlign w:val="center"/>
          </w:tcPr>
          <w:p w14:paraId="38A833C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远期</w:t>
            </w:r>
            <w:r>
              <w:rPr>
                <w:color w:val="000000" w:themeColor="text1"/>
                <w:sz w:val="18"/>
                <w:szCs w:val="18"/>
                <w14:textFill>
                  <w14:solidFill>
                    <w14:schemeClr w14:val="tx1"/>
                  </w14:solidFill>
                </w14:textFill>
              </w:rPr>
              <w:t>/dB</w:t>
            </w: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A</w:t>
            </w:r>
            <w:r>
              <w:rPr>
                <w:rFonts w:hint="eastAsia"/>
                <w:color w:val="000000" w:themeColor="text1"/>
                <w:sz w:val="18"/>
                <w:szCs w:val="18"/>
                <w14:textFill>
                  <w14:solidFill>
                    <w14:schemeClr w14:val="tx1"/>
                  </w14:solidFill>
                </w14:textFill>
              </w:rPr>
              <w:t>）</w:t>
            </w:r>
          </w:p>
        </w:tc>
      </w:tr>
      <w:tr w14:paraId="37885B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3EC4598C">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1E16CA8D">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36A2224C">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35CFC5AC">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0152E4A">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60AF37B1">
            <w:pPr>
              <w:pStyle w:val="105"/>
              <w:spacing w:before="0" w:after="0"/>
              <w:jc w:val="center"/>
              <w:rPr>
                <w:color w:val="000000" w:themeColor="text1"/>
                <w:sz w:val="18"/>
                <w:szCs w:val="18"/>
                <w14:textFill>
                  <w14:solidFill>
                    <w14:schemeClr w14:val="tx1"/>
                  </w14:solidFill>
                </w14:textFill>
              </w:rPr>
            </w:pPr>
          </w:p>
        </w:tc>
        <w:tc>
          <w:tcPr>
            <w:tcW w:w="241" w:type="pct"/>
            <w:vMerge w:val="continue"/>
            <w:vAlign w:val="center"/>
          </w:tcPr>
          <w:p w14:paraId="04A6B618">
            <w:pPr>
              <w:pStyle w:val="105"/>
              <w:spacing w:before="0" w:after="0"/>
              <w:jc w:val="center"/>
              <w:rPr>
                <w:color w:val="000000" w:themeColor="text1"/>
                <w:sz w:val="18"/>
                <w:szCs w:val="18"/>
                <w14:textFill>
                  <w14:solidFill>
                    <w14:schemeClr w14:val="tx1"/>
                  </w14:solidFill>
                </w14:textFill>
              </w:rPr>
            </w:pPr>
          </w:p>
        </w:tc>
        <w:tc>
          <w:tcPr>
            <w:tcW w:w="241" w:type="pct"/>
            <w:vMerge w:val="continue"/>
            <w:vAlign w:val="center"/>
          </w:tcPr>
          <w:p w14:paraId="73947049">
            <w:pPr>
              <w:pStyle w:val="105"/>
              <w:spacing w:before="0" w:after="0"/>
              <w:jc w:val="center"/>
              <w:rPr>
                <w:color w:val="000000" w:themeColor="text1"/>
                <w:sz w:val="18"/>
                <w:szCs w:val="18"/>
                <w14:textFill>
                  <w14:solidFill>
                    <w14:schemeClr w14:val="tx1"/>
                  </w14:solidFill>
                </w14:textFill>
              </w:rPr>
            </w:pPr>
          </w:p>
        </w:tc>
        <w:tc>
          <w:tcPr>
            <w:tcW w:w="241" w:type="pct"/>
            <w:vMerge w:val="continue"/>
            <w:vAlign w:val="center"/>
          </w:tcPr>
          <w:p w14:paraId="02A1E9A1">
            <w:pPr>
              <w:pStyle w:val="105"/>
              <w:spacing w:before="0" w:after="0"/>
              <w:jc w:val="center"/>
              <w:rPr>
                <w:color w:val="000000" w:themeColor="text1"/>
                <w:sz w:val="18"/>
                <w:szCs w:val="18"/>
                <w14:textFill>
                  <w14:solidFill>
                    <w14:schemeClr w14:val="tx1"/>
                  </w14:solidFill>
                </w14:textFill>
              </w:rPr>
            </w:pPr>
          </w:p>
        </w:tc>
        <w:tc>
          <w:tcPr>
            <w:tcW w:w="241" w:type="pct"/>
            <w:vMerge w:val="continue"/>
            <w:vAlign w:val="center"/>
          </w:tcPr>
          <w:p w14:paraId="66943817">
            <w:pPr>
              <w:pStyle w:val="105"/>
              <w:spacing w:before="0" w:after="0"/>
              <w:jc w:val="center"/>
              <w:rPr>
                <w:color w:val="000000" w:themeColor="text1"/>
                <w:sz w:val="18"/>
                <w:szCs w:val="18"/>
                <w14:textFill>
                  <w14:solidFill>
                    <w14:schemeClr w14:val="tx1"/>
                  </w14:solidFill>
                </w14:textFill>
              </w:rPr>
            </w:pPr>
          </w:p>
        </w:tc>
        <w:tc>
          <w:tcPr>
            <w:tcW w:w="194" w:type="pct"/>
            <w:vAlign w:val="center"/>
          </w:tcPr>
          <w:p w14:paraId="55CA165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贡献值</w:t>
            </w:r>
          </w:p>
        </w:tc>
        <w:tc>
          <w:tcPr>
            <w:tcW w:w="184" w:type="pct"/>
            <w:vAlign w:val="center"/>
          </w:tcPr>
          <w:p w14:paraId="56658B1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预测值</w:t>
            </w:r>
          </w:p>
        </w:tc>
        <w:tc>
          <w:tcPr>
            <w:tcW w:w="236" w:type="pct"/>
            <w:vAlign w:val="center"/>
          </w:tcPr>
          <w:p w14:paraId="7C9789B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较现状增量</w:t>
            </w:r>
          </w:p>
        </w:tc>
        <w:tc>
          <w:tcPr>
            <w:tcW w:w="193" w:type="pct"/>
            <w:vAlign w:val="center"/>
          </w:tcPr>
          <w:p w14:paraId="13B5372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超标量</w:t>
            </w:r>
          </w:p>
        </w:tc>
        <w:tc>
          <w:tcPr>
            <w:tcW w:w="146" w:type="pct"/>
            <w:vAlign w:val="center"/>
          </w:tcPr>
          <w:p w14:paraId="602D06D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贡献值</w:t>
            </w:r>
          </w:p>
        </w:tc>
        <w:tc>
          <w:tcPr>
            <w:tcW w:w="169" w:type="pct"/>
            <w:vAlign w:val="center"/>
          </w:tcPr>
          <w:p w14:paraId="69CD781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预测值</w:t>
            </w:r>
          </w:p>
        </w:tc>
        <w:tc>
          <w:tcPr>
            <w:tcW w:w="218" w:type="pct"/>
            <w:vAlign w:val="center"/>
          </w:tcPr>
          <w:p w14:paraId="623EEFE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较现状增量</w:t>
            </w:r>
          </w:p>
        </w:tc>
        <w:tc>
          <w:tcPr>
            <w:tcW w:w="188" w:type="pct"/>
            <w:vAlign w:val="center"/>
          </w:tcPr>
          <w:p w14:paraId="4931D29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超标量</w:t>
            </w:r>
          </w:p>
        </w:tc>
        <w:tc>
          <w:tcPr>
            <w:tcW w:w="182" w:type="pct"/>
            <w:vAlign w:val="center"/>
          </w:tcPr>
          <w:p w14:paraId="518706A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贡献值</w:t>
            </w:r>
          </w:p>
        </w:tc>
        <w:tc>
          <w:tcPr>
            <w:tcW w:w="164" w:type="pct"/>
            <w:vAlign w:val="center"/>
          </w:tcPr>
          <w:p w14:paraId="1FBAC8A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预测值</w:t>
            </w:r>
          </w:p>
        </w:tc>
        <w:tc>
          <w:tcPr>
            <w:tcW w:w="232" w:type="pct"/>
            <w:vAlign w:val="center"/>
          </w:tcPr>
          <w:p w14:paraId="0EF25CD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较现状增量</w:t>
            </w:r>
          </w:p>
        </w:tc>
        <w:tc>
          <w:tcPr>
            <w:tcW w:w="152" w:type="pct"/>
            <w:vAlign w:val="center"/>
          </w:tcPr>
          <w:p w14:paraId="4C07EFD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超标量</w:t>
            </w:r>
          </w:p>
        </w:tc>
      </w:tr>
      <w:tr w14:paraId="2CF9D2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31D5A366">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w:t>
            </w:r>
          </w:p>
        </w:tc>
        <w:tc>
          <w:tcPr>
            <w:tcW w:w="152" w:type="pct"/>
            <w:vMerge w:val="restart"/>
            <w:vAlign w:val="center"/>
          </w:tcPr>
          <w:p w14:paraId="72DB7A2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牌边村新桥</w:t>
            </w:r>
          </w:p>
        </w:tc>
        <w:tc>
          <w:tcPr>
            <w:tcW w:w="608" w:type="pct"/>
            <w:vMerge w:val="restart"/>
            <w:vAlign w:val="center"/>
          </w:tcPr>
          <w:p w14:paraId="7E5F22D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临拟建公路第一排1</w:t>
            </w:r>
            <w:r>
              <w:rPr>
                <w:color w:val="000000" w:themeColor="text1"/>
                <w:sz w:val="18"/>
                <w:szCs w:val="18"/>
                <w14:textFill>
                  <w14:solidFill>
                    <w14:schemeClr w14:val="tx1"/>
                  </w14:solidFill>
                </w14:textFill>
              </w:rPr>
              <w:t>F</w:t>
            </w:r>
            <w:r>
              <w:rPr>
                <w:rFonts w:hint="eastAsia"/>
                <w:color w:val="000000" w:themeColor="text1"/>
                <w:sz w:val="18"/>
                <w:szCs w:val="18"/>
                <w14:textFill>
                  <w14:solidFill>
                    <w14:schemeClr w14:val="tx1"/>
                  </w14:solidFill>
                </w14:textFill>
              </w:rPr>
              <w:t>（G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国道后排）</w:t>
            </w:r>
          </w:p>
        </w:tc>
        <w:tc>
          <w:tcPr>
            <w:tcW w:w="253" w:type="pct"/>
            <w:vMerge w:val="restart"/>
            <w:vAlign w:val="center"/>
          </w:tcPr>
          <w:p w14:paraId="2150A48F">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13</w:t>
            </w:r>
          </w:p>
        </w:tc>
        <w:tc>
          <w:tcPr>
            <w:tcW w:w="202" w:type="pct"/>
            <w:vMerge w:val="restart"/>
            <w:vAlign w:val="center"/>
          </w:tcPr>
          <w:p w14:paraId="0999D2E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vertAlign w:val="superscript"/>
                <w14:textFill>
                  <w14:solidFill>
                    <w14:schemeClr w14:val="tx1"/>
                  </w14:solidFill>
                </w14:textFill>
              </w:rPr>
              <w:t>~</w:t>
            </w:r>
            <w:r>
              <w:rPr>
                <w:color w:val="000000" w:themeColor="text1"/>
                <w:sz w:val="18"/>
                <w:szCs w:val="18"/>
                <w14:textFill>
                  <w14:solidFill>
                    <w14:schemeClr w14:val="tx1"/>
                  </w14:solidFill>
                </w14:textFill>
              </w:rPr>
              <w:t>2</w:t>
            </w:r>
          </w:p>
        </w:tc>
        <w:tc>
          <w:tcPr>
            <w:tcW w:w="203" w:type="pct"/>
            <w:vMerge w:val="restart"/>
            <w:vAlign w:val="center"/>
          </w:tcPr>
          <w:p w14:paraId="5D39661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208" w:type="pct"/>
            <w:vMerge w:val="restart"/>
            <w:vAlign w:val="center"/>
          </w:tcPr>
          <w:p w14:paraId="661A2272">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4D1EDEC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5BF6F53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5C530A2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241" w:type="pct"/>
            <w:vAlign w:val="center"/>
          </w:tcPr>
          <w:p w14:paraId="72026C5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194" w:type="pct"/>
            <w:vAlign w:val="center"/>
          </w:tcPr>
          <w:p w14:paraId="170D87E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65.6</w:t>
            </w:r>
          </w:p>
        </w:tc>
        <w:tc>
          <w:tcPr>
            <w:tcW w:w="184" w:type="pct"/>
            <w:vAlign w:val="center"/>
          </w:tcPr>
          <w:p w14:paraId="2746778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65.9</w:t>
            </w:r>
          </w:p>
        </w:tc>
        <w:tc>
          <w:tcPr>
            <w:tcW w:w="236" w:type="pct"/>
            <w:vAlign w:val="center"/>
          </w:tcPr>
          <w:p w14:paraId="6BE8956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11.9 </w:t>
            </w:r>
          </w:p>
        </w:tc>
        <w:tc>
          <w:tcPr>
            <w:tcW w:w="193" w:type="pct"/>
            <w:vAlign w:val="center"/>
          </w:tcPr>
          <w:p w14:paraId="6EE6BC9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289E5C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67.2</w:t>
            </w:r>
          </w:p>
        </w:tc>
        <w:tc>
          <w:tcPr>
            <w:tcW w:w="169" w:type="pct"/>
            <w:vAlign w:val="center"/>
          </w:tcPr>
          <w:p w14:paraId="5A89883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67.4</w:t>
            </w:r>
          </w:p>
        </w:tc>
        <w:tc>
          <w:tcPr>
            <w:tcW w:w="218" w:type="pct"/>
            <w:vAlign w:val="center"/>
          </w:tcPr>
          <w:p w14:paraId="1337534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13.4 </w:t>
            </w:r>
          </w:p>
        </w:tc>
        <w:tc>
          <w:tcPr>
            <w:tcW w:w="188" w:type="pct"/>
            <w:vAlign w:val="center"/>
          </w:tcPr>
          <w:p w14:paraId="0ABD62D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91CDA3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67.5</w:t>
            </w:r>
          </w:p>
        </w:tc>
        <w:tc>
          <w:tcPr>
            <w:tcW w:w="164" w:type="pct"/>
            <w:vAlign w:val="center"/>
          </w:tcPr>
          <w:p w14:paraId="2CCA829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67.7</w:t>
            </w:r>
          </w:p>
        </w:tc>
        <w:tc>
          <w:tcPr>
            <w:tcW w:w="232" w:type="pct"/>
            <w:vAlign w:val="center"/>
          </w:tcPr>
          <w:p w14:paraId="080CE1A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13.7 </w:t>
            </w:r>
          </w:p>
        </w:tc>
        <w:tc>
          <w:tcPr>
            <w:tcW w:w="152" w:type="pct"/>
            <w:vAlign w:val="center"/>
          </w:tcPr>
          <w:p w14:paraId="1FAC78D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665654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077D6D8">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7B69DAA">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1690E3CA">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33B111FF">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0CE3F375">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0552B466">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803ADB2">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63061D2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265CF3B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785B339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241" w:type="pct"/>
            <w:vAlign w:val="center"/>
          </w:tcPr>
          <w:p w14:paraId="7636AFE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194" w:type="pct"/>
            <w:vAlign w:val="center"/>
          </w:tcPr>
          <w:p w14:paraId="276212B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58.0</w:t>
            </w:r>
          </w:p>
        </w:tc>
        <w:tc>
          <w:tcPr>
            <w:tcW w:w="184" w:type="pct"/>
            <w:vAlign w:val="center"/>
          </w:tcPr>
          <w:p w14:paraId="2B4A601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58.3</w:t>
            </w:r>
          </w:p>
        </w:tc>
        <w:tc>
          <w:tcPr>
            <w:tcW w:w="236" w:type="pct"/>
            <w:vAlign w:val="center"/>
          </w:tcPr>
          <w:p w14:paraId="000B1776">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11.3 </w:t>
            </w:r>
          </w:p>
        </w:tc>
        <w:tc>
          <w:tcPr>
            <w:tcW w:w="193" w:type="pct"/>
            <w:vAlign w:val="center"/>
          </w:tcPr>
          <w:p w14:paraId="7885244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3.3 </w:t>
            </w:r>
          </w:p>
        </w:tc>
        <w:tc>
          <w:tcPr>
            <w:tcW w:w="146" w:type="pct"/>
            <w:vAlign w:val="center"/>
          </w:tcPr>
          <w:p w14:paraId="2EE32F5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58.4</w:t>
            </w:r>
          </w:p>
        </w:tc>
        <w:tc>
          <w:tcPr>
            <w:tcW w:w="169" w:type="pct"/>
            <w:vAlign w:val="center"/>
          </w:tcPr>
          <w:p w14:paraId="564D406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58.7</w:t>
            </w:r>
          </w:p>
        </w:tc>
        <w:tc>
          <w:tcPr>
            <w:tcW w:w="218" w:type="pct"/>
            <w:vAlign w:val="center"/>
          </w:tcPr>
          <w:p w14:paraId="157808D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11.7 </w:t>
            </w:r>
          </w:p>
        </w:tc>
        <w:tc>
          <w:tcPr>
            <w:tcW w:w="188" w:type="pct"/>
            <w:vAlign w:val="center"/>
          </w:tcPr>
          <w:p w14:paraId="3C5D703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3.7 </w:t>
            </w:r>
          </w:p>
        </w:tc>
        <w:tc>
          <w:tcPr>
            <w:tcW w:w="182" w:type="pct"/>
            <w:vAlign w:val="center"/>
          </w:tcPr>
          <w:p w14:paraId="332FD89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58.7</w:t>
            </w:r>
          </w:p>
        </w:tc>
        <w:tc>
          <w:tcPr>
            <w:tcW w:w="164" w:type="pct"/>
            <w:vAlign w:val="center"/>
          </w:tcPr>
          <w:p w14:paraId="2E4E7FF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59.0</w:t>
            </w:r>
          </w:p>
        </w:tc>
        <w:tc>
          <w:tcPr>
            <w:tcW w:w="232" w:type="pct"/>
            <w:vAlign w:val="center"/>
          </w:tcPr>
          <w:p w14:paraId="7859755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12.0 </w:t>
            </w:r>
          </w:p>
        </w:tc>
        <w:tc>
          <w:tcPr>
            <w:tcW w:w="152" w:type="pct"/>
            <w:vAlign w:val="center"/>
          </w:tcPr>
          <w:p w14:paraId="17A5C8F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4.0 </w:t>
            </w:r>
          </w:p>
        </w:tc>
      </w:tr>
      <w:tr w14:paraId="71D846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1A38C72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9F52514">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0AB0FAC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w:t>
            </w:r>
            <w:r>
              <w:rPr>
                <w:color w:val="000000" w:themeColor="text1"/>
                <w:sz w:val="18"/>
                <w:szCs w:val="18"/>
                <w14:textFill>
                  <w14:solidFill>
                    <w14:schemeClr w14:val="tx1"/>
                  </w14:solidFill>
                </w14:textFill>
              </w:rPr>
              <w:t>3F</w:t>
            </w:r>
            <w:r>
              <w:rPr>
                <w:rFonts w:hint="eastAsia"/>
                <w:color w:val="000000" w:themeColor="text1"/>
                <w:sz w:val="18"/>
                <w:szCs w:val="18"/>
                <w14:textFill>
                  <w14:solidFill>
                    <w14:schemeClr w14:val="tx1"/>
                  </w14:solidFill>
                </w14:textFill>
              </w:rPr>
              <w:t>（G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国道后排）</w:t>
            </w:r>
          </w:p>
        </w:tc>
        <w:tc>
          <w:tcPr>
            <w:tcW w:w="253" w:type="pct"/>
            <w:vMerge w:val="continue"/>
            <w:vAlign w:val="center"/>
          </w:tcPr>
          <w:p w14:paraId="1B8064B2">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0E3276B7">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6~8</w:t>
            </w:r>
          </w:p>
        </w:tc>
        <w:tc>
          <w:tcPr>
            <w:tcW w:w="203" w:type="pct"/>
            <w:vMerge w:val="continue"/>
            <w:vAlign w:val="center"/>
          </w:tcPr>
          <w:p w14:paraId="29C46E29">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2BE391E">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669AC4E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29A529C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057569A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241" w:type="pct"/>
            <w:vAlign w:val="center"/>
          </w:tcPr>
          <w:p w14:paraId="1EF4E98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194" w:type="pct"/>
            <w:vAlign w:val="center"/>
          </w:tcPr>
          <w:p w14:paraId="6EE86C8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65.5</w:t>
            </w:r>
          </w:p>
        </w:tc>
        <w:tc>
          <w:tcPr>
            <w:tcW w:w="184" w:type="pct"/>
            <w:vAlign w:val="center"/>
          </w:tcPr>
          <w:p w14:paraId="76329FB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65.7</w:t>
            </w:r>
          </w:p>
        </w:tc>
        <w:tc>
          <w:tcPr>
            <w:tcW w:w="236" w:type="pct"/>
            <w:vAlign w:val="center"/>
          </w:tcPr>
          <w:p w14:paraId="115DACD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12.7 </w:t>
            </w:r>
          </w:p>
        </w:tc>
        <w:tc>
          <w:tcPr>
            <w:tcW w:w="193" w:type="pct"/>
            <w:vAlign w:val="center"/>
          </w:tcPr>
          <w:p w14:paraId="6304670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7F51B3F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67.1</w:t>
            </w:r>
          </w:p>
        </w:tc>
        <w:tc>
          <w:tcPr>
            <w:tcW w:w="169" w:type="pct"/>
            <w:vAlign w:val="center"/>
          </w:tcPr>
          <w:p w14:paraId="019654C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67.3</w:t>
            </w:r>
          </w:p>
        </w:tc>
        <w:tc>
          <w:tcPr>
            <w:tcW w:w="218" w:type="pct"/>
            <w:vAlign w:val="center"/>
          </w:tcPr>
          <w:p w14:paraId="3D86190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14.3 </w:t>
            </w:r>
          </w:p>
        </w:tc>
        <w:tc>
          <w:tcPr>
            <w:tcW w:w="188" w:type="pct"/>
            <w:vAlign w:val="center"/>
          </w:tcPr>
          <w:p w14:paraId="2D698F2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19656C2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67.4</w:t>
            </w:r>
          </w:p>
        </w:tc>
        <w:tc>
          <w:tcPr>
            <w:tcW w:w="164" w:type="pct"/>
            <w:vAlign w:val="center"/>
          </w:tcPr>
          <w:p w14:paraId="31E47B5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67.6</w:t>
            </w:r>
          </w:p>
        </w:tc>
        <w:tc>
          <w:tcPr>
            <w:tcW w:w="232" w:type="pct"/>
            <w:vAlign w:val="center"/>
          </w:tcPr>
          <w:p w14:paraId="6A60C55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14.6 </w:t>
            </w:r>
          </w:p>
        </w:tc>
        <w:tc>
          <w:tcPr>
            <w:tcW w:w="152" w:type="pct"/>
            <w:vAlign w:val="center"/>
          </w:tcPr>
          <w:p w14:paraId="7F778AF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D0940C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56503EFA">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2C85688C">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77113014">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42CB437F">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43E0F91F">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4499F9ED">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67CB8A7B">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C05CAF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54EB5F0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061A669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241" w:type="pct"/>
            <w:vAlign w:val="center"/>
          </w:tcPr>
          <w:p w14:paraId="0D82007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194" w:type="pct"/>
            <w:vAlign w:val="center"/>
          </w:tcPr>
          <w:p w14:paraId="2D3338A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57.9</w:t>
            </w:r>
          </w:p>
        </w:tc>
        <w:tc>
          <w:tcPr>
            <w:tcW w:w="184" w:type="pct"/>
            <w:vAlign w:val="center"/>
          </w:tcPr>
          <w:p w14:paraId="21EC016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58.2</w:t>
            </w:r>
          </w:p>
        </w:tc>
        <w:tc>
          <w:tcPr>
            <w:tcW w:w="236" w:type="pct"/>
            <w:vAlign w:val="center"/>
          </w:tcPr>
          <w:p w14:paraId="68EC56C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11.2 </w:t>
            </w:r>
          </w:p>
        </w:tc>
        <w:tc>
          <w:tcPr>
            <w:tcW w:w="193" w:type="pct"/>
            <w:vAlign w:val="center"/>
          </w:tcPr>
          <w:p w14:paraId="59D7D31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3.2 </w:t>
            </w:r>
          </w:p>
        </w:tc>
        <w:tc>
          <w:tcPr>
            <w:tcW w:w="146" w:type="pct"/>
            <w:vAlign w:val="center"/>
          </w:tcPr>
          <w:p w14:paraId="630AF19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58.3</w:t>
            </w:r>
          </w:p>
        </w:tc>
        <w:tc>
          <w:tcPr>
            <w:tcW w:w="169" w:type="pct"/>
            <w:vAlign w:val="center"/>
          </w:tcPr>
          <w:p w14:paraId="21E0CFC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58.7</w:t>
            </w:r>
          </w:p>
        </w:tc>
        <w:tc>
          <w:tcPr>
            <w:tcW w:w="218" w:type="pct"/>
            <w:vAlign w:val="center"/>
          </w:tcPr>
          <w:p w14:paraId="2B2813C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11.7 </w:t>
            </w:r>
          </w:p>
        </w:tc>
        <w:tc>
          <w:tcPr>
            <w:tcW w:w="188" w:type="pct"/>
            <w:vAlign w:val="center"/>
          </w:tcPr>
          <w:p w14:paraId="7D71A73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3.7 </w:t>
            </w:r>
          </w:p>
        </w:tc>
        <w:tc>
          <w:tcPr>
            <w:tcW w:w="182" w:type="pct"/>
            <w:vAlign w:val="center"/>
          </w:tcPr>
          <w:p w14:paraId="2FFD8C9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58.6</w:t>
            </w:r>
          </w:p>
        </w:tc>
        <w:tc>
          <w:tcPr>
            <w:tcW w:w="164" w:type="pct"/>
            <w:vAlign w:val="center"/>
          </w:tcPr>
          <w:p w14:paraId="5B06AED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58.9</w:t>
            </w:r>
          </w:p>
        </w:tc>
        <w:tc>
          <w:tcPr>
            <w:tcW w:w="232" w:type="pct"/>
            <w:vAlign w:val="center"/>
          </w:tcPr>
          <w:p w14:paraId="5F8AB09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11.9 </w:t>
            </w:r>
          </w:p>
        </w:tc>
        <w:tc>
          <w:tcPr>
            <w:tcW w:w="152" w:type="pct"/>
            <w:vAlign w:val="center"/>
          </w:tcPr>
          <w:p w14:paraId="4EE3891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3.9 </w:t>
            </w:r>
          </w:p>
        </w:tc>
      </w:tr>
      <w:tr w14:paraId="108A4F0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0702463">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0D3594B0">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715C782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拟建公路后排（G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国道后排）</w:t>
            </w:r>
          </w:p>
        </w:tc>
        <w:tc>
          <w:tcPr>
            <w:tcW w:w="253" w:type="pct"/>
            <w:vMerge w:val="restart"/>
            <w:vAlign w:val="center"/>
          </w:tcPr>
          <w:p w14:paraId="053DFB2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1</w:t>
            </w:r>
          </w:p>
        </w:tc>
        <w:tc>
          <w:tcPr>
            <w:tcW w:w="202" w:type="pct"/>
            <w:vMerge w:val="restart"/>
            <w:vAlign w:val="center"/>
          </w:tcPr>
          <w:p w14:paraId="20EF85E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vertAlign w:val="superscript"/>
                <w14:textFill>
                  <w14:solidFill>
                    <w14:schemeClr w14:val="tx1"/>
                  </w14:solidFill>
                </w14:textFill>
              </w:rPr>
              <w:t>~</w:t>
            </w:r>
            <w:r>
              <w:rPr>
                <w:color w:val="000000" w:themeColor="text1"/>
                <w:sz w:val="18"/>
                <w:szCs w:val="18"/>
                <w14:textFill>
                  <w14:solidFill>
                    <w14:schemeClr w14:val="tx1"/>
                  </w14:solidFill>
                </w14:textFill>
              </w:rPr>
              <w:t>2</w:t>
            </w:r>
          </w:p>
        </w:tc>
        <w:tc>
          <w:tcPr>
            <w:tcW w:w="203" w:type="pct"/>
            <w:vMerge w:val="restart"/>
            <w:vAlign w:val="center"/>
          </w:tcPr>
          <w:p w14:paraId="7FE91CE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208" w:type="pct"/>
            <w:vMerge w:val="restart"/>
            <w:vAlign w:val="center"/>
          </w:tcPr>
          <w:p w14:paraId="013BEB5D">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6CF670E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02E4CBF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1C8352C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19636F0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94" w:type="pct"/>
            <w:vAlign w:val="center"/>
          </w:tcPr>
          <w:p w14:paraId="21D0AFF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48.5</w:t>
            </w:r>
          </w:p>
        </w:tc>
        <w:tc>
          <w:tcPr>
            <w:tcW w:w="184" w:type="pct"/>
            <w:vAlign w:val="center"/>
          </w:tcPr>
          <w:p w14:paraId="01CAE25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55.9</w:t>
            </w:r>
          </w:p>
        </w:tc>
        <w:tc>
          <w:tcPr>
            <w:tcW w:w="236" w:type="pct"/>
            <w:vAlign w:val="center"/>
          </w:tcPr>
          <w:p w14:paraId="621C425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0.9 </w:t>
            </w:r>
          </w:p>
        </w:tc>
        <w:tc>
          <w:tcPr>
            <w:tcW w:w="193" w:type="pct"/>
            <w:vAlign w:val="top"/>
          </w:tcPr>
          <w:p w14:paraId="1699CDA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2BFDFA5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52.6</w:t>
            </w:r>
          </w:p>
        </w:tc>
        <w:tc>
          <w:tcPr>
            <w:tcW w:w="169" w:type="pct"/>
            <w:vAlign w:val="center"/>
          </w:tcPr>
          <w:p w14:paraId="03A657F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57.0</w:t>
            </w:r>
          </w:p>
        </w:tc>
        <w:tc>
          <w:tcPr>
            <w:tcW w:w="218" w:type="pct"/>
            <w:vAlign w:val="center"/>
          </w:tcPr>
          <w:p w14:paraId="419993E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2.0 </w:t>
            </w:r>
          </w:p>
        </w:tc>
        <w:tc>
          <w:tcPr>
            <w:tcW w:w="188" w:type="pct"/>
            <w:vAlign w:val="top"/>
          </w:tcPr>
          <w:p w14:paraId="44A35C3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70F3956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52.9</w:t>
            </w:r>
          </w:p>
        </w:tc>
        <w:tc>
          <w:tcPr>
            <w:tcW w:w="164" w:type="pct"/>
            <w:vAlign w:val="center"/>
          </w:tcPr>
          <w:p w14:paraId="55563B1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57.1</w:t>
            </w:r>
          </w:p>
        </w:tc>
        <w:tc>
          <w:tcPr>
            <w:tcW w:w="232" w:type="pct"/>
            <w:vAlign w:val="center"/>
          </w:tcPr>
          <w:p w14:paraId="6D0E376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2.1 </w:t>
            </w:r>
          </w:p>
        </w:tc>
        <w:tc>
          <w:tcPr>
            <w:tcW w:w="152" w:type="pct"/>
            <w:vAlign w:val="top"/>
          </w:tcPr>
          <w:p w14:paraId="1BEE81E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21717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0EAE4BDD">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4073CE0">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53C00E23">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3306479A">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0FBAE6A7">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1BE4C7C">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19B6BA34">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58F5EA2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40CC43E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6C1C26B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241" w:type="pct"/>
            <w:vAlign w:val="center"/>
          </w:tcPr>
          <w:p w14:paraId="147DEEF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194" w:type="pct"/>
            <w:vAlign w:val="center"/>
          </w:tcPr>
          <w:p w14:paraId="455461D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40.9</w:t>
            </w:r>
          </w:p>
        </w:tc>
        <w:tc>
          <w:tcPr>
            <w:tcW w:w="184" w:type="pct"/>
            <w:vAlign w:val="center"/>
          </w:tcPr>
          <w:p w14:paraId="6A6B6DE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48.0</w:t>
            </w:r>
          </w:p>
        </w:tc>
        <w:tc>
          <w:tcPr>
            <w:tcW w:w="236" w:type="pct"/>
            <w:vAlign w:val="center"/>
          </w:tcPr>
          <w:p w14:paraId="68007F6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1.0 </w:t>
            </w:r>
          </w:p>
        </w:tc>
        <w:tc>
          <w:tcPr>
            <w:tcW w:w="193" w:type="pct"/>
            <w:vAlign w:val="top"/>
          </w:tcPr>
          <w:p w14:paraId="7EBF111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6DED7F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41.3</w:t>
            </w:r>
          </w:p>
        </w:tc>
        <w:tc>
          <w:tcPr>
            <w:tcW w:w="169" w:type="pct"/>
            <w:vAlign w:val="center"/>
          </w:tcPr>
          <w:p w14:paraId="0BF3F1F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48.0</w:t>
            </w:r>
          </w:p>
        </w:tc>
        <w:tc>
          <w:tcPr>
            <w:tcW w:w="218" w:type="pct"/>
            <w:vAlign w:val="center"/>
          </w:tcPr>
          <w:p w14:paraId="4199EA0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1.0 </w:t>
            </w:r>
          </w:p>
        </w:tc>
        <w:tc>
          <w:tcPr>
            <w:tcW w:w="188" w:type="pct"/>
            <w:vAlign w:val="top"/>
          </w:tcPr>
          <w:p w14:paraId="3406D46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0D9CE68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41.6</w:t>
            </w:r>
          </w:p>
        </w:tc>
        <w:tc>
          <w:tcPr>
            <w:tcW w:w="164" w:type="pct"/>
            <w:vAlign w:val="center"/>
          </w:tcPr>
          <w:p w14:paraId="22109AA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48.1</w:t>
            </w:r>
          </w:p>
        </w:tc>
        <w:tc>
          <w:tcPr>
            <w:tcW w:w="232" w:type="pct"/>
            <w:vAlign w:val="center"/>
          </w:tcPr>
          <w:p w14:paraId="71D22A0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 </w:t>
            </w:r>
          </w:p>
        </w:tc>
        <w:tc>
          <w:tcPr>
            <w:tcW w:w="152" w:type="pct"/>
            <w:vAlign w:val="top"/>
          </w:tcPr>
          <w:p w14:paraId="18D8159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39059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3137D6A3">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2A8C546E">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1C33EC2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w:t>
            </w:r>
          </w:p>
          <w:p w14:paraId="39446337">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第一排</w:t>
            </w:r>
          </w:p>
        </w:tc>
        <w:tc>
          <w:tcPr>
            <w:tcW w:w="253" w:type="pct"/>
            <w:vMerge w:val="restart"/>
            <w:vAlign w:val="center"/>
          </w:tcPr>
          <w:p w14:paraId="3F97E549">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57</w:t>
            </w:r>
          </w:p>
        </w:tc>
        <w:tc>
          <w:tcPr>
            <w:tcW w:w="202" w:type="pct"/>
            <w:vMerge w:val="restart"/>
            <w:vAlign w:val="center"/>
          </w:tcPr>
          <w:p w14:paraId="58A7C20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vertAlign w:val="superscript"/>
                <w14:textFill>
                  <w14:solidFill>
                    <w14:schemeClr w14:val="tx1"/>
                  </w14:solidFill>
                </w14:textFill>
              </w:rPr>
              <w:t>~</w:t>
            </w:r>
            <w:r>
              <w:rPr>
                <w:color w:val="000000" w:themeColor="text1"/>
                <w:sz w:val="18"/>
                <w:szCs w:val="18"/>
                <w14:textFill>
                  <w14:solidFill>
                    <w14:schemeClr w14:val="tx1"/>
                  </w14:solidFill>
                </w14:textFill>
              </w:rPr>
              <w:t>2</w:t>
            </w:r>
          </w:p>
        </w:tc>
        <w:tc>
          <w:tcPr>
            <w:tcW w:w="203" w:type="pct"/>
            <w:vMerge w:val="restart"/>
            <w:vAlign w:val="center"/>
          </w:tcPr>
          <w:p w14:paraId="75F4192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208" w:type="pct"/>
            <w:vMerge w:val="restart"/>
            <w:vAlign w:val="center"/>
          </w:tcPr>
          <w:p w14:paraId="13AAD86A">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3183B11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0DFFFA2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7FF4766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w:t>
            </w:r>
          </w:p>
        </w:tc>
        <w:tc>
          <w:tcPr>
            <w:tcW w:w="241" w:type="pct"/>
            <w:vAlign w:val="center"/>
          </w:tcPr>
          <w:p w14:paraId="56B589C3">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w:t>
            </w:r>
          </w:p>
        </w:tc>
        <w:tc>
          <w:tcPr>
            <w:tcW w:w="194" w:type="pct"/>
            <w:vAlign w:val="center"/>
          </w:tcPr>
          <w:p w14:paraId="5078199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50.8</w:t>
            </w:r>
          </w:p>
        </w:tc>
        <w:tc>
          <w:tcPr>
            <w:tcW w:w="184" w:type="pct"/>
            <w:vAlign w:val="center"/>
          </w:tcPr>
          <w:p w14:paraId="1EBB285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68.1</w:t>
            </w:r>
          </w:p>
        </w:tc>
        <w:tc>
          <w:tcPr>
            <w:tcW w:w="236" w:type="pct"/>
            <w:vAlign w:val="center"/>
          </w:tcPr>
          <w:p w14:paraId="3EB5D38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0.1 </w:t>
            </w:r>
          </w:p>
        </w:tc>
        <w:tc>
          <w:tcPr>
            <w:tcW w:w="193" w:type="pct"/>
            <w:vAlign w:val="top"/>
          </w:tcPr>
          <w:p w14:paraId="45AAF19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16531C0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55.7</w:t>
            </w:r>
          </w:p>
        </w:tc>
        <w:tc>
          <w:tcPr>
            <w:tcW w:w="169" w:type="pct"/>
            <w:vAlign w:val="center"/>
          </w:tcPr>
          <w:p w14:paraId="5FDC25D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68.2</w:t>
            </w:r>
          </w:p>
        </w:tc>
        <w:tc>
          <w:tcPr>
            <w:tcW w:w="218" w:type="pct"/>
            <w:vAlign w:val="center"/>
          </w:tcPr>
          <w:p w14:paraId="7775234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0.2 </w:t>
            </w:r>
          </w:p>
        </w:tc>
        <w:tc>
          <w:tcPr>
            <w:tcW w:w="188" w:type="pct"/>
            <w:vAlign w:val="top"/>
          </w:tcPr>
          <w:p w14:paraId="142CBEB6">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503C0C8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55.9</w:t>
            </w:r>
          </w:p>
        </w:tc>
        <w:tc>
          <w:tcPr>
            <w:tcW w:w="164" w:type="pct"/>
            <w:vAlign w:val="center"/>
          </w:tcPr>
          <w:p w14:paraId="47563E5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68.3</w:t>
            </w:r>
          </w:p>
        </w:tc>
        <w:tc>
          <w:tcPr>
            <w:tcW w:w="232" w:type="pct"/>
            <w:vAlign w:val="center"/>
          </w:tcPr>
          <w:p w14:paraId="5CEA229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0.3 </w:t>
            </w:r>
          </w:p>
        </w:tc>
        <w:tc>
          <w:tcPr>
            <w:tcW w:w="152" w:type="pct"/>
            <w:vAlign w:val="top"/>
          </w:tcPr>
          <w:p w14:paraId="7D73ADA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7D9AED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4A086DC8">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6095380F">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46FBD249">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7E311CC4">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1F4F7CA1">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663199D">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0528C6D">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29E772D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440AB6A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3B6EDE7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w:t>
            </w:r>
          </w:p>
        </w:tc>
        <w:tc>
          <w:tcPr>
            <w:tcW w:w="241" w:type="pct"/>
            <w:vAlign w:val="center"/>
          </w:tcPr>
          <w:p w14:paraId="159881B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w:t>
            </w:r>
          </w:p>
        </w:tc>
        <w:tc>
          <w:tcPr>
            <w:tcW w:w="194" w:type="pct"/>
            <w:vAlign w:val="center"/>
          </w:tcPr>
          <w:p w14:paraId="3CABE2C2">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43.2</w:t>
            </w:r>
          </w:p>
        </w:tc>
        <w:tc>
          <w:tcPr>
            <w:tcW w:w="184" w:type="pct"/>
            <w:vAlign w:val="center"/>
          </w:tcPr>
          <w:p w14:paraId="67B08E43">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63.0</w:t>
            </w:r>
          </w:p>
        </w:tc>
        <w:tc>
          <w:tcPr>
            <w:tcW w:w="236" w:type="pct"/>
            <w:vAlign w:val="center"/>
          </w:tcPr>
          <w:p w14:paraId="2B41D12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0.0 </w:t>
            </w:r>
          </w:p>
        </w:tc>
        <w:tc>
          <w:tcPr>
            <w:tcW w:w="193" w:type="pct"/>
            <w:vAlign w:val="center"/>
          </w:tcPr>
          <w:p w14:paraId="36C4902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8.0 </w:t>
            </w:r>
          </w:p>
        </w:tc>
        <w:tc>
          <w:tcPr>
            <w:tcW w:w="146" w:type="pct"/>
            <w:vAlign w:val="center"/>
          </w:tcPr>
          <w:p w14:paraId="4901189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43.7</w:t>
            </w:r>
          </w:p>
        </w:tc>
        <w:tc>
          <w:tcPr>
            <w:tcW w:w="169" w:type="pct"/>
            <w:vAlign w:val="center"/>
          </w:tcPr>
          <w:p w14:paraId="3A4AD68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63.1</w:t>
            </w:r>
          </w:p>
        </w:tc>
        <w:tc>
          <w:tcPr>
            <w:tcW w:w="218" w:type="pct"/>
            <w:vAlign w:val="center"/>
          </w:tcPr>
          <w:p w14:paraId="5776645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0.1 </w:t>
            </w:r>
          </w:p>
        </w:tc>
        <w:tc>
          <w:tcPr>
            <w:tcW w:w="188" w:type="pct"/>
            <w:vAlign w:val="center"/>
          </w:tcPr>
          <w:p w14:paraId="621ADC9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8.1 </w:t>
            </w:r>
          </w:p>
        </w:tc>
        <w:tc>
          <w:tcPr>
            <w:tcW w:w="182" w:type="pct"/>
            <w:vAlign w:val="center"/>
          </w:tcPr>
          <w:p w14:paraId="27722BE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43.9</w:t>
            </w:r>
          </w:p>
        </w:tc>
        <w:tc>
          <w:tcPr>
            <w:tcW w:w="164" w:type="pct"/>
            <w:vAlign w:val="center"/>
          </w:tcPr>
          <w:p w14:paraId="1D18F01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63.1</w:t>
            </w:r>
          </w:p>
        </w:tc>
        <w:tc>
          <w:tcPr>
            <w:tcW w:w="232" w:type="pct"/>
            <w:vAlign w:val="center"/>
          </w:tcPr>
          <w:p w14:paraId="4B35A7C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0.1 </w:t>
            </w:r>
          </w:p>
        </w:tc>
        <w:tc>
          <w:tcPr>
            <w:tcW w:w="152" w:type="pct"/>
            <w:vAlign w:val="center"/>
          </w:tcPr>
          <w:p w14:paraId="364CA886">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8.1 </w:t>
            </w:r>
          </w:p>
        </w:tc>
      </w:tr>
      <w:tr w14:paraId="074F166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2B38F1C5">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p>
        </w:tc>
        <w:tc>
          <w:tcPr>
            <w:tcW w:w="152" w:type="pct"/>
            <w:vMerge w:val="restart"/>
            <w:vAlign w:val="center"/>
          </w:tcPr>
          <w:p w14:paraId="0F1DAE4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上张村林泉</w:t>
            </w:r>
          </w:p>
        </w:tc>
        <w:tc>
          <w:tcPr>
            <w:tcW w:w="608" w:type="pct"/>
            <w:vMerge w:val="restart"/>
            <w:vAlign w:val="center"/>
          </w:tcPr>
          <w:p w14:paraId="021FD25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w:t>
            </w:r>
          </w:p>
          <w:p w14:paraId="62AD5CF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第一排1</w:t>
            </w:r>
            <w:r>
              <w:rPr>
                <w:color w:val="000000" w:themeColor="text1"/>
                <w:sz w:val="18"/>
                <w:szCs w:val="18"/>
                <w14:textFill>
                  <w14:solidFill>
                    <w14:schemeClr w14:val="tx1"/>
                  </w14:solidFill>
                </w14:textFill>
              </w:rPr>
              <w:t>F</w:t>
            </w:r>
          </w:p>
        </w:tc>
        <w:tc>
          <w:tcPr>
            <w:tcW w:w="253" w:type="pct"/>
            <w:vMerge w:val="restart"/>
            <w:vAlign w:val="center"/>
          </w:tcPr>
          <w:p w14:paraId="40269FD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0</w:t>
            </w:r>
          </w:p>
        </w:tc>
        <w:tc>
          <w:tcPr>
            <w:tcW w:w="202" w:type="pct"/>
            <w:vMerge w:val="restart"/>
            <w:vAlign w:val="center"/>
          </w:tcPr>
          <w:p w14:paraId="36E45F6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3</w:t>
            </w:r>
          </w:p>
        </w:tc>
        <w:tc>
          <w:tcPr>
            <w:tcW w:w="203" w:type="pct"/>
            <w:vMerge w:val="restart"/>
            <w:vAlign w:val="center"/>
          </w:tcPr>
          <w:p w14:paraId="2490C73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w:t>
            </w:r>
          </w:p>
        </w:tc>
        <w:tc>
          <w:tcPr>
            <w:tcW w:w="208" w:type="pct"/>
            <w:vMerge w:val="restart"/>
            <w:vAlign w:val="center"/>
          </w:tcPr>
          <w:p w14:paraId="5BC592A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4a类</w:t>
            </w:r>
          </w:p>
        </w:tc>
        <w:tc>
          <w:tcPr>
            <w:tcW w:w="241" w:type="pct"/>
            <w:vAlign w:val="center"/>
          </w:tcPr>
          <w:p w14:paraId="4607827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63F8D4B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5815D71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w:t>
            </w:r>
          </w:p>
        </w:tc>
        <w:tc>
          <w:tcPr>
            <w:tcW w:w="241" w:type="pct"/>
            <w:vAlign w:val="center"/>
          </w:tcPr>
          <w:p w14:paraId="67C5DEC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w:t>
            </w:r>
          </w:p>
        </w:tc>
        <w:tc>
          <w:tcPr>
            <w:tcW w:w="194" w:type="pct"/>
            <w:vAlign w:val="center"/>
          </w:tcPr>
          <w:p w14:paraId="4B591FD0">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53.3</w:t>
            </w:r>
          </w:p>
        </w:tc>
        <w:tc>
          <w:tcPr>
            <w:tcW w:w="184" w:type="pct"/>
            <w:vAlign w:val="center"/>
          </w:tcPr>
          <w:p w14:paraId="759CE05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54.7</w:t>
            </w:r>
          </w:p>
        </w:tc>
        <w:tc>
          <w:tcPr>
            <w:tcW w:w="236" w:type="pct"/>
            <w:vAlign w:val="center"/>
          </w:tcPr>
          <w:p w14:paraId="090A037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5.7 </w:t>
            </w:r>
          </w:p>
        </w:tc>
        <w:tc>
          <w:tcPr>
            <w:tcW w:w="193" w:type="pct"/>
            <w:vAlign w:val="top"/>
          </w:tcPr>
          <w:p w14:paraId="491D37E0">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1448FAE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57.4</w:t>
            </w:r>
          </w:p>
        </w:tc>
        <w:tc>
          <w:tcPr>
            <w:tcW w:w="169" w:type="pct"/>
            <w:vAlign w:val="center"/>
          </w:tcPr>
          <w:p w14:paraId="3702CAA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58.0</w:t>
            </w:r>
          </w:p>
        </w:tc>
        <w:tc>
          <w:tcPr>
            <w:tcW w:w="218" w:type="pct"/>
            <w:vAlign w:val="center"/>
          </w:tcPr>
          <w:p w14:paraId="18987F36">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9.0 </w:t>
            </w:r>
          </w:p>
        </w:tc>
        <w:tc>
          <w:tcPr>
            <w:tcW w:w="188" w:type="pct"/>
            <w:vAlign w:val="top"/>
          </w:tcPr>
          <w:p w14:paraId="191DBAC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45D093C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57.7</w:t>
            </w:r>
          </w:p>
        </w:tc>
        <w:tc>
          <w:tcPr>
            <w:tcW w:w="164" w:type="pct"/>
            <w:vAlign w:val="center"/>
          </w:tcPr>
          <w:p w14:paraId="0EB5678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58.2</w:t>
            </w:r>
          </w:p>
        </w:tc>
        <w:tc>
          <w:tcPr>
            <w:tcW w:w="232" w:type="pct"/>
            <w:vAlign w:val="center"/>
          </w:tcPr>
          <w:p w14:paraId="2A571E4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9.2 </w:t>
            </w:r>
          </w:p>
        </w:tc>
        <w:tc>
          <w:tcPr>
            <w:tcW w:w="152" w:type="pct"/>
            <w:vAlign w:val="top"/>
          </w:tcPr>
          <w:p w14:paraId="7BDED8D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DA3C0D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59AC155D">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119F5BE2">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7C14B41C">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7238B082">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3D42CF18">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0595B1F5">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6FCC862">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335059C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28FEE7B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0A3A5AE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241" w:type="pct"/>
            <w:vAlign w:val="center"/>
          </w:tcPr>
          <w:p w14:paraId="1924F97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194" w:type="pct"/>
            <w:vAlign w:val="center"/>
          </w:tcPr>
          <w:p w14:paraId="02F0918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45.7</w:t>
            </w:r>
          </w:p>
        </w:tc>
        <w:tc>
          <w:tcPr>
            <w:tcW w:w="184" w:type="pct"/>
            <w:vAlign w:val="center"/>
          </w:tcPr>
          <w:p w14:paraId="6F9D31A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47.3</w:t>
            </w:r>
          </w:p>
        </w:tc>
        <w:tc>
          <w:tcPr>
            <w:tcW w:w="236" w:type="pct"/>
            <w:vAlign w:val="center"/>
          </w:tcPr>
          <w:p w14:paraId="7C3CF5E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5.3 </w:t>
            </w:r>
          </w:p>
        </w:tc>
        <w:tc>
          <w:tcPr>
            <w:tcW w:w="193" w:type="pct"/>
            <w:vAlign w:val="top"/>
          </w:tcPr>
          <w:p w14:paraId="75D25F8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266E7446">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46.2</w:t>
            </w:r>
          </w:p>
        </w:tc>
        <w:tc>
          <w:tcPr>
            <w:tcW w:w="169" w:type="pct"/>
            <w:vAlign w:val="center"/>
          </w:tcPr>
          <w:p w14:paraId="3359AFA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47.6</w:t>
            </w:r>
          </w:p>
        </w:tc>
        <w:tc>
          <w:tcPr>
            <w:tcW w:w="218" w:type="pct"/>
            <w:vAlign w:val="center"/>
          </w:tcPr>
          <w:p w14:paraId="7ED7CEB2">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5.6 </w:t>
            </w:r>
          </w:p>
        </w:tc>
        <w:tc>
          <w:tcPr>
            <w:tcW w:w="188" w:type="pct"/>
            <w:vAlign w:val="top"/>
          </w:tcPr>
          <w:p w14:paraId="2B42DD7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77C9141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46.4</w:t>
            </w:r>
          </w:p>
        </w:tc>
        <w:tc>
          <w:tcPr>
            <w:tcW w:w="164" w:type="pct"/>
            <w:vAlign w:val="center"/>
          </w:tcPr>
          <w:p w14:paraId="5EEBE5C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47.8</w:t>
            </w:r>
          </w:p>
        </w:tc>
        <w:tc>
          <w:tcPr>
            <w:tcW w:w="232" w:type="pct"/>
            <w:vAlign w:val="center"/>
          </w:tcPr>
          <w:p w14:paraId="12D1C2F0">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5.8 </w:t>
            </w:r>
          </w:p>
        </w:tc>
        <w:tc>
          <w:tcPr>
            <w:tcW w:w="152" w:type="pct"/>
            <w:vAlign w:val="top"/>
          </w:tcPr>
          <w:p w14:paraId="327EB6F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7E7447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9A8540A">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1AD0CB56">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29C3B58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w:t>
            </w:r>
          </w:p>
          <w:p w14:paraId="368DF31C">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第一排</w:t>
            </w:r>
            <w:r>
              <w:rPr>
                <w:color w:val="000000" w:themeColor="text1"/>
                <w:sz w:val="18"/>
                <w:szCs w:val="18"/>
                <w14:textFill>
                  <w14:solidFill>
                    <w14:schemeClr w14:val="tx1"/>
                  </w14:solidFill>
                </w14:textFill>
              </w:rPr>
              <w:t>3F</w:t>
            </w:r>
          </w:p>
        </w:tc>
        <w:tc>
          <w:tcPr>
            <w:tcW w:w="253" w:type="pct"/>
            <w:vMerge w:val="continue"/>
            <w:vAlign w:val="center"/>
          </w:tcPr>
          <w:p w14:paraId="273F71EB">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724C3819">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w:t>
            </w:r>
          </w:p>
        </w:tc>
        <w:tc>
          <w:tcPr>
            <w:tcW w:w="203" w:type="pct"/>
            <w:vMerge w:val="continue"/>
            <w:vAlign w:val="center"/>
          </w:tcPr>
          <w:p w14:paraId="44A0DAF4">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1ABC8093">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5047830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368FB44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35C2712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w:t>
            </w:r>
          </w:p>
        </w:tc>
        <w:tc>
          <w:tcPr>
            <w:tcW w:w="241" w:type="pct"/>
            <w:vAlign w:val="center"/>
          </w:tcPr>
          <w:p w14:paraId="0B80B1D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w:t>
            </w:r>
          </w:p>
        </w:tc>
        <w:tc>
          <w:tcPr>
            <w:tcW w:w="194" w:type="pct"/>
            <w:vAlign w:val="center"/>
          </w:tcPr>
          <w:p w14:paraId="3611C66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53.9</w:t>
            </w:r>
          </w:p>
        </w:tc>
        <w:tc>
          <w:tcPr>
            <w:tcW w:w="184" w:type="pct"/>
            <w:vAlign w:val="center"/>
          </w:tcPr>
          <w:p w14:paraId="4675EE3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55.1</w:t>
            </w:r>
          </w:p>
        </w:tc>
        <w:tc>
          <w:tcPr>
            <w:tcW w:w="236" w:type="pct"/>
            <w:vAlign w:val="center"/>
          </w:tcPr>
          <w:p w14:paraId="391D258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6.1 </w:t>
            </w:r>
          </w:p>
        </w:tc>
        <w:tc>
          <w:tcPr>
            <w:tcW w:w="193" w:type="pct"/>
            <w:vAlign w:val="top"/>
          </w:tcPr>
          <w:p w14:paraId="68CE94D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795035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58.0</w:t>
            </w:r>
          </w:p>
        </w:tc>
        <w:tc>
          <w:tcPr>
            <w:tcW w:w="169" w:type="pct"/>
            <w:vAlign w:val="center"/>
          </w:tcPr>
          <w:p w14:paraId="7712132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58.5</w:t>
            </w:r>
          </w:p>
        </w:tc>
        <w:tc>
          <w:tcPr>
            <w:tcW w:w="218" w:type="pct"/>
            <w:vAlign w:val="center"/>
          </w:tcPr>
          <w:p w14:paraId="444EBDB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9.5 </w:t>
            </w:r>
          </w:p>
        </w:tc>
        <w:tc>
          <w:tcPr>
            <w:tcW w:w="188" w:type="pct"/>
            <w:vAlign w:val="top"/>
          </w:tcPr>
          <w:p w14:paraId="101D4BC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1B088D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58.3</w:t>
            </w:r>
          </w:p>
        </w:tc>
        <w:tc>
          <w:tcPr>
            <w:tcW w:w="164" w:type="pct"/>
            <w:vAlign w:val="center"/>
          </w:tcPr>
          <w:p w14:paraId="2CB2D68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58.8</w:t>
            </w:r>
          </w:p>
        </w:tc>
        <w:tc>
          <w:tcPr>
            <w:tcW w:w="232" w:type="pct"/>
            <w:vAlign w:val="center"/>
          </w:tcPr>
          <w:p w14:paraId="312137F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9.8 </w:t>
            </w:r>
          </w:p>
        </w:tc>
        <w:tc>
          <w:tcPr>
            <w:tcW w:w="152" w:type="pct"/>
            <w:vAlign w:val="top"/>
          </w:tcPr>
          <w:p w14:paraId="33D6C59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FA7A4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0A2DBF22">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55B60C39">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3753B262">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0BEBBA12">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38CF8AAA">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138F20F2">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50840B9">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5CE7EF7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02B81C8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3EB2520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241" w:type="pct"/>
            <w:vAlign w:val="center"/>
          </w:tcPr>
          <w:p w14:paraId="551FA95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194" w:type="pct"/>
            <w:vAlign w:val="center"/>
          </w:tcPr>
          <w:p w14:paraId="2DF8C87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46.3</w:t>
            </w:r>
          </w:p>
        </w:tc>
        <w:tc>
          <w:tcPr>
            <w:tcW w:w="184" w:type="pct"/>
            <w:vAlign w:val="center"/>
          </w:tcPr>
          <w:p w14:paraId="245DE6D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47.7</w:t>
            </w:r>
          </w:p>
        </w:tc>
        <w:tc>
          <w:tcPr>
            <w:tcW w:w="236" w:type="pct"/>
            <w:vAlign w:val="center"/>
          </w:tcPr>
          <w:p w14:paraId="25B39EC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5.7 </w:t>
            </w:r>
          </w:p>
        </w:tc>
        <w:tc>
          <w:tcPr>
            <w:tcW w:w="193" w:type="pct"/>
            <w:vAlign w:val="top"/>
          </w:tcPr>
          <w:p w14:paraId="7EA6F41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1E0B5D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46.8</w:t>
            </w:r>
          </w:p>
        </w:tc>
        <w:tc>
          <w:tcPr>
            <w:tcW w:w="169" w:type="pct"/>
            <w:vAlign w:val="center"/>
          </w:tcPr>
          <w:p w14:paraId="1F6E19D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48.0</w:t>
            </w:r>
          </w:p>
        </w:tc>
        <w:tc>
          <w:tcPr>
            <w:tcW w:w="218" w:type="pct"/>
            <w:vAlign w:val="center"/>
          </w:tcPr>
          <w:p w14:paraId="725A425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6.0 </w:t>
            </w:r>
          </w:p>
        </w:tc>
        <w:tc>
          <w:tcPr>
            <w:tcW w:w="188" w:type="pct"/>
            <w:vAlign w:val="top"/>
          </w:tcPr>
          <w:p w14:paraId="4DA0BBE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55AA79D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47.0</w:t>
            </w:r>
          </w:p>
        </w:tc>
        <w:tc>
          <w:tcPr>
            <w:tcW w:w="164" w:type="pct"/>
            <w:vAlign w:val="center"/>
          </w:tcPr>
          <w:p w14:paraId="7A51B1F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48.2</w:t>
            </w:r>
          </w:p>
        </w:tc>
        <w:tc>
          <w:tcPr>
            <w:tcW w:w="232" w:type="pct"/>
            <w:vAlign w:val="center"/>
          </w:tcPr>
          <w:p w14:paraId="2580C8C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6.2 </w:t>
            </w:r>
          </w:p>
        </w:tc>
        <w:tc>
          <w:tcPr>
            <w:tcW w:w="152" w:type="pct"/>
            <w:vAlign w:val="top"/>
          </w:tcPr>
          <w:p w14:paraId="5F37E51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B70D5A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27B817A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F5D274C">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1F312D6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后排</w:t>
            </w:r>
          </w:p>
        </w:tc>
        <w:tc>
          <w:tcPr>
            <w:tcW w:w="253" w:type="pct"/>
            <w:vMerge w:val="restart"/>
            <w:vAlign w:val="center"/>
          </w:tcPr>
          <w:p w14:paraId="6308CB4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r>
              <w:rPr>
                <w:color w:val="000000" w:themeColor="text1"/>
                <w:sz w:val="18"/>
                <w:szCs w:val="18"/>
                <w14:textFill>
                  <w14:solidFill>
                    <w14:schemeClr w14:val="tx1"/>
                  </w14:solidFill>
                </w14:textFill>
              </w:rPr>
              <w:t>3</w:t>
            </w:r>
          </w:p>
        </w:tc>
        <w:tc>
          <w:tcPr>
            <w:tcW w:w="202" w:type="pct"/>
            <w:vMerge w:val="restart"/>
            <w:vAlign w:val="center"/>
          </w:tcPr>
          <w:p w14:paraId="3C9AC54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4</w:t>
            </w:r>
          </w:p>
        </w:tc>
        <w:tc>
          <w:tcPr>
            <w:tcW w:w="203" w:type="pct"/>
            <w:vMerge w:val="restart"/>
            <w:vAlign w:val="center"/>
          </w:tcPr>
          <w:p w14:paraId="11BED387">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w:t>
            </w:r>
          </w:p>
        </w:tc>
        <w:tc>
          <w:tcPr>
            <w:tcW w:w="208" w:type="pct"/>
            <w:vMerge w:val="restart"/>
            <w:vAlign w:val="center"/>
          </w:tcPr>
          <w:p w14:paraId="77802B45">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2187533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60180BE0">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2E242F0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w:t>
            </w:r>
          </w:p>
        </w:tc>
        <w:tc>
          <w:tcPr>
            <w:tcW w:w="241" w:type="pct"/>
            <w:vAlign w:val="center"/>
          </w:tcPr>
          <w:p w14:paraId="3BEC3AE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w:t>
            </w:r>
          </w:p>
        </w:tc>
        <w:tc>
          <w:tcPr>
            <w:tcW w:w="194" w:type="pct"/>
            <w:vAlign w:val="center"/>
          </w:tcPr>
          <w:p w14:paraId="27D1FAC2">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50.3</w:t>
            </w:r>
          </w:p>
        </w:tc>
        <w:tc>
          <w:tcPr>
            <w:tcW w:w="184" w:type="pct"/>
            <w:vAlign w:val="center"/>
          </w:tcPr>
          <w:p w14:paraId="3791578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52.7</w:t>
            </w:r>
          </w:p>
        </w:tc>
        <w:tc>
          <w:tcPr>
            <w:tcW w:w="236" w:type="pct"/>
            <w:vAlign w:val="center"/>
          </w:tcPr>
          <w:p w14:paraId="07E6EB6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3.7 </w:t>
            </w:r>
          </w:p>
        </w:tc>
        <w:tc>
          <w:tcPr>
            <w:tcW w:w="193" w:type="pct"/>
            <w:vAlign w:val="top"/>
          </w:tcPr>
          <w:p w14:paraId="65FBFC0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0388A6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55.4</w:t>
            </w:r>
          </w:p>
        </w:tc>
        <w:tc>
          <w:tcPr>
            <w:tcW w:w="169" w:type="pct"/>
            <w:vAlign w:val="center"/>
          </w:tcPr>
          <w:p w14:paraId="72C554E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56.3</w:t>
            </w:r>
          </w:p>
        </w:tc>
        <w:tc>
          <w:tcPr>
            <w:tcW w:w="218" w:type="pct"/>
            <w:vAlign w:val="center"/>
          </w:tcPr>
          <w:p w14:paraId="450B00D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7.3 </w:t>
            </w:r>
          </w:p>
        </w:tc>
        <w:tc>
          <w:tcPr>
            <w:tcW w:w="188" w:type="pct"/>
            <w:vAlign w:val="top"/>
          </w:tcPr>
          <w:p w14:paraId="773BFDE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B105CE8">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55.6</w:t>
            </w:r>
          </w:p>
        </w:tc>
        <w:tc>
          <w:tcPr>
            <w:tcW w:w="164" w:type="pct"/>
            <w:vAlign w:val="center"/>
          </w:tcPr>
          <w:p w14:paraId="6D83100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56.5</w:t>
            </w:r>
          </w:p>
        </w:tc>
        <w:tc>
          <w:tcPr>
            <w:tcW w:w="232" w:type="pct"/>
            <w:vAlign w:val="center"/>
          </w:tcPr>
          <w:p w14:paraId="5283639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7.5 </w:t>
            </w:r>
          </w:p>
        </w:tc>
        <w:tc>
          <w:tcPr>
            <w:tcW w:w="152" w:type="pct"/>
            <w:vAlign w:val="top"/>
          </w:tcPr>
          <w:p w14:paraId="003D137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4BA507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05631F3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6B63676B">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7E948464">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4DDA2345">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1C2D81F2">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B7A1FE8">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3D83BE72">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0F8E9BE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31E3335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787C963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241" w:type="pct"/>
            <w:vAlign w:val="center"/>
          </w:tcPr>
          <w:p w14:paraId="09C3510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w:t>
            </w:r>
          </w:p>
        </w:tc>
        <w:tc>
          <w:tcPr>
            <w:tcW w:w="194" w:type="pct"/>
            <w:vAlign w:val="center"/>
          </w:tcPr>
          <w:p w14:paraId="5181AA1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42.7</w:t>
            </w:r>
          </w:p>
        </w:tc>
        <w:tc>
          <w:tcPr>
            <w:tcW w:w="184" w:type="pct"/>
            <w:vAlign w:val="center"/>
          </w:tcPr>
          <w:p w14:paraId="2425D81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45.4</w:t>
            </w:r>
          </w:p>
        </w:tc>
        <w:tc>
          <w:tcPr>
            <w:tcW w:w="236" w:type="pct"/>
            <w:vAlign w:val="center"/>
          </w:tcPr>
          <w:p w14:paraId="6AD1A81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3.4 </w:t>
            </w:r>
          </w:p>
        </w:tc>
        <w:tc>
          <w:tcPr>
            <w:tcW w:w="193" w:type="pct"/>
            <w:vAlign w:val="top"/>
          </w:tcPr>
          <w:p w14:paraId="2CC9B34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8DF5312">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43.1</w:t>
            </w:r>
          </w:p>
        </w:tc>
        <w:tc>
          <w:tcPr>
            <w:tcW w:w="169" w:type="pct"/>
            <w:vAlign w:val="center"/>
          </w:tcPr>
          <w:p w14:paraId="52F772F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45.6</w:t>
            </w:r>
          </w:p>
        </w:tc>
        <w:tc>
          <w:tcPr>
            <w:tcW w:w="218" w:type="pct"/>
            <w:vAlign w:val="center"/>
          </w:tcPr>
          <w:p w14:paraId="2CB7DB5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3.6 </w:t>
            </w:r>
          </w:p>
        </w:tc>
        <w:tc>
          <w:tcPr>
            <w:tcW w:w="188" w:type="pct"/>
            <w:vAlign w:val="top"/>
          </w:tcPr>
          <w:p w14:paraId="11E475E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139FEDF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43.4</w:t>
            </w:r>
          </w:p>
        </w:tc>
        <w:tc>
          <w:tcPr>
            <w:tcW w:w="164" w:type="pct"/>
            <w:vAlign w:val="center"/>
          </w:tcPr>
          <w:p w14:paraId="3EB37DE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45.8</w:t>
            </w:r>
          </w:p>
        </w:tc>
        <w:tc>
          <w:tcPr>
            <w:tcW w:w="232" w:type="pct"/>
            <w:vAlign w:val="center"/>
          </w:tcPr>
          <w:p w14:paraId="056B82D0">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3.8 </w:t>
            </w:r>
          </w:p>
        </w:tc>
        <w:tc>
          <w:tcPr>
            <w:tcW w:w="152" w:type="pct"/>
            <w:vAlign w:val="top"/>
          </w:tcPr>
          <w:p w14:paraId="521704B0">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7E50B6C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6BD9F1E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152" w:type="pct"/>
            <w:vMerge w:val="restart"/>
            <w:vAlign w:val="center"/>
          </w:tcPr>
          <w:p w14:paraId="1C26E64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上张村王房</w:t>
            </w:r>
          </w:p>
        </w:tc>
        <w:tc>
          <w:tcPr>
            <w:tcW w:w="608" w:type="pct"/>
            <w:vMerge w:val="restart"/>
            <w:vAlign w:val="center"/>
          </w:tcPr>
          <w:p w14:paraId="27DC629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临高铁6</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m范围内（高铁4b类）1</w:t>
            </w:r>
            <w:r>
              <w:rPr>
                <w:color w:val="000000" w:themeColor="text1"/>
                <w:sz w:val="18"/>
                <w:szCs w:val="18"/>
                <w14:textFill>
                  <w14:solidFill>
                    <w14:schemeClr w14:val="tx1"/>
                  </w14:solidFill>
                </w14:textFill>
              </w:rPr>
              <w:t>F</w:t>
            </w:r>
          </w:p>
        </w:tc>
        <w:tc>
          <w:tcPr>
            <w:tcW w:w="253" w:type="pct"/>
            <w:vMerge w:val="restart"/>
            <w:vAlign w:val="center"/>
          </w:tcPr>
          <w:p w14:paraId="7294835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9</w:t>
            </w:r>
          </w:p>
        </w:tc>
        <w:tc>
          <w:tcPr>
            <w:tcW w:w="202" w:type="pct"/>
            <w:vMerge w:val="restart"/>
            <w:vAlign w:val="center"/>
          </w:tcPr>
          <w:p w14:paraId="2E840A7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w:t>
            </w:r>
          </w:p>
        </w:tc>
        <w:tc>
          <w:tcPr>
            <w:tcW w:w="203" w:type="pct"/>
            <w:vMerge w:val="restart"/>
            <w:vAlign w:val="center"/>
          </w:tcPr>
          <w:p w14:paraId="47C254B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.3~1.2</w:t>
            </w:r>
          </w:p>
        </w:tc>
        <w:tc>
          <w:tcPr>
            <w:tcW w:w="208" w:type="pct"/>
            <w:vMerge w:val="restart"/>
            <w:vAlign w:val="center"/>
          </w:tcPr>
          <w:p w14:paraId="5E2494E7">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b类</w:t>
            </w:r>
          </w:p>
        </w:tc>
        <w:tc>
          <w:tcPr>
            <w:tcW w:w="241" w:type="pct"/>
            <w:vAlign w:val="center"/>
          </w:tcPr>
          <w:p w14:paraId="5D80449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6EF8789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0A5FFCF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w:t>
            </w:r>
          </w:p>
        </w:tc>
        <w:tc>
          <w:tcPr>
            <w:tcW w:w="241" w:type="pct"/>
            <w:vAlign w:val="center"/>
          </w:tcPr>
          <w:p w14:paraId="73965E3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w:t>
            </w:r>
          </w:p>
        </w:tc>
        <w:tc>
          <w:tcPr>
            <w:tcW w:w="194" w:type="pct"/>
            <w:vAlign w:val="center"/>
          </w:tcPr>
          <w:p w14:paraId="37073B1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52.0</w:t>
            </w:r>
          </w:p>
        </w:tc>
        <w:tc>
          <w:tcPr>
            <w:tcW w:w="184" w:type="pct"/>
            <w:vAlign w:val="center"/>
          </w:tcPr>
          <w:p w14:paraId="4214837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61.5</w:t>
            </w:r>
          </w:p>
        </w:tc>
        <w:tc>
          <w:tcPr>
            <w:tcW w:w="236" w:type="pct"/>
            <w:vAlign w:val="center"/>
          </w:tcPr>
          <w:p w14:paraId="6A6273B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0.5 </w:t>
            </w:r>
          </w:p>
        </w:tc>
        <w:tc>
          <w:tcPr>
            <w:tcW w:w="193" w:type="pct"/>
            <w:vAlign w:val="top"/>
          </w:tcPr>
          <w:p w14:paraId="52A31E2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47C9544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56.6</w:t>
            </w:r>
          </w:p>
        </w:tc>
        <w:tc>
          <w:tcPr>
            <w:tcW w:w="169" w:type="pct"/>
            <w:vAlign w:val="center"/>
          </w:tcPr>
          <w:p w14:paraId="102AB04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62.3</w:t>
            </w:r>
          </w:p>
        </w:tc>
        <w:tc>
          <w:tcPr>
            <w:tcW w:w="218" w:type="pct"/>
            <w:vAlign w:val="center"/>
          </w:tcPr>
          <w:p w14:paraId="6C442CE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 </w:t>
            </w:r>
          </w:p>
        </w:tc>
        <w:tc>
          <w:tcPr>
            <w:tcW w:w="188" w:type="pct"/>
            <w:vAlign w:val="top"/>
          </w:tcPr>
          <w:p w14:paraId="28C55A0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A2BF6A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56.8</w:t>
            </w:r>
          </w:p>
        </w:tc>
        <w:tc>
          <w:tcPr>
            <w:tcW w:w="164" w:type="pct"/>
            <w:vAlign w:val="center"/>
          </w:tcPr>
          <w:p w14:paraId="6062237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62.4</w:t>
            </w:r>
          </w:p>
        </w:tc>
        <w:tc>
          <w:tcPr>
            <w:tcW w:w="232" w:type="pct"/>
            <w:vAlign w:val="center"/>
          </w:tcPr>
          <w:p w14:paraId="05C5C74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 </w:t>
            </w:r>
          </w:p>
        </w:tc>
        <w:tc>
          <w:tcPr>
            <w:tcW w:w="152" w:type="pct"/>
            <w:vAlign w:val="top"/>
          </w:tcPr>
          <w:p w14:paraId="3B121D4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3858E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05FDDB7F">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599BEB2E">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61CE82B0">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31A95C78">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5B4DABF8">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075A6238">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03612AA">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2CCCEC6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667A8CA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040248A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241" w:type="pct"/>
            <w:vAlign w:val="center"/>
          </w:tcPr>
          <w:p w14:paraId="142982C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94" w:type="pct"/>
            <w:vAlign w:val="center"/>
          </w:tcPr>
          <w:p w14:paraId="21998FF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44.4</w:t>
            </w:r>
          </w:p>
        </w:tc>
        <w:tc>
          <w:tcPr>
            <w:tcW w:w="184" w:type="pct"/>
            <w:vAlign w:val="center"/>
          </w:tcPr>
          <w:p w14:paraId="5819108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47.2</w:t>
            </w:r>
          </w:p>
        </w:tc>
        <w:tc>
          <w:tcPr>
            <w:tcW w:w="236" w:type="pct"/>
            <w:vAlign w:val="center"/>
          </w:tcPr>
          <w:p w14:paraId="7CC7868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3.2 </w:t>
            </w:r>
          </w:p>
        </w:tc>
        <w:tc>
          <w:tcPr>
            <w:tcW w:w="193" w:type="pct"/>
            <w:vAlign w:val="top"/>
          </w:tcPr>
          <w:p w14:paraId="638D566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625723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44.9</w:t>
            </w:r>
          </w:p>
        </w:tc>
        <w:tc>
          <w:tcPr>
            <w:tcW w:w="169" w:type="pct"/>
            <w:vAlign w:val="center"/>
          </w:tcPr>
          <w:p w14:paraId="7DD231B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47.5</w:t>
            </w:r>
          </w:p>
        </w:tc>
        <w:tc>
          <w:tcPr>
            <w:tcW w:w="218" w:type="pct"/>
            <w:vAlign w:val="center"/>
          </w:tcPr>
          <w:p w14:paraId="425A849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3.5 </w:t>
            </w:r>
          </w:p>
        </w:tc>
        <w:tc>
          <w:tcPr>
            <w:tcW w:w="188" w:type="pct"/>
            <w:vAlign w:val="top"/>
          </w:tcPr>
          <w:p w14:paraId="136D872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41EC70B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45.1</w:t>
            </w:r>
          </w:p>
        </w:tc>
        <w:tc>
          <w:tcPr>
            <w:tcW w:w="164" w:type="pct"/>
            <w:vAlign w:val="center"/>
          </w:tcPr>
          <w:p w14:paraId="630D7DD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47.6</w:t>
            </w:r>
          </w:p>
        </w:tc>
        <w:tc>
          <w:tcPr>
            <w:tcW w:w="232" w:type="pct"/>
            <w:vAlign w:val="center"/>
          </w:tcPr>
          <w:p w14:paraId="0AB0783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3.6 </w:t>
            </w:r>
          </w:p>
        </w:tc>
        <w:tc>
          <w:tcPr>
            <w:tcW w:w="152" w:type="pct"/>
            <w:vAlign w:val="top"/>
          </w:tcPr>
          <w:p w14:paraId="410834B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250A370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1D6E8FB4">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20F5944A">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3692EFB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临高铁6</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m范围内（高铁4b类）</w:t>
            </w:r>
            <w:r>
              <w:rPr>
                <w:color w:val="000000" w:themeColor="text1"/>
                <w:sz w:val="18"/>
                <w:szCs w:val="18"/>
                <w14:textFill>
                  <w14:solidFill>
                    <w14:schemeClr w14:val="tx1"/>
                  </w14:solidFill>
                </w14:textFill>
              </w:rPr>
              <w:t>3F</w:t>
            </w:r>
          </w:p>
        </w:tc>
        <w:tc>
          <w:tcPr>
            <w:tcW w:w="253" w:type="pct"/>
            <w:vMerge w:val="continue"/>
            <w:vAlign w:val="center"/>
          </w:tcPr>
          <w:p w14:paraId="09CBDD44">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12A5472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7</w:t>
            </w:r>
          </w:p>
        </w:tc>
        <w:tc>
          <w:tcPr>
            <w:tcW w:w="203" w:type="pct"/>
            <w:vMerge w:val="continue"/>
            <w:vAlign w:val="center"/>
          </w:tcPr>
          <w:p w14:paraId="4F4D1A8E">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7511C84">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462A3D2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6467382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3F5F323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241" w:type="pct"/>
            <w:vAlign w:val="center"/>
          </w:tcPr>
          <w:p w14:paraId="42EE7F6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w:t>
            </w:r>
          </w:p>
        </w:tc>
        <w:tc>
          <w:tcPr>
            <w:tcW w:w="194" w:type="pct"/>
            <w:vAlign w:val="center"/>
          </w:tcPr>
          <w:p w14:paraId="75B845B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52.0</w:t>
            </w:r>
          </w:p>
        </w:tc>
        <w:tc>
          <w:tcPr>
            <w:tcW w:w="184" w:type="pct"/>
            <w:vAlign w:val="center"/>
          </w:tcPr>
          <w:p w14:paraId="3022615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62.4</w:t>
            </w:r>
          </w:p>
        </w:tc>
        <w:tc>
          <w:tcPr>
            <w:tcW w:w="236" w:type="pct"/>
            <w:vAlign w:val="center"/>
          </w:tcPr>
          <w:p w14:paraId="7D7C8BC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0.4 </w:t>
            </w:r>
          </w:p>
        </w:tc>
        <w:tc>
          <w:tcPr>
            <w:tcW w:w="193" w:type="pct"/>
            <w:vAlign w:val="top"/>
          </w:tcPr>
          <w:p w14:paraId="7787A5E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2692FD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56.6</w:t>
            </w:r>
          </w:p>
        </w:tc>
        <w:tc>
          <w:tcPr>
            <w:tcW w:w="169" w:type="pct"/>
            <w:vAlign w:val="center"/>
          </w:tcPr>
          <w:p w14:paraId="20373B2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63.1</w:t>
            </w:r>
          </w:p>
        </w:tc>
        <w:tc>
          <w:tcPr>
            <w:tcW w:w="218" w:type="pct"/>
            <w:vAlign w:val="center"/>
          </w:tcPr>
          <w:p w14:paraId="46DC48C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 </w:t>
            </w:r>
          </w:p>
        </w:tc>
        <w:tc>
          <w:tcPr>
            <w:tcW w:w="188" w:type="pct"/>
            <w:vAlign w:val="top"/>
          </w:tcPr>
          <w:p w14:paraId="363E7E1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2100760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56.8</w:t>
            </w:r>
          </w:p>
        </w:tc>
        <w:tc>
          <w:tcPr>
            <w:tcW w:w="164" w:type="pct"/>
            <w:vAlign w:val="center"/>
          </w:tcPr>
          <w:p w14:paraId="33E016C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63.1</w:t>
            </w:r>
          </w:p>
        </w:tc>
        <w:tc>
          <w:tcPr>
            <w:tcW w:w="232" w:type="pct"/>
            <w:vAlign w:val="center"/>
          </w:tcPr>
          <w:p w14:paraId="42A398B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 </w:t>
            </w:r>
          </w:p>
        </w:tc>
        <w:tc>
          <w:tcPr>
            <w:tcW w:w="152" w:type="pct"/>
            <w:vAlign w:val="top"/>
          </w:tcPr>
          <w:p w14:paraId="539D1B1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683E5D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4BE332DE">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113D027B">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533096F8">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158A275E">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70FC6F93">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6228AA6D">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671F269F">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C1D8E9C">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6A7A387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7790E85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241" w:type="pct"/>
            <w:vAlign w:val="center"/>
          </w:tcPr>
          <w:p w14:paraId="2D66604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w:t>
            </w:r>
          </w:p>
        </w:tc>
        <w:tc>
          <w:tcPr>
            <w:tcW w:w="194" w:type="pct"/>
            <w:vAlign w:val="center"/>
          </w:tcPr>
          <w:p w14:paraId="3E98398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44.4</w:t>
            </w:r>
          </w:p>
        </w:tc>
        <w:tc>
          <w:tcPr>
            <w:tcW w:w="184" w:type="pct"/>
            <w:vAlign w:val="center"/>
          </w:tcPr>
          <w:p w14:paraId="2A62D96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47.7</w:t>
            </w:r>
          </w:p>
        </w:tc>
        <w:tc>
          <w:tcPr>
            <w:tcW w:w="236" w:type="pct"/>
            <w:vAlign w:val="center"/>
          </w:tcPr>
          <w:p w14:paraId="448A159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2.7 </w:t>
            </w:r>
          </w:p>
        </w:tc>
        <w:tc>
          <w:tcPr>
            <w:tcW w:w="193" w:type="pct"/>
            <w:vAlign w:val="top"/>
          </w:tcPr>
          <w:p w14:paraId="66FC57D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677838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44.9</w:t>
            </w:r>
          </w:p>
        </w:tc>
        <w:tc>
          <w:tcPr>
            <w:tcW w:w="169" w:type="pct"/>
            <w:vAlign w:val="center"/>
          </w:tcPr>
          <w:p w14:paraId="6330861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48.0</w:t>
            </w:r>
          </w:p>
        </w:tc>
        <w:tc>
          <w:tcPr>
            <w:tcW w:w="218" w:type="pct"/>
            <w:vAlign w:val="center"/>
          </w:tcPr>
          <w:p w14:paraId="1C0194F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3.0 </w:t>
            </w:r>
          </w:p>
        </w:tc>
        <w:tc>
          <w:tcPr>
            <w:tcW w:w="188" w:type="pct"/>
            <w:vAlign w:val="top"/>
          </w:tcPr>
          <w:p w14:paraId="593C5B9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42EF8F0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45.1</w:t>
            </w:r>
          </w:p>
        </w:tc>
        <w:tc>
          <w:tcPr>
            <w:tcW w:w="164" w:type="pct"/>
            <w:vAlign w:val="center"/>
          </w:tcPr>
          <w:p w14:paraId="6B1E1D1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48.1</w:t>
            </w:r>
          </w:p>
        </w:tc>
        <w:tc>
          <w:tcPr>
            <w:tcW w:w="232" w:type="pct"/>
            <w:vAlign w:val="center"/>
          </w:tcPr>
          <w:p w14:paraId="6D3CBC0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3.1 </w:t>
            </w:r>
          </w:p>
        </w:tc>
        <w:tc>
          <w:tcPr>
            <w:tcW w:w="152" w:type="pct"/>
            <w:vAlign w:val="top"/>
          </w:tcPr>
          <w:p w14:paraId="3906BE7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73B6929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66D1AE2">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15DF4D4E">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034FBFE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临拟建公路第一排（高铁6</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m外）1</w:t>
            </w:r>
            <w:r>
              <w:rPr>
                <w:color w:val="000000" w:themeColor="text1"/>
                <w:sz w:val="18"/>
                <w:szCs w:val="18"/>
                <w14:textFill>
                  <w14:solidFill>
                    <w14:schemeClr w14:val="tx1"/>
                  </w14:solidFill>
                </w14:textFill>
              </w:rPr>
              <w:t>F</w:t>
            </w:r>
          </w:p>
        </w:tc>
        <w:tc>
          <w:tcPr>
            <w:tcW w:w="253" w:type="pct"/>
            <w:vMerge w:val="restart"/>
            <w:vAlign w:val="center"/>
          </w:tcPr>
          <w:p w14:paraId="07D936E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4</w:t>
            </w:r>
          </w:p>
        </w:tc>
        <w:tc>
          <w:tcPr>
            <w:tcW w:w="202" w:type="pct"/>
            <w:vMerge w:val="restart"/>
            <w:vAlign w:val="center"/>
          </w:tcPr>
          <w:p w14:paraId="26F64261">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w:t>
            </w:r>
          </w:p>
        </w:tc>
        <w:tc>
          <w:tcPr>
            <w:tcW w:w="203" w:type="pct"/>
            <w:vMerge w:val="restart"/>
            <w:vAlign w:val="center"/>
          </w:tcPr>
          <w:p w14:paraId="61DFFB4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.3~1.2</w:t>
            </w:r>
          </w:p>
        </w:tc>
        <w:tc>
          <w:tcPr>
            <w:tcW w:w="208" w:type="pct"/>
            <w:vMerge w:val="restart"/>
            <w:vAlign w:val="center"/>
          </w:tcPr>
          <w:p w14:paraId="09330C13">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1F1CB08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3441B2E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27FD62E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241" w:type="pct"/>
            <w:vAlign w:val="center"/>
          </w:tcPr>
          <w:p w14:paraId="0B85E10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194" w:type="pct"/>
            <w:vAlign w:val="center"/>
          </w:tcPr>
          <w:p w14:paraId="3CDC1F4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64.9</w:t>
            </w:r>
          </w:p>
        </w:tc>
        <w:tc>
          <w:tcPr>
            <w:tcW w:w="184" w:type="pct"/>
            <w:vAlign w:val="center"/>
          </w:tcPr>
          <w:p w14:paraId="09819A5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65.7</w:t>
            </w:r>
          </w:p>
        </w:tc>
        <w:tc>
          <w:tcPr>
            <w:tcW w:w="236" w:type="pct"/>
            <w:vAlign w:val="center"/>
          </w:tcPr>
          <w:p w14:paraId="3811EAA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7.7 </w:t>
            </w:r>
          </w:p>
        </w:tc>
        <w:tc>
          <w:tcPr>
            <w:tcW w:w="193" w:type="pct"/>
            <w:vAlign w:val="center"/>
          </w:tcPr>
          <w:p w14:paraId="40C3C60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8E131D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66.7</w:t>
            </w:r>
          </w:p>
        </w:tc>
        <w:tc>
          <w:tcPr>
            <w:tcW w:w="169" w:type="pct"/>
            <w:vAlign w:val="center"/>
          </w:tcPr>
          <w:p w14:paraId="743D503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67.2</w:t>
            </w:r>
          </w:p>
        </w:tc>
        <w:tc>
          <w:tcPr>
            <w:tcW w:w="218" w:type="pct"/>
            <w:vAlign w:val="center"/>
          </w:tcPr>
          <w:p w14:paraId="50E7C38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9.2 </w:t>
            </w:r>
          </w:p>
        </w:tc>
        <w:tc>
          <w:tcPr>
            <w:tcW w:w="188" w:type="pct"/>
            <w:vAlign w:val="center"/>
          </w:tcPr>
          <w:p w14:paraId="183B81C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15857A0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67.0</w:t>
            </w:r>
          </w:p>
        </w:tc>
        <w:tc>
          <w:tcPr>
            <w:tcW w:w="164" w:type="pct"/>
            <w:vAlign w:val="center"/>
          </w:tcPr>
          <w:p w14:paraId="3B5EB2B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67.5</w:t>
            </w:r>
          </w:p>
        </w:tc>
        <w:tc>
          <w:tcPr>
            <w:tcW w:w="232" w:type="pct"/>
            <w:vAlign w:val="center"/>
          </w:tcPr>
          <w:p w14:paraId="1D3E22C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9.5 </w:t>
            </w:r>
          </w:p>
        </w:tc>
        <w:tc>
          <w:tcPr>
            <w:tcW w:w="152" w:type="pct"/>
            <w:vAlign w:val="center"/>
          </w:tcPr>
          <w:p w14:paraId="2B0503B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56951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94B4C0B">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5081F4D6">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75D56E29">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0EDA0522">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6C01F4E0">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2A097946">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5E1CB1FF">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6F2216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EA61FE1">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73B5E7A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241" w:type="pct"/>
            <w:vAlign w:val="center"/>
          </w:tcPr>
          <w:p w14:paraId="490F8F9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94" w:type="pct"/>
            <w:vAlign w:val="center"/>
          </w:tcPr>
          <w:p w14:paraId="7E89978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57.3</w:t>
            </w:r>
          </w:p>
        </w:tc>
        <w:tc>
          <w:tcPr>
            <w:tcW w:w="184" w:type="pct"/>
            <w:vAlign w:val="center"/>
          </w:tcPr>
          <w:p w14:paraId="581E765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57.5</w:t>
            </w:r>
          </w:p>
        </w:tc>
        <w:tc>
          <w:tcPr>
            <w:tcW w:w="236" w:type="pct"/>
            <w:vAlign w:val="center"/>
          </w:tcPr>
          <w:p w14:paraId="0EBAE5C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13.5 </w:t>
            </w:r>
          </w:p>
        </w:tc>
        <w:tc>
          <w:tcPr>
            <w:tcW w:w="193" w:type="pct"/>
            <w:vAlign w:val="center"/>
          </w:tcPr>
          <w:p w14:paraId="5EB6211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2.5 </w:t>
            </w:r>
          </w:p>
        </w:tc>
        <w:tc>
          <w:tcPr>
            <w:tcW w:w="146" w:type="pct"/>
            <w:vAlign w:val="center"/>
          </w:tcPr>
          <w:p w14:paraId="392CE60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57.7</w:t>
            </w:r>
          </w:p>
        </w:tc>
        <w:tc>
          <w:tcPr>
            <w:tcW w:w="169" w:type="pct"/>
            <w:vAlign w:val="center"/>
          </w:tcPr>
          <w:p w14:paraId="01FBACE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57.9</w:t>
            </w:r>
          </w:p>
        </w:tc>
        <w:tc>
          <w:tcPr>
            <w:tcW w:w="218" w:type="pct"/>
            <w:vAlign w:val="center"/>
          </w:tcPr>
          <w:p w14:paraId="39CAABC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13.9 </w:t>
            </w:r>
          </w:p>
        </w:tc>
        <w:tc>
          <w:tcPr>
            <w:tcW w:w="188" w:type="pct"/>
            <w:vAlign w:val="center"/>
          </w:tcPr>
          <w:p w14:paraId="7C28146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2.9 </w:t>
            </w:r>
          </w:p>
        </w:tc>
        <w:tc>
          <w:tcPr>
            <w:tcW w:w="182" w:type="pct"/>
            <w:vAlign w:val="center"/>
          </w:tcPr>
          <w:p w14:paraId="4FCC812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58.0</w:t>
            </w:r>
          </w:p>
        </w:tc>
        <w:tc>
          <w:tcPr>
            <w:tcW w:w="164" w:type="pct"/>
            <w:vAlign w:val="center"/>
          </w:tcPr>
          <w:p w14:paraId="3ADC81B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58.2</w:t>
            </w:r>
          </w:p>
        </w:tc>
        <w:tc>
          <w:tcPr>
            <w:tcW w:w="232" w:type="pct"/>
            <w:vAlign w:val="center"/>
          </w:tcPr>
          <w:p w14:paraId="4B698A3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14.2 </w:t>
            </w:r>
          </w:p>
        </w:tc>
        <w:tc>
          <w:tcPr>
            <w:tcW w:w="152" w:type="pct"/>
            <w:vAlign w:val="center"/>
          </w:tcPr>
          <w:p w14:paraId="26A5C68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3.2 </w:t>
            </w:r>
          </w:p>
        </w:tc>
      </w:tr>
      <w:tr w14:paraId="5F84C3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3EC134F3">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31EC603">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370FC2A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临拟建公路第一排（高铁6</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m外）</w:t>
            </w:r>
            <w:r>
              <w:rPr>
                <w:color w:val="000000" w:themeColor="text1"/>
                <w:sz w:val="18"/>
                <w:szCs w:val="18"/>
                <w14:textFill>
                  <w14:solidFill>
                    <w14:schemeClr w14:val="tx1"/>
                  </w14:solidFill>
                </w14:textFill>
              </w:rPr>
              <w:t>3F</w:t>
            </w:r>
          </w:p>
        </w:tc>
        <w:tc>
          <w:tcPr>
            <w:tcW w:w="253" w:type="pct"/>
            <w:vMerge w:val="continue"/>
            <w:vAlign w:val="center"/>
          </w:tcPr>
          <w:p w14:paraId="05D5430F">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1545DC2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6</w:t>
            </w:r>
          </w:p>
        </w:tc>
        <w:tc>
          <w:tcPr>
            <w:tcW w:w="203" w:type="pct"/>
            <w:vMerge w:val="continue"/>
            <w:vAlign w:val="center"/>
          </w:tcPr>
          <w:p w14:paraId="30C079BC">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1A330AB8">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787D7CD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5EF0C16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0D04B67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241" w:type="pct"/>
            <w:vAlign w:val="center"/>
          </w:tcPr>
          <w:p w14:paraId="7C0BEB0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194" w:type="pct"/>
            <w:vAlign w:val="center"/>
          </w:tcPr>
          <w:p w14:paraId="524CCA5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65.0</w:t>
            </w:r>
          </w:p>
        </w:tc>
        <w:tc>
          <w:tcPr>
            <w:tcW w:w="184" w:type="pct"/>
            <w:vAlign w:val="center"/>
          </w:tcPr>
          <w:p w14:paraId="00F2765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65.8</w:t>
            </w:r>
          </w:p>
        </w:tc>
        <w:tc>
          <w:tcPr>
            <w:tcW w:w="236" w:type="pct"/>
            <w:vAlign w:val="center"/>
          </w:tcPr>
          <w:p w14:paraId="07209C7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7.8 </w:t>
            </w:r>
          </w:p>
        </w:tc>
        <w:tc>
          <w:tcPr>
            <w:tcW w:w="193" w:type="pct"/>
            <w:vAlign w:val="center"/>
          </w:tcPr>
          <w:p w14:paraId="32DBC7A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47B2AF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66.8</w:t>
            </w:r>
          </w:p>
        </w:tc>
        <w:tc>
          <w:tcPr>
            <w:tcW w:w="169" w:type="pct"/>
            <w:vAlign w:val="center"/>
          </w:tcPr>
          <w:p w14:paraId="34D6BEB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67.3</w:t>
            </w:r>
          </w:p>
        </w:tc>
        <w:tc>
          <w:tcPr>
            <w:tcW w:w="218" w:type="pct"/>
            <w:vAlign w:val="center"/>
          </w:tcPr>
          <w:p w14:paraId="10EC1B6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9.3 </w:t>
            </w:r>
          </w:p>
        </w:tc>
        <w:tc>
          <w:tcPr>
            <w:tcW w:w="188" w:type="pct"/>
            <w:vAlign w:val="center"/>
          </w:tcPr>
          <w:p w14:paraId="01B78BD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43CC48E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67.1</w:t>
            </w:r>
          </w:p>
        </w:tc>
        <w:tc>
          <w:tcPr>
            <w:tcW w:w="164" w:type="pct"/>
            <w:vAlign w:val="center"/>
          </w:tcPr>
          <w:p w14:paraId="52A3D54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67.6</w:t>
            </w:r>
          </w:p>
        </w:tc>
        <w:tc>
          <w:tcPr>
            <w:tcW w:w="232" w:type="pct"/>
            <w:vAlign w:val="center"/>
          </w:tcPr>
          <w:p w14:paraId="68B5CED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9.6 </w:t>
            </w:r>
          </w:p>
        </w:tc>
        <w:tc>
          <w:tcPr>
            <w:tcW w:w="152" w:type="pct"/>
            <w:vAlign w:val="center"/>
          </w:tcPr>
          <w:p w14:paraId="2E0DCE3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6874EA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6CF552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6E7E4FB0">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678C6DAA">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72C9EC93">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31619B66">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55746682">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70ADDEA">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0604CED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6E10369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7006E26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241" w:type="pct"/>
            <w:vAlign w:val="center"/>
          </w:tcPr>
          <w:p w14:paraId="538F8E7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94" w:type="pct"/>
            <w:vAlign w:val="center"/>
          </w:tcPr>
          <w:p w14:paraId="2A5C36A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57.4</w:t>
            </w:r>
          </w:p>
        </w:tc>
        <w:tc>
          <w:tcPr>
            <w:tcW w:w="184" w:type="pct"/>
            <w:vAlign w:val="center"/>
          </w:tcPr>
          <w:p w14:paraId="131BFB2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57.6</w:t>
            </w:r>
          </w:p>
        </w:tc>
        <w:tc>
          <w:tcPr>
            <w:tcW w:w="236" w:type="pct"/>
            <w:vAlign w:val="center"/>
          </w:tcPr>
          <w:p w14:paraId="50E35AC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13.6 </w:t>
            </w:r>
          </w:p>
        </w:tc>
        <w:tc>
          <w:tcPr>
            <w:tcW w:w="193" w:type="pct"/>
            <w:vAlign w:val="center"/>
          </w:tcPr>
          <w:p w14:paraId="3F7A0B1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2.6 </w:t>
            </w:r>
          </w:p>
        </w:tc>
        <w:tc>
          <w:tcPr>
            <w:tcW w:w="146" w:type="pct"/>
            <w:vAlign w:val="center"/>
          </w:tcPr>
          <w:p w14:paraId="0FBF13D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57.8</w:t>
            </w:r>
          </w:p>
        </w:tc>
        <w:tc>
          <w:tcPr>
            <w:tcW w:w="169" w:type="pct"/>
            <w:vAlign w:val="center"/>
          </w:tcPr>
          <w:p w14:paraId="1AC0EC7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58.0</w:t>
            </w:r>
          </w:p>
        </w:tc>
        <w:tc>
          <w:tcPr>
            <w:tcW w:w="218" w:type="pct"/>
            <w:vAlign w:val="center"/>
          </w:tcPr>
          <w:p w14:paraId="65917A6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14.0 </w:t>
            </w:r>
          </w:p>
        </w:tc>
        <w:tc>
          <w:tcPr>
            <w:tcW w:w="188" w:type="pct"/>
            <w:vAlign w:val="center"/>
          </w:tcPr>
          <w:p w14:paraId="02C12A3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3.0 </w:t>
            </w:r>
          </w:p>
        </w:tc>
        <w:tc>
          <w:tcPr>
            <w:tcW w:w="182" w:type="pct"/>
            <w:vAlign w:val="center"/>
          </w:tcPr>
          <w:p w14:paraId="4854983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58.1</w:t>
            </w:r>
          </w:p>
        </w:tc>
        <w:tc>
          <w:tcPr>
            <w:tcW w:w="164" w:type="pct"/>
            <w:vAlign w:val="center"/>
          </w:tcPr>
          <w:p w14:paraId="6718263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58.3</w:t>
            </w:r>
          </w:p>
        </w:tc>
        <w:tc>
          <w:tcPr>
            <w:tcW w:w="232" w:type="pct"/>
            <w:vAlign w:val="center"/>
          </w:tcPr>
          <w:p w14:paraId="1A3A5E4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14.3 </w:t>
            </w:r>
          </w:p>
        </w:tc>
        <w:tc>
          <w:tcPr>
            <w:tcW w:w="152" w:type="pct"/>
            <w:vAlign w:val="center"/>
          </w:tcPr>
          <w:p w14:paraId="32148DA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3.3 </w:t>
            </w:r>
          </w:p>
        </w:tc>
      </w:tr>
      <w:tr w14:paraId="01DB23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39731B9D">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5ACC5B6B">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3DAF95E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后排（高铁6</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m外）1</w:t>
            </w:r>
            <w:r>
              <w:rPr>
                <w:color w:val="000000" w:themeColor="text1"/>
                <w:sz w:val="18"/>
                <w:szCs w:val="18"/>
                <w14:textFill>
                  <w14:solidFill>
                    <w14:schemeClr w14:val="tx1"/>
                  </w14:solidFill>
                </w14:textFill>
              </w:rPr>
              <w:t>F</w:t>
            </w:r>
          </w:p>
        </w:tc>
        <w:tc>
          <w:tcPr>
            <w:tcW w:w="253" w:type="pct"/>
            <w:vMerge w:val="restart"/>
            <w:vAlign w:val="center"/>
          </w:tcPr>
          <w:p w14:paraId="55F774C5">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63</w:t>
            </w:r>
          </w:p>
        </w:tc>
        <w:tc>
          <w:tcPr>
            <w:tcW w:w="202" w:type="pct"/>
            <w:vMerge w:val="restart"/>
            <w:vAlign w:val="center"/>
          </w:tcPr>
          <w:p w14:paraId="3A0F239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w:t>
            </w:r>
          </w:p>
        </w:tc>
        <w:tc>
          <w:tcPr>
            <w:tcW w:w="203" w:type="pct"/>
            <w:vMerge w:val="restart"/>
            <w:vAlign w:val="center"/>
          </w:tcPr>
          <w:p w14:paraId="0E2708C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.3~1.2</w:t>
            </w:r>
          </w:p>
        </w:tc>
        <w:tc>
          <w:tcPr>
            <w:tcW w:w="208" w:type="pct"/>
            <w:vMerge w:val="restart"/>
            <w:vAlign w:val="center"/>
          </w:tcPr>
          <w:p w14:paraId="175722B0">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454DDA1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48E7642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30CC7EC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241" w:type="pct"/>
            <w:vAlign w:val="center"/>
          </w:tcPr>
          <w:p w14:paraId="4156A87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194" w:type="pct"/>
            <w:vAlign w:val="center"/>
          </w:tcPr>
          <w:p w14:paraId="68CDE3F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50.1</w:t>
            </w:r>
          </w:p>
        </w:tc>
        <w:tc>
          <w:tcPr>
            <w:tcW w:w="184" w:type="pct"/>
            <w:vAlign w:val="center"/>
          </w:tcPr>
          <w:p w14:paraId="7CDB169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58.6</w:t>
            </w:r>
          </w:p>
        </w:tc>
        <w:tc>
          <w:tcPr>
            <w:tcW w:w="236" w:type="pct"/>
            <w:vAlign w:val="center"/>
          </w:tcPr>
          <w:p w14:paraId="25F7A18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0.6 </w:t>
            </w:r>
          </w:p>
        </w:tc>
        <w:tc>
          <w:tcPr>
            <w:tcW w:w="193" w:type="pct"/>
            <w:vAlign w:val="top"/>
          </w:tcPr>
          <w:p w14:paraId="260D947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6CA6FF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55.1</w:t>
            </w:r>
          </w:p>
        </w:tc>
        <w:tc>
          <w:tcPr>
            <w:tcW w:w="169" w:type="pct"/>
            <w:vAlign w:val="center"/>
          </w:tcPr>
          <w:p w14:paraId="54A953F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59.8</w:t>
            </w:r>
          </w:p>
        </w:tc>
        <w:tc>
          <w:tcPr>
            <w:tcW w:w="218" w:type="pct"/>
            <w:vAlign w:val="center"/>
          </w:tcPr>
          <w:p w14:paraId="28D4C02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1.8 </w:t>
            </w:r>
          </w:p>
        </w:tc>
        <w:tc>
          <w:tcPr>
            <w:tcW w:w="188" w:type="pct"/>
            <w:vAlign w:val="top"/>
          </w:tcPr>
          <w:p w14:paraId="203CD4C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8CC3EE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55.4</w:t>
            </w:r>
          </w:p>
        </w:tc>
        <w:tc>
          <w:tcPr>
            <w:tcW w:w="164" w:type="pct"/>
            <w:vAlign w:val="center"/>
          </w:tcPr>
          <w:p w14:paraId="33A0611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59.9</w:t>
            </w:r>
          </w:p>
        </w:tc>
        <w:tc>
          <w:tcPr>
            <w:tcW w:w="232" w:type="pct"/>
            <w:vAlign w:val="center"/>
          </w:tcPr>
          <w:p w14:paraId="2F93615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1.9 </w:t>
            </w:r>
          </w:p>
        </w:tc>
        <w:tc>
          <w:tcPr>
            <w:tcW w:w="152" w:type="pct"/>
            <w:vAlign w:val="top"/>
          </w:tcPr>
          <w:p w14:paraId="004069E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283939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5E6402E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6BB46023">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742E4D66">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1BDE69E1">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5F664CCE">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445C827D">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C46560D">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586D203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35325E2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77BCD22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241" w:type="pct"/>
            <w:vAlign w:val="center"/>
          </w:tcPr>
          <w:p w14:paraId="2909FC8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94" w:type="pct"/>
            <w:vAlign w:val="center"/>
          </w:tcPr>
          <w:p w14:paraId="276B21F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42.5</w:t>
            </w:r>
          </w:p>
        </w:tc>
        <w:tc>
          <w:tcPr>
            <w:tcW w:w="184" w:type="pct"/>
            <w:vAlign w:val="center"/>
          </w:tcPr>
          <w:p w14:paraId="71D603A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46.3</w:t>
            </w:r>
          </w:p>
        </w:tc>
        <w:tc>
          <w:tcPr>
            <w:tcW w:w="236" w:type="pct"/>
            <w:vAlign w:val="center"/>
          </w:tcPr>
          <w:p w14:paraId="6006808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2.3 </w:t>
            </w:r>
          </w:p>
        </w:tc>
        <w:tc>
          <w:tcPr>
            <w:tcW w:w="193" w:type="pct"/>
            <w:vAlign w:val="top"/>
          </w:tcPr>
          <w:p w14:paraId="0305C45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7D3E21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42.9</w:t>
            </w:r>
          </w:p>
        </w:tc>
        <w:tc>
          <w:tcPr>
            <w:tcW w:w="169" w:type="pct"/>
            <w:vAlign w:val="center"/>
          </w:tcPr>
          <w:p w14:paraId="365B0E0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46.5</w:t>
            </w:r>
          </w:p>
        </w:tc>
        <w:tc>
          <w:tcPr>
            <w:tcW w:w="218" w:type="pct"/>
            <w:vAlign w:val="center"/>
          </w:tcPr>
          <w:p w14:paraId="28E4C05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2.5 </w:t>
            </w:r>
          </w:p>
        </w:tc>
        <w:tc>
          <w:tcPr>
            <w:tcW w:w="188" w:type="pct"/>
            <w:vAlign w:val="top"/>
          </w:tcPr>
          <w:p w14:paraId="1914248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59C2CFB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43.2</w:t>
            </w:r>
          </w:p>
        </w:tc>
        <w:tc>
          <w:tcPr>
            <w:tcW w:w="164" w:type="pct"/>
            <w:vAlign w:val="center"/>
          </w:tcPr>
          <w:p w14:paraId="5BB8CA3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46.6</w:t>
            </w:r>
          </w:p>
        </w:tc>
        <w:tc>
          <w:tcPr>
            <w:tcW w:w="232" w:type="pct"/>
            <w:vAlign w:val="center"/>
          </w:tcPr>
          <w:p w14:paraId="7BD9B0B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2.6 </w:t>
            </w:r>
          </w:p>
        </w:tc>
        <w:tc>
          <w:tcPr>
            <w:tcW w:w="152" w:type="pct"/>
            <w:vAlign w:val="top"/>
          </w:tcPr>
          <w:p w14:paraId="6BDDCED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409F3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139E6059">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708F143">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5D53445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后排（高铁6</w:t>
            </w:r>
            <w:r>
              <w:rPr>
                <w:color w:val="000000" w:themeColor="text1"/>
                <w:sz w:val="18"/>
                <w:szCs w:val="18"/>
                <w14:textFill>
                  <w14:solidFill>
                    <w14:schemeClr w14:val="tx1"/>
                  </w14:solidFill>
                </w14:textFill>
              </w:rPr>
              <w:t>5</w:t>
            </w:r>
            <w:r>
              <w:rPr>
                <w:rFonts w:hint="eastAsia"/>
                <w:color w:val="000000" w:themeColor="text1"/>
                <w:sz w:val="18"/>
                <w:szCs w:val="18"/>
                <w14:textFill>
                  <w14:solidFill>
                    <w14:schemeClr w14:val="tx1"/>
                  </w14:solidFill>
                </w14:textFill>
              </w:rPr>
              <w:t>m外）</w:t>
            </w:r>
            <w:r>
              <w:rPr>
                <w:color w:val="000000" w:themeColor="text1"/>
                <w:sz w:val="18"/>
                <w:szCs w:val="18"/>
                <w14:textFill>
                  <w14:solidFill>
                    <w14:schemeClr w14:val="tx1"/>
                  </w14:solidFill>
                </w14:textFill>
              </w:rPr>
              <w:t>3F</w:t>
            </w:r>
          </w:p>
        </w:tc>
        <w:tc>
          <w:tcPr>
            <w:tcW w:w="253" w:type="pct"/>
            <w:vMerge w:val="continue"/>
            <w:vAlign w:val="center"/>
          </w:tcPr>
          <w:p w14:paraId="78312740">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462634D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7</w:t>
            </w:r>
          </w:p>
        </w:tc>
        <w:tc>
          <w:tcPr>
            <w:tcW w:w="203" w:type="pct"/>
            <w:vMerge w:val="continue"/>
            <w:vAlign w:val="center"/>
          </w:tcPr>
          <w:p w14:paraId="2D1229C7">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24F91B1">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34EFAF87">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7D9ED2D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161170C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241" w:type="pct"/>
            <w:vAlign w:val="center"/>
          </w:tcPr>
          <w:p w14:paraId="49811CA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w:t>
            </w:r>
          </w:p>
        </w:tc>
        <w:tc>
          <w:tcPr>
            <w:tcW w:w="194" w:type="pct"/>
            <w:vAlign w:val="center"/>
          </w:tcPr>
          <w:p w14:paraId="67179A0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50.1</w:t>
            </w:r>
          </w:p>
        </w:tc>
        <w:tc>
          <w:tcPr>
            <w:tcW w:w="184" w:type="pct"/>
            <w:vAlign w:val="center"/>
          </w:tcPr>
          <w:p w14:paraId="35D2055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58.6</w:t>
            </w:r>
          </w:p>
        </w:tc>
        <w:tc>
          <w:tcPr>
            <w:tcW w:w="236" w:type="pct"/>
            <w:vAlign w:val="center"/>
          </w:tcPr>
          <w:p w14:paraId="1AF0197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0.6 </w:t>
            </w:r>
          </w:p>
        </w:tc>
        <w:tc>
          <w:tcPr>
            <w:tcW w:w="193" w:type="pct"/>
            <w:vAlign w:val="top"/>
          </w:tcPr>
          <w:p w14:paraId="4A6D8AA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27BC52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55.1</w:t>
            </w:r>
          </w:p>
        </w:tc>
        <w:tc>
          <w:tcPr>
            <w:tcW w:w="169" w:type="pct"/>
            <w:vAlign w:val="center"/>
          </w:tcPr>
          <w:p w14:paraId="3B5D0BD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59.8</w:t>
            </w:r>
          </w:p>
        </w:tc>
        <w:tc>
          <w:tcPr>
            <w:tcW w:w="218" w:type="pct"/>
            <w:vAlign w:val="center"/>
          </w:tcPr>
          <w:p w14:paraId="2938573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1.8 </w:t>
            </w:r>
          </w:p>
        </w:tc>
        <w:tc>
          <w:tcPr>
            <w:tcW w:w="188" w:type="pct"/>
            <w:vAlign w:val="top"/>
          </w:tcPr>
          <w:p w14:paraId="7788CD9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44B6A1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55.4</w:t>
            </w:r>
          </w:p>
        </w:tc>
        <w:tc>
          <w:tcPr>
            <w:tcW w:w="164" w:type="pct"/>
            <w:vAlign w:val="center"/>
          </w:tcPr>
          <w:p w14:paraId="4478B78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59.9</w:t>
            </w:r>
          </w:p>
        </w:tc>
        <w:tc>
          <w:tcPr>
            <w:tcW w:w="232" w:type="pct"/>
            <w:vAlign w:val="center"/>
          </w:tcPr>
          <w:p w14:paraId="0119184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1.9 </w:t>
            </w:r>
          </w:p>
        </w:tc>
        <w:tc>
          <w:tcPr>
            <w:tcW w:w="152" w:type="pct"/>
            <w:vAlign w:val="top"/>
          </w:tcPr>
          <w:p w14:paraId="4DE15F8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585349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9B122EE">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2BC3FE87">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127FB264">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7D14EB89">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7A6EB31D">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64288A53">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2DB45B54">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4C8DA78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2C2012F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295764F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241" w:type="pct"/>
            <w:vAlign w:val="center"/>
          </w:tcPr>
          <w:p w14:paraId="7A69948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w:t>
            </w:r>
          </w:p>
        </w:tc>
        <w:tc>
          <w:tcPr>
            <w:tcW w:w="194" w:type="pct"/>
            <w:vAlign w:val="center"/>
          </w:tcPr>
          <w:p w14:paraId="1ADED0E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42.5</w:t>
            </w:r>
          </w:p>
        </w:tc>
        <w:tc>
          <w:tcPr>
            <w:tcW w:w="184" w:type="pct"/>
            <w:vAlign w:val="center"/>
          </w:tcPr>
          <w:p w14:paraId="17C4B98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46.3</w:t>
            </w:r>
          </w:p>
        </w:tc>
        <w:tc>
          <w:tcPr>
            <w:tcW w:w="236" w:type="pct"/>
            <w:vAlign w:val="center"/>
          </w:tcPr>
          <w:p w14:paraId="1E99007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2.3 </w:t>
            </w:r>
          </w:p>
        </w:tc>
        <w:tc>
          <w:tcPr>
            <w:tcW w:w="193" w:type="pct"/>
            <w:vAlign w:val="top"/>
          </w:tcPr>
          <w:p w14:paraId="13F2536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F43F76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42.9</w:t>
            </w:r>
          </w:p>
        </w:tc>
        <w:tc>
          <w:tcPr>
            <w:tcW w:w="169" w:type="pct"/>
            <w:vAlign w:val="center"/>
          </w:tcPr>
          <w:p w14:paraId="25C0C76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46.5</w:t>
            </w:r>
          </w:p>
        </w:tc>
        <w:tc>
          <w:tcPr>
            <w:tcW w:w="218" w:type="pct"/>
            <w:vAlign w:val="center"/>
          </w:tcPr>
          <w:p w14:paraId="4E47EA7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2.5 </w:t>
            </w:r>
          </w:p>
        </w:tc>
        <w:tc>
          <w:tcPr>
            <w:tcW w:w="188" w:type="pct"/>
            <w:vAlign w:val="top"/>
          </w:tcPr>
          <w:p w14:paraId="1836CCD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7B05ED3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43.2</w:t>
            </w:r>
          </w:p>
        </w:tc>
        <w:tc>
          <w:tcPr>
            <w:tcW w:w="164" w:type="pct"/>
            <w:vAlign w:val="center"/>
          </w:tcPr>
          <w:p w14:paraId="2FED8B7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46.6</w:t>
            </w:r>
          </w:p>
        </w:tc>
        <w:tc>
          <w:tcPr>
            <w:tcW w:w="232" w:type="pct"/>
            <w:vAlign w:val="center"/>
          </w:tcPr>
          <w:p w14:paraId="0447323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2.6 </w:t>
            </w:r>
          </w:p>
        </w:tc>
        <w:tc>
          <w:tcPr>
            <w:tcW w:w="152" w:type="pct"/>
            <w:vAlign w:val="top"/>
          </w:tcPr>
          <w:p w14:paraId="217F574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781B32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20EE114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p>
        </w:tc>
        <w:tc>
          <w:tcPr>
            <w:tcW w:w="152" w:type="pct"/>
            <w:vMerge w:val="restart"/>
            <w:vAlign w:val="center"/>
          </w:tcPr>
          <w:p w14:paraId="25127EF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联华村后郑</w:t>
            </w:r>
          </w:p>
        </w:tc>
        <w:tc>
          <w:tcPr>
            <w:tcW w:w="608" w:type="pct"/>
            <w:vMerge w:val="restart"/>
            <w:vAlign w:val="center"/>
          </w:tcPr>
          <w:p w14:paraId="1368C18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临拟建公路第一排1</w:t>
            </w:r>
            <w:r>
              <w:rPr>
                <w:color w:val="000000" w:themeColor="text1"/>
                <w:sz w:val="18"/>
                <w:szCs w:val="18"/>
                <w14:textFill>
                  <w14:solidFill>
                    <w14:schemeClr w14:val="tx1"/>
                  </w14:solidFill>
                </w14:textFill>
              </w:rPr>
              <w:t>F</w:t>
            </w:r>
          </w:p>
        </w:tc>
        <w:tc>
          <w:tcPr>
            <w:tcW w:w="253" w:type="pct"/>
            <w:vMerge w:val="restart"/>
            <w:vAlign w:val="center"/>
          </w:tcPr>
          <w:p w14:paraId="3165ECC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1</w:t>
            </w:r>
          </w:p>
        </w:tc>
        <w:tc>
          <w:tcPr>
            <w:tcW w:w="202" w:type="pct"/>
            <w:vMerge w:val="restart"/>
            <w:vAlign w:val="center"/>
          </w:tcPr>
          <w:p w14:paraId="50EFFB2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203" w:type="pct"/>
            <w:vMerge w:val="restart"/>
            <w:vAlign w:val="center"/>
          </w:tcPr>
          <w:p w14:paraId="4C736D0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w:t>
            </w:r>
          </w:p>
        </w:tc>
        <w:tc>
          <w:tcPr>
            <w:tcW w:w="208" w:type="pct"/>
            <w:vMerge w:val="restart"/>
            <w:vAlign w:val="center"/>
          </w:tcPr>
          <w:p w14:paraId="6933CDD8">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0B47D6F7">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3C94EAB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4FC45A3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66180E1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194" w:type="pct"/>
            <w:vAlign w:val="center"/>
          </w:tcPr>
          <w:p w14:paraId="79BE643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66.4</w:t>
            </w:r>
          </w:p>
        </w:tc>
        <w:tc>
          <w:tcPr>
            <w:tcW w:w="184" w:type="pct"/>
            <w:vAlign w:val="center"/>
          </w:tcPr>
          <w:p w14:paraId="0926410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66.5</w:t>
            </w:r>
          </w:p>
        </w:tc>
        <w:tc>
          <w:tcPr>
            <w:tcW w:w="236" w:type="pct"/>
            <w:vAlign w:val="center"/>
          </w:tcPr>
          <w:p w14:paraId="7703AB5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16.5 </w:t>
            </w:r>
          </w:p>
        </w:tc>
        <w:tc>
          <w:tcPr>
            <w:tcW w:w="193" w:type="pct"/>
            <w:vAlign w:val="center"/>
          </w:tcPr>
          <w:p w14:paraId="656BE6A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4663EC5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67.7</w:t>
            </w:r>
          </w:p>
        </w:tc>
        <w:tc>
          <w:tcPr>
            <w:tcW w:w="169" w:type="pct"/>
            <w:vAlign w:val="center"/>
          </w:tcPr>
          <w:p w14:paraId="0E908BB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67.8</w:t>
            </w:r>
          </w:p>
        </w:tc>
        <w:tc>
          <w:tcPr>
            <w:tcW w:w="218" w:type="pct"/>
            <w:vAlign w:val="center"/>
          </w:tcPr>
          <w:p w14:paraId="5823702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17.8 </w:t>
            </w:r>
          </w:p>
        </w:tc>
        <w:tc>
          <w:tcPr>
            <w:tcW w:w="188" w:type="pct"/>
            <w:vAlign w:val="center"/>
          </w:tcPr>
          <w:p w14:paraId="0784469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29BE2DA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68.0</w:t>
            </w:r>
          </w:p>
        </w:tc>
        <w:tc>
          <w:tcPr>
            <w:tcW w:w="164" w:type="pct"/>
            <w:vAlign w:val="center"/>
          </w:tcPr>
          <w:p w14:paraId="293D08B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68.1</w:t>
            </w:r>
          </w:p>
        </w:tc>
        <w:tc>
          <w:tcPr>
            <w:tcW w:w="232" w:type="pct"/>
            <w:vAlign w:val="center"/>
          </w:tcPr>
          <w:p w14:paraId="7587ABB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18.1 </w:t>
            </w:r>
          </w:p>
        </w:tc>
        <w:tc>
          <w:tcPr>
            <w:tcW w:w="152" w:type="pct"/>
            <w:vAlign w:val="center"/>
          </w:tcPr>
          <w:p w14:paraId="4F6FE02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770A825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03A19E4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ECFB24E">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609594CE">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3CAB3511">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03B39850">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3854E5F">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5A5E807E">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40028C4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AAD2BE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50E8AC8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w:t>
            </w:r>
          </w:p>
        </w:tc>
        <w:tc>
          <w:tcPr>
            <w:tcW w:w="241" w:type="pct"/>
            <w:vAlign w:val="center"/>
          </w:tcPr>
          <w:p w14:paraId="5C82382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w:t>
            </w:r>
          </w:p>
        </w:tc>
        <w:tc>
          <w:tcPr>
            <w:tcW w:w="194" w:type="pct"/>
            <w:vAlign w:val="center"/>
          </w:tcPr>
          <w:p w14:paraId="6594537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58.8</w:t>
            </w:r>
          </w:p>
        </w:tc>
        <w:tc>
          <w:tcPr>
            <w:tcW w:w="184" w:type="pct"/>
            <w:vAlign w:val="center"/>
          </w:tcPr>
          <w:p w14:paraId="7B90439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59.1</w:t>
            </w:r>
          </w:p>
        </w:tc>
        <w:tc>
          <w:tcPr>
            <w:tcW w:w="236" w:type="pct"/>
            <w:vAlign w:val="center"/>
          </w:tcPr>
          <w:p w14:paraId="1D52A33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13.1 </w:t>
            </w:r>
          </w:p>
        </w:tc>
        <w:tc>
          <w:tcPr>
            <w:tcW w:w="193" w:type="pct"/>
            <w:vAlign w:val="center"/>
          </w:tcPr>
          <w:p w14:paraId="11C2769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4.1 </w:t>
            </w:r>
          </w:p>
        </w:tc>
        <w:tc>
          <w:tcPr>
            <w:tcW w:w="146" w:type="pct"/>
            <w:vAlign w:val="center"/>
          </w:tcPr>
          <w:p w14:paraId="354D21D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59.3</w:t>
            </w:r>
          </w:p>
        </w:tc>
        <w:tc>
          <w:tcPr>
            <w:tcW w:w="169" w:type="pct"/>
            <w:vAlign w:val="center"/>
          </w:tcPr>
          <w:p w14:paraId="7536481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59.5</w:t>
            </w:r>
          </w:p>
        </w:tc>
        <w:tc>
          <w:tcPr>
            <w:tcW w:w="218" w:type="pct"/>
            <w:vAlign w:val="center"/>
          </w:tcPr>
          <w:p w14:paraId="78E6FAB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13.5 </w:t>
            </w:r>
          </w:p>
        </w:tc>
        <w:tc>
          <w:tcPr>
            <w:tcW w:w="188" w:type="pct"/>
            <w:vAlign w:val="center"/>
          </w:tcPr>
          <w:p w14:paraId="056D79D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4.5 </w:t>
            </w:r>
          </w:p>
        </w:tc>
        <w:tc>
          <w:tcPr>
            <w:tcW w:w="182" w:type="pct"/>
            <w:vAlign w:val="center"/>
          </w:tcPr>
          <w:p w14:paraId="4E2E122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59.6</w:t>
            </w:r>
          </w:p>
        </w:tc>
        <w:tc>
          <w:tcPr>
            <w:tcW w:w="164" w:type="pct"/>
            <w:vAlign w:val="center"/>
          </w:tcPr>
          <w:p w14:paraId="1150C89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59.8</w:t>
            </w:r>
          </w:p>
        </w:tc>
        <w:tc>
          <w:tcPr>
            <w:tcW w:w="232" w:type="pct"/>
            <w:vAlign w:val="center"/>
          </w:tcPr>
          <w:p w14:paraId="556FF3C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13.8 </w:t>
            </w:r>
          </w:p>
        </w:tc>
        <w:tc>
          <w:tcPr>
            <w:tcW w:w="152" w:type="pct"/>
            <w:vAlign w:val="center"/>
          </w:tcPr>
          <w:p w14:paraId="02068FF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4.8 </w:t>
            </w:r>
          </w:p>
        </w:tc>
      </w:tr>
      <w:tr w14:paraId="6140C9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5A4F1574">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6E47D402">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604F2B7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w:t>
            </w:r>
            <w:r>
              <w:rPr>
                <w:color w:val="000000" w:themeColor="text1"/>
                <w:sz w:val="18"/>
                <w:szCs w:val="18"/>
                <w14:textFill>
                  <w14:solidFill>
                    <w14:schemeClr w14:val="tx1"/>
                  </w14:solidFill>
                </w14:textFill>
              </w:rPr>
              <w:t>3F</w:t>
            </w:r>
          </w:p>
        </w:tc>
        <w:tc>
          <w:tcPr>
            <w:tcW w:w="253" w:type="pct"/>
            <w:vMerge w:val="continue"/>
            <w:vAlign w:val="center"/>
          </w:tcPr>
          <w:p w14:paraId="00AFE50D">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1C73E31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203" w:type="pct"/>
            <w:vMerge w:val="continue"/>
            <w:vAlign w:val="center"/>
          </w:tcPr>
          <w:p w14:paraId="19BA58EA">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3C93AFD">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5DCA07C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3853ABA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5358CBD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241" w:type="pct"/>
            <w:vAlign w:val="center"/>
          </w:tcPr>
          <w:p w14:paraId="560ACE8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194" w:type="pct"/>
            <w:vAlign w:val="center"/>
          </w:tcPr>
          <w:p w14:paraId="32F9866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66.7</w:t>
            </w:r>
          </w:p>
        </w:tc>
        <w:tc>
          <w:tcPr>
            <w:tcW w:w="184" w:type="pct"/>
            <w:vAlign w:val="center"/>
          </w:tcPr>
          <w:p w14:paraId="4055A3E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66.9</w:t>
            </w:r>
          </w:p>
        </w:tc>
        <w:tc>
          <w:tcPr>
            <w:tcW w:w="236" w:type="pct"/>
            <w:vAlign w:val="center"/>
          </w:tcPr>
          <w:p w14:paraId="19EBE49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14.9 </w:t>
            </w:r>
          </w:p>
        </w:tc>
        <w:tc>
          <w:tcPr>
            <w:tcW w:w="193" w:type="pct"/>
            <w:vAlign w:val="center"/>
          </w:tcPr>
          <w:p w14:paraId="25F15CB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EE16D9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68.0</w:t>
            </w:r>
          </w:p>
        </w:tc>
        <w:tc>
          <w:tcPr>
            <w:tcW w:w="169" w:type="pct"/>
            <w:vAlign w:val="center"/>
          </w:tcPr>
          <w:p w14:paraId="5FC6444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68.2</w:t>
            </w:r>
          </w:p>
        </w:tc>
        <w:tc>
          <w:tcPr>
            <w:tcW w:w="218" w:type="pct"/>
            <w:vAlign w:val="center"/>
          </w:tcPr>
          <w:p w14:paraId="1C26801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16.2 </w:t>
            </w:r>
          </w:p>
        </w:tc>
        <w:tc>
          <w:tcPr>
            <w:tcW w:w="188" w:type="pct"/>
            <w:vAlign w:val="center"/>
          </w:tcPr>
          <w:p w14:paraId="65DDA1C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FA5AA2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68.3</w:t>
            </w:r>
          </w:p>
        </w:tc>
        <w:tc>
          <w:tcPr>
            <w:tcW w:w="164" w:type="pct"/>
            <w:vAlign w:val="center"/>
          </w:tcPr>
          <w:p w14:paraId="601E3FA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68.4</w:t>
            </w:r>
          </w:p>
        </w:tc>
        <w:tc>
          <w:tcPr>
            <w:tcW w:w="232" w:type="pct"/>
            <w:vAlign w:val="center"/>
          </w:tcPr>
          <w:p w14:paraId="7EB1049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16.4 </w:t>
            </w:r>
          </w:p>
        </w:tc>
        <w:tc>
          <w:tcPr>
            <w:tcW w:w="152" w:type="pct"/>
            <w:vAlign w:val="center"/>
          </w:tcPr>
          <w:p w14:paraId="58B68E6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A9DBDF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43AE9CA9">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E46B305">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08E740B9">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3AF6ECCE">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2EED645A">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70F9639B">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0B679CD0">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6B709BB7">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3EFA219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4B6B352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241" w:type="pct"/>
            <w:vAlign w:val="center"/>
          </w:tcPr>
          <w:p w14:paraId="53675B7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194" w:type="pct"/>
            <w:vAlign w:val="center"/>
          </w:tcPr>
          <w:p w14:paraId="771A0B3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59.1</w:t>
            </w:r>
          </w:p>
        </w:tc>
        <w:tc>
          <w:tcPr>
            <w:tcW w:w="184" w:type="pct"/>
            <w:vAlign w:val="center"/>
          </w:tcPr>
          <w:p w14:paraId="76B4B13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59.4</w:t>
            </w:r>
          </w:p>
        </w:tc>
        <w:tc>
          <w:tcPr>
            <w:tcW w:w="236" w:type="pct"/>
            <w:vAlign w:val="center"/>
          </w:tcPr>
          <w:p w14:paraId="2EE495D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12.4 </w:t>
            </w:r>
          </w:p>
        </w:tc>
        <w:tc>
          <w:tcPr>
            <w:tcW w:w="193" w:type="pct"/>
            <w:vAlign w:val="center"/>
          </w:tcPr>
          <w:p w14:paraId="22444DA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4.4 </w:t>
            </w:r>
          </w:p>
        </w:tc>
        <w:tc>
          <w:tcPr>
            <w:tcW w:w="146" w:type="pct"/>
            <w:vAlign w:val="center"/>
          </w:tcPr>
          <w:p w14:paraId="75BD631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59.6</w:t>
            </w:r>
          </w:p>
        </w:tc>
        <w:tc>
          <w:tcPr>
            <w:tcW w:w="169" w:type="pct"/>
            <w:vAlign w:val="center"/>
          </w:tcPr>
          <w:p w14:paraId="50698EF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59.8</w:t>
            </w:r>
          </w:p>
        </w:tc>
        <w:tc>
          <w:tcPr>
            <w:tcW w:w="218" w:type="pct"/>
            <w:vAlign w:val="center"/>
          </w:tcPr>
          <w:p w14:paraId="0E94AB4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12.8 </w:t>
            </w:r>
          </w:p>
        </w:tc>
        <w:tc>
          <w:tcPr>
            <w:tcW w:w="188" w:type="pct"/>
            <w:vAlign w:val="center"/>
          </w:tcPr>
          <w:p w14:paraId="384FC3F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4.8 </w:t>
            </w:r>
          </w:p>
        </w:tc>
        <w:tc>
          <w:tcPr>
            <w:tcW w:w="182" w:type="pct"/>
            <w:vAlign w:val="center"/>
          </w:tcPr>
          <w:p w14:paraId="12640A0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59.9</w:t>
            </w:r>
          </w:p>
        </w:tc>
        <w:tc>
          <w:tcPr>
            <w:tcW w:w="164" w:type="pct"/>
            <w:vAlign w:val="center"/>
          </w:tcPr>
          <w:p w14:paraId="78B46F1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60.1</w:t>
            </w:r>
          </w:p>
        </w:tc>
        <w:tc>
          <w:tcPr>
            <w:tcW w:w="232" w:type="pct"/>
            <w:vAlign w:val="center"/>
          </w:tcPr>
          <w:p w14:paraId="7854F62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13.1 </w:t>
            </w:r>
          </w:p>
        </w:tc>
        <w:tc>
          <w:tcPr>
            <w:tcW w:w="152" w:type="pct"/>
            <w:vAlign w:val="center"/>
          </w:tcPr>
          <w:p w14:paraId="4188D40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5.1 </w:t>
            </w:r>
          </w:p>
        </w:tc>
      </w:tr>
      <w:tr w14:paraId="721A07B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47CB8ECB">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6E24619C">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40CE40F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后排</w:t>
            </w:r>
          </w:p>
        </w:tc>
        <w:tc>
          <w:tcPr>
            <w:tcW w:w="253" w:type="pct"/>
            <w:vMerge w:val="restart"/>
            <w:vAlign w:val="center"/>
          </w:tcPr>
          <w:p w14:paraId="3FAD7BB3">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63</w:t>
            </w:r>
          </w:p>
        </w:tc>
        <w:tc>
          <w:tcPr>
            <w:tcW w:w="202" w:type="pct"/>
            <w:vMerge w:val="restart"/>
            <w:vAlign w:val="center"/>
          </w:tcPr>
          <w:p w14:paraId="1E22836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203" w:type="pct"/>
            <w:vMerge w:val="restart"/>
            <w:vAlign w:val="center"/>
          </w:tcPr>
          <w:p w14:paraId="4CE1107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.2~1.885</w:t>
            </w:r>
          </w:p>
        </w:tc>
        <w:tc>
          <w:tcPr>
            <w:tcW w:w="208" w:type="pct"/>
            <w:vMerge w:val="restart"/>
            <w:vAlign w:val="center"/>
          </w:tcPr>
          <w:p w14:paraId="44C680AE">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30687D1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11AC761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1BE9E6D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241" w:type="pct"/>
            <w:vAlign w:val="center"/>
          </w:tcPr>
          <w:p w14:paraId="64924FA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94" w:type="pct"/>
            <w:vAlign w:val="center"/>
          </w:tcPr>
          <w:p w14:paraId="5D25891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51.4</w:t>
            </w:r>
          </w:p>
        </w:tc>
        <w:tc>
          <w:tcPr>
            <w:tcW w:w="184" w:type="pct"/>
            <w:vAlign w:val="center"/>
          </w:tcPr>
          <w:p w14:paraId="03DDA11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54.2</w:t>
            </w:r>
          </w:p>
        </w:tc>
        <w:tc>
          <w:tcPr>
            <w:tcW w:w="236" w:type="pct"/>
            <w:vAlign w:val="center"/>
          </w:tcPr>
          <w:p w14:paraId="447BBD9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3.2 </w:t>
            </w:r>
          </w:p>
        </w:tc>
        <w:tc>
          <w:tcPr>
            <w:tcW w:w="193" w:type="pct"/>
            <w:vAlign w:val="top"/>
          </w:tcPr>
          <w:p w14:paraId="5135473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22C5D3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56.5</w:t>
            </w:r>
          </w:p>
        </w:tc>
        <w:tc>
          <w:tcPr>
            <w:tcW w:w="169" w:type="pct"/>
            <w:vAlign w:val="center"/>
          </w:tcPr>
          <w:p w14:paraId="6D30CA7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57.6</w:t>
            </w:r>
          </w:p>
        </w:tc>
        <w:tc>
          <w:tcPr>
            <w:tcW w:w="218" w:type="pct"/>
            <w:vAlign w:val="center"/>
          </w:tcPr>
          <w:p w14:paraId="70AEF7D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6.6 </w:t>
            </w:r>
          </w:p>
        </w:tc>
        <w:tc>
          <w:tcPr>
            <w:tcW w:w="188" w:type="pct"/>
            <w:vAlign w:val="top"/>
          </w:tcPr>
          <w:p w14:paraId="3A46C10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4498600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56.8</w:t>
            </w:r>
          </w:p>
        </w:tc>
        <w:tc>
          <w:tcPr>
            <w:tcW w:w="164" w:type="pct"/>
            <w:vAlign w:val="center"/>
          </w:tcPr>
          <w:p w14:paraId="6E8F0E5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57.8</w:t>
            </w:r>
          </w:p>
        </w:tc>
        <w:tc>
          <w:tcPr>
            <w:tcW w:w="232" w:type="pct"/>
            <w:vAlign w:val="center"/>
          </w:tcPr>
          <w:p w14:paraId="4504C8B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6.8 </w:t>
            </w:r>
          </w:p>
        </w:tc>
        <w:tc>
          <w:tcPr>
            <w:tcW w:w="152" w:type="pct"/>
            <w:vAlign w:val="top"/>
          </w:tcPr>
          <w:p w14:paraId="62369AF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24EE9C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00B308F6">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1281FF6D">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55A2C030">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1C60B82D">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45A86504">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9435787">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560C60C">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65CFF91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6EBF5C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65EEFC2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w:t>
            </w:r>
          </w:p>
        </w:tc>
        <w:tc>
          <w:tcPr>
            <w:tcW w:w="241" w:type="pct"/>
            <w:vAlign w:val="center"/>
          </w:tcPr>
          <w:p w14:paraId="1659D31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w:t>
            </w:r>
          </w:p>
        </w:tc>
        <w:tc>
          <w:tcPr>
            <w:tcW w:w="194" w:type="pct"/>
            <w:vAlign w:val="center"/>
          </w:tcPr>
          <w:p w14:paraId="61D6778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43.8</w:t>
            </w:r>
          </w:p>
        </w:tc>
        <w:tc>
          <w:tcPr>
            <w:tcW w:w="184" w:type="pct"/>
            <w:vAlign w:val="center"/>
          </w:tcPr>
          <w:p w14:paraId="52310B3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48.1</w:t>
            </w:r>
          </w:p>
        </w:tc>
        <w:tc>
          <w:tcPr>
            <w:tcW w:w="236" w:type="pct"/>
            <w:vAlign w:val="center"/>
          </w:tcPr>
          <w:p w14:paraId="6C2EDD7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2.1 </w:t>
            </w:r>
          </w:p>
        </w:tc>
        <w:tc>
          <w:tcPr>
            <w:tcW w:w="193" w:type="pct"/>
            <w:vAlign w:val="top"/>
          </w:tcPr>
          <w:p w14:paraId="7C9871D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3F2F15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44.3</w:t>
            </w:r>
          </w:p>
        </w:tc>
        <w:tc>
          <w:tcPr>
            <w:tcW w:w="169" w:type="pct"/>
            <w:vAlign w:val="center"/>
          </w:tcPr>
          <w:p w14:paraId="7C396ED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48.2</w:t>
            </w:r>
          </w:p>
        </w:tc>
        <w:tc>
          <w:tcPr>
            <w:tcW w:w="218" w:type="pct"/>
            <w:vAlign w:val="center"/>
          </w:tcPr>
          <w:p w14:paraId="0494BB2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2.2 </w:t>
            </w:r>
          </w:p>
        </w:tc>
        <w:tc>
          <w:tcPr>
            <w:tcW w:w="188" w:type="pct"/>
            <w:vAlign w:val="top"/>
          </w:tcPr>
          <w:p w14:paraId="733C766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256A207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44.6</w:t>
            </w:r>
          </w:p>
        </w:tc>
        <w:tc>
          <w:tcPr>
            <w:tcW w:w="164" w:type="pct"/>
            <w:vAlign w:val="center"/>
          </w:tcPr>
          <w:p w14:paraId="00D6385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48.4</w:t>
            </w:r>
          </w:p>
        </w:tc>
        <w:tc>
          <w:tcPr>
            <w:tcW w:w="232" w:type="pct"/>
            <w:vAlign w:val="center"/>
          </w:tcPr>
          <w:p w14:paraId="5C2D14A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2.4 </w:t>
            </w:r>
          </w:p>
        </w:tc>
        <w:tc>
          <w:tcPr>
            <w:tcW w:w="152" w:type="pct"/>
            <w:vAlign w:val="top"/>
          </w:tcPr>
          <w:p w14:paraId="2ABCEA2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1A0D43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6EA551F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p>
        </w:tc>
        <w:tc>
          <w:tcPr>
            <w:tcW w:w="760" w:type="pct"/>
            <w:gridSpan w:val="2"/>
            <w:vMerge w:val="restart"/>
            <w:vAlign w:val="center"/>
          </w:tcPr>
          <w:p w14:paraId="1E7D578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侨丰村</w:t>
            </w:r>
          </w:p>
        </w:tc>
        <w:tc>
          <w:tcPr>
            <w:tcW w:w="253" w:type="pct"/>
            <w:vMerge w:val="restart"/>
            <w:vAlign w:val="center"/>
          </w:tcPr>
          <w:p w14:paraId="532FCC52">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9</w:t>
            </w:r>
          </w:p>
        </w:tc>
        <w:tc>
          <w:tcPr>
            <w:tcW w:w="202" w:type="pct"/>
            <w:vMerge w:val="restart"/>
            <w:vAlign w:val="center"/>
          </w:tcPr>
          <w:p w14:paraId="06F478FC">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10</w:t>
            </w:r>
          </w:p>
        </w:tc>
        <w:tc>
          <w:tcPr>
            <w:tcW w:w="203" w:type="pct"/>
            <w:vMerge w:val="restart"/>
            <w:vAlign w:val="center"/>
          </w:tcPr>
          <w:p w14:paraId="3C6AF43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208" w:type="pct"/>
            <w:vMerge w:val="restart"/>
            <w:vAlign w:val="center"/>
          </w:tcPr>
          <w:p w14:paraId="44034913">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53922E2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234355A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765883B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w:t>
            </w:r>
          </w:p>
        </w:tc>
        <w:tc>
          <w:tcPr>
            <w:tcW w:w="241" w:type="pct"/>
            <w:vAlign w:val="center"/>
          </w:tcPr>
          <w:p w14:paraId="54068B1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w:t>
            </w:r>
          </w:p>
        </w:tc>
        <w:tc>
          <w:tcPr>
            <w:tcW w:w="194" w:type="pct"/>
            <w:vAlign w:val="center"/>
          </w:tcPr>
          <w:p w14:paraId="5B76C40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45.0</w:t>
            </w:r>
          </w:p>
        </w:tc>
        <w:tc>
          <w:tcPr>
            <w:tcW w:w="184" w:type="pct"/>
            <w:vAlign w:val="center"/>
          </w:tcPr>
          <w:p w14:paraId="2957C6B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57.3</w:t>
            </w:r>
          </w:p>
        </w:tc>
        <w:tc>
          <w:tcPr>
            <w:tcW w:w="236" w:type="pct"/>
            <w:vAlign w:val="center"/>
          </w:tcPr>
          <w:p w14:paraId="69357E8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0.3 </w:t>
            </w:r>
          </w:p>
        </w:tc>
        <w:tc>
          <w:tcPr>
            <w:tcW w:w="193" w:type="pct"/>
            <w:vAlign w:val="top"/>
          </w:tcPr>
          <w:p w14:paraId="78E4F2F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854C37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46.6</w:t>
            </w:r>
          </w:p>
        </w:tc>
        <w:tc>
          <w:tcPr>
            <w:tcW w:w="169" w:type="pct"/>
            <w:vAlign w:val="center"/>
          </w:tcPr>
          <w:p w14:paraId="5C1AAF8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57.4</w:t>
            </w:r>
          </w:p>
        </w:tc>
        <w:tc>
          <w:tcPr>
            <w:tcW w:w="218" w:type="pct"/>
            <w:vAlign w:val="center"/>
          </w:tcPr>
          <w:p w14:paraId="3ED313F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0.4 </w:t>
            </w:r>
          </w:p>
        </w:tc>
        <w:tc>
          <w:tcPr>
            <w:tcW w:w="188" w:type="pct"/>
            <w:vAlign w:val="top"/>
          </w:tcPr>
          <w:p w14:paraId="7892C67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214D759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46.8</w:t>
            </w:r>
          </w:p>
        </w:tc>
        <w:tc>
          <w:tcPr>
            <w:tcW w:w="164" w:type="pct"/>
            <w:vAlign w:val="center"/>
          </w:tcPr>
          <w:p w14:paraId="1E64906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57.4</w:t>
            </w:r>
          </w:p>
        </w:tc>
        <w:tc>
          <w:tcPr>
            <w:tcW w:w="232" w:type="pct"/>
            <w:vAlign w:val="center"/>
          </w:tcPr>
          <w:p w14:paraId="3F2E400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0.4 </w:t>
            </w:r>
          </w:p>
        </w:tc>
        <w:tc>
          <w:tcPr>
            <w:tcW w:w="152" w:type="pct"/>
            <w:vAlign w:val="top"/>
          </w:tcPr>
          <w:p w14:paraId="37D4E4F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C1465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202BE6F">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6A3744DD">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4CA08310">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189627D9">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1BDF3209">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241FC2E5">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7B7216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45291C0">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043D65F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241" w:type="pct"/>
            <w:vAlign w:val="center"/>
          </w:tcPr>
          <w:p w14:paraId="12260D3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w:t>
            </w:r>
          </w:p>
        </w:tc>
        <w:tc>
          <w:tcPr>
            <w:tcW w:w="194" w:type="pct"/>
            <w:vAlign w:val="center"/>
          </w:tcPr>
          <w:p w14:paraId="66ADB37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37.6</w:t>
            </w:r>
          </w:p>
        </w:tc>
        <w:tc>
          <w:tcPr>
            <w:tcW w:w="184" w:type="pct"/>
            <w:vAlign w:val="center"/>
          </w:tcPr>
          <w:p w14:paraId="736380A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47.5</w:t>
            </w:r>
          </w:p>
        </w:tc>
        <w:tc>
          <w:tcPr>
            <w:tcW w:w="236" w:type="pct"/>
            <w:vAlign w:val="center"/>
          </w:tcPr>
          <w:p w14:paraId="5C9170F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0.5 </w:t>
            </w:r>
          </w:p>
        </w:tc>
        <w:tc>
          <w:tcPr>
            <w:tcW w:w="193" w:type="pct"/>
            <w:vAlign w:val="top"/>
          </w:tcPr>
          <w:p w14:paraId="1FF4B6D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CA7F30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37.9</w:t>
            </w:r>
          </w:p>
        </w:tc>
        <w:tc>
          <w:tcPr>
            <w:tcW w:w="169" w:type="pct"/>
            <w:vAlign w:val="center"/>
          </w:tcPr>
          <w:p w14:paraId="065E737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47.5</w:t>
            </w:r>
          </w:p>
        </w:tc>
        <w:tc>
          <w:tcPr>
            <w:tcW w:w="218" w:type="pct"/>
            <w:vAlign w:val="center"/>
          </w:tcPr>
          <w:p w14:paraId="43B3B2E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0.5 </w:t>
            </w:r>
          </w:p>
        </w:tc>
        <w:tc>
          <w:tcPr>
            <w:tcW w:w="188" w:type="pct"/>
            <w:vAlign w:val="top"/>
          </w:tcPr>
          <w:p w14:paraId="4A4B6BD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009026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38.0</w:t>
            </w:r>
          </w:p>
        </w:tc>
        <w:tc>
          <w:tcPr>
            <w:tcW w:w="164" w:type="pct"/>
            <w:vAlign w:val="center"/>
          </w:tcPr>
          <w:p w14:paraId="5468764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47.5</w:t>
            </w:r>
          </w:p>
        </w:tc>
        <w:tc>
          <w:tcPr>
            <w:tcW w:w="232" w:type="pct"/>
            <w:vAlign w:val="center"/>
          </w:tcPr>
          <w:p w14:paraId="4B6016A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0.5 </w:t>
            </w:r>
          </w:p>
        </w:tc>
        <w:tc>
          <w:tcPr>
            <w:tcW w:w="152" w:type="pct"/>
            <w:vAlign w:val="top"/>
          </w:tcPr>
          <w:p w14:paraId="0D6FD70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19B2A5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0C7B297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p>
        </w:tc>
        <w:tc>
          <w:tcPr>
            <w:tcW w:w="760" w:type="pct"/>
            <w:gridSpan w:val="2"/>
            <w:vMerge w:val="restart"/>
            <w:vAlign w:val="center"/>
          </w:tcPr>
          <w:p w14:paraId="53E9217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联华村火烧埔</w:t>
            </w:r>
          </w:p>
        </w:tc>
        <w:tc>
          <w:tcPr>
            <w:tcW w:w="253" w:type="pct"/>
            <w:vMerge w:val="restart"/>
            <w:vAlign w:val="center"/>
          </w:tcPr>
          <w:p w14:paraId="28589CE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04</w:t>
            </w:r>
          </w:p>
        </w:tc>
        <w:tc>
          <w:tcPr>
            <w:tcW w:w="202" w:type="pct"/>
            <w:vMerge w:val="restart"/>
            <w:vAlign w:val="center"/>
          </w:tcPr>
          <w:p w14:paraId="212137E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4~-10</w:t>
            </w:r>
          </w:p>
        </w:tc>
        <w:tc>
          <w:tcPr>
            <w:tcW w:w="203" w:type="pct"/>
            <w:vMerge w:val="restart"/>
            <w:vAlign w:val="center"/>
          </w:tcPr>
          <w:p w14:paraId="7516546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208" w:type="pct"/>
            <w:vMerge w:val="restart"/>
            <w:vAlign w:val="center"/>
          </w:tcPr>
          <w:p w14:paraId="244A97F4">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79D24EC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73F3F9B2">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51C7DB5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241" w:type="pct"/>
            <w:vAlign w:val="center"/>
          </w:tcPr>
          <w:p w14:paraId="4960F53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94" w:type="pct"/>
            <w:vAlign w:val="center"/>
          </w:tcPr>
          <w:p w14:paraId="669D496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48.9</w:t>
            </w:r>
          </w:p>
        </w:tc>
        <w:tc>
          <w:tcPr>
            <w:tcW w:w="184" w:type="pct"/>
            <w:vAlign w:val="center"/>
          </w:tcPr>
          <w:p w14:paraId="0C618FA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53.1</w:t>
            </w:r>
          </w:p>
        </w:tc>
        <w:tc>
          <w:tcPr>
            <w:tcW w:w="236" w:type="pct"/>
            <w:vAlign w:val="center"/>
          </w:tcPr>
          <w:p w14:paraId="0C4E700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2.1 </w:t>
            </w:r>
          </w:p>
        </w:tc>
        <w:tc>
          <w:tcPr>
            <w:tcW w:w="193" w:type="pct"/>
            <w:vAlign w:val="top"/>
          </w:tcPr>
          <w:p w14:paraId="00D01DF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4ADEB7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55.1</w:t>
            </w:r>
          </w:p>
        </w:tc>
        <w:tc>
          <w:tcPr>
            <w:tcW w:w="169" w:type="pct"/>
            <w:vAlign w:val="center"/>
          </w:tcPr>
          <w:p w14:paraId="04DE9CA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56.5</w:t>
            </w:r>
          </w:p>
        </w:tc>
        <w:tc>
          <w:tcPr>
            <w:tcW w:w="218" w:type="pct"/>
            <w:vAlign w:val="center"/>
          </w:tcPr>
          <w:p w14:paraId="14F7B25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5.5 </w:t>
            </w:r>
          </w:p>
        </w:tc>
        <w:tc>
          <w:tcPr>
            <w:tcW w:w="188" w:type="pct"/>
            <w:vAlign w:val="top"/>
          </w:tcPr>
          <w:p w14:paraId="5FC6324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9C2180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55.4</w:t>
            </w:r>
          </w:p>
        </w:tc>
        <w:tc>
          <w:tcPr>
            <w:tcW w:w="164" w:type="pct"/>
            <w:vAlign w:val="center"/>
          </w:tcPr>
          <w:p w14:paraId="683ADC1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56.8</w:t>
            </w:r>
          </w:p>
        </w:tc>
        <w:tc>
          <w:tcPr>
            <w:tcW w:w="232" w:type="pct"/>
            <w:vAlign w:val="center"/>
          </w:tcPr>
          <w:p w14:paraId="1B1B77D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5.8 </w:t>
            </w:r>
          </w:p>
        </w:tc>
        <w:tc>
          <w:tcPr>
            <w:tcW w:w="152" w:type="pct"/>
            <w:vAlign w:val="top"/>
          </w:tcPr>
          <w:p w14:paraId="783EC98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640E935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2FE2DC65">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2CE4224F">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551FB4CB">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2371B046">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0D01E18">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50E9805">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494DE5DC">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090971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7F51B6E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241" w:type="pct"/>
            <w:vAlign w:val="center"/>
          </w:tcPr>
          <w:p w14:paraId="58DC389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94" w:type="pct"/>
            <w:vAlign w:val="center"/>
          </w:tcPr>
          <w:p w14:paraId="2C7CD27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41.3</w:t>
            </w:r>
          </w:p>
        </w:tc>
        <w:tc>
          <w:tcPr>
            <w:tcW w:w="184" w:type="pct"/>
            <w:vAlign w:val="center"/>
          </w:tcPr>
          <w:p w14:paraId="1E35239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45.2</w:t>
            </w:r>
          </w:p>
        </w:tc>
        <w:tc>
          <w:tcPr>
            <w:tcW w:w="236" w:type="pct"/>
            <w:vAlign w:val="center"/>
          </w:tcPr>
          <w:p w14:paraId="7B12C8D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2.2 </w:t>
            </w:r>
          </w:p>
        </w:tc>
        <w:tc>
          <w:tcPr>
            <w:tcW w:w="193" w:type="pct"/>
            <w:vAlign w:val="top"/>
          </w:tcPr>
          <w:p w14:paraId="1BB355F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C0C672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41.8</w:t>
            </w:r>
          </w:p>
        </w:tc>
        <w:tc>
          <w:tcPr>
            <w:tcW w:w="169" w:type="pct"/>
            <w:vAlign w:val="center"/>
          </w:tcPr>
          <w:p w14:paraId="24B4042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45.5</w:t>
            </w:r>
          </w:p>
        </w:tc>
        <w:tc>
          <w:tcPr>
            <w:tcW w:w="218" w:type="pct"/>
            <w:vAlign w:val="center"/>
          </w:tcPr>
          <w:p w14:paraId="5E308C6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2.5 </w:t>
            </w:r>
          </w:p>
        </w:tc>
        <w:tc>
          <w:tcPr>
            <w:tcW w:w="188" w:type="pct"/>
            <w:vAlign w:val="top"/>
          </w:tcPr>
          <w:p w14:paraId="79E6E47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3C8EAC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42.1</w:t>
            </w:r>
          </w:p>
        </w:tc>
        <w:tc>
          <w:tcPr>
            <w:tcW w:w="164" w:type="pct"/>
            <w:vAlign w:val="center"/>
          </w:tcPr>
          <w:p w14:paraId="20B90CA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45.6</w:t>
            </w:r>
          </w:p>
        </w:tc>
        <w:tc>
          <w:tcPr>
            <w:tcW w:w="232" w:type="pct"/>
            <w:vAlign w:val="center"/>
          </w:tcPr>
          <w:p w14:paraId="0989686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2.6 </w:t>
            </w:r>
          </w:p>
        </w:tc>
        <w:tc>
          <w:tcPr>
            <w:tcW w:w="152" w:type="pct"/>
            <w:vAlign w:val="top"/>
          </w:tcPr>
          <w:p w14:paraId="05F744B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1686200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54D6A02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p>
        </w:tc>
        <w:tc>
          <w:tcPr>
            <w:tcW w:w="760" w:type="pct"/>
            <w:gridSpan w:val="2"/>
            <w:vMerge w:val="restart"/>
            <w:vAlign w:val="center"/>
          </w:tcPr>
          <w:p w14:paraId="6E2557F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联华村火烧埔（临高速第一排）</w:t>
            </w:r>
          </w:p>
        </w:tc>
        <w:tc>
          <w:tcPr>
            <w:tcW w:w="253" w:type="pct"/>
            <w:vMerge w:val="restart"/>
            <w:vAlign w:val="center"/>
          </w:tcPr>
          <w:p w14:paraId="3D3D9EE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61</w:t>
            </w:r>
          </w:p>
        </w:tc>
        <w:tc>
          <w:tcPr>
            <w:tcW w:w="202" w:type="pct"/>
            <w:vMerge w:val="restart"/>
            <w:vAlign w:val="center"/>
          </w:tcPr>
          <w:p w14:paraId="48393C23">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-10</w:t>
            </w:r>
          </w:p>
        </w:tc>
        <w:tc>
          <w:tcPr>
            <w:tcW w:w="203" w:type="pct"/>
            <w:vMerge w:val="restart"/>
            <w:vAlign w:val="center"/>
          </w:tcPr>
          <w:p w14:paraId="7D6DF33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208" w:type="pct"/>
            <w:vMerge w:val="restart"/>
            <w:vAlign w:val="center"/>
          </w:tcPr>
          <w:p w14:paraId="79686655">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3BF4807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2B69F8AD">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0EA22F9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w:t>
            </w:r>
          </w:p>
        </w:tc>
        <w:tc>
          <w:tcPr>
            <w:tcW w:w="241" w:type="pct"/>
            <w:vAlign w:val="center"/>
          </w:tcPr>
          <w:p w14:paraId="7666631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w:t>
            </w:r>
          </w:p>
        </w:tc>
        <w:tc>
          <w:tcPr>
            <w:tcW w:w="194" w:type="pct"/>
            <w:vAlign w:val="center"/>
          </w:tcPr>
          <w:p w14:paraId="54ED730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45.7</w:t>
            </w:r>
          </w:p>
        </w:tc>
        <w:tc>
          <w:tcPr>
            <w:tcW w:w="184" w:type="pct"/>
            <w:vAlign w:val="center"/>
          </w:tcPr>
          <w:p w14:paraId="51088E7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59.2</w:t>
            </w:r>
          </w:p>
        </w:tc>
        <w:tc>
          <w:tcPr>
            <w:tcW w:w="236" w:type="pct"/>
            <w:vAlign w:val="center"/>
          </w:tcPr>
          <w:p w14:paraId="201F628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0.2 </w:t>
            </w:r>
          </w:p>
        </w:tc>
        <w:tc>
          <w:tcPr>
            <w:tcW w:w="193" w:type="pct"/>
            <w:vAlign w:val="top"/>
          </w:tcPr>
          <w:p w14:paraId="6F3F4D6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7CC7FE2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52.9</w:t>
            </w:r>
          </w:p>
        </w:tc>
        <w:tc>
          <w:tcPr>
            <w:tcW w:w="169" w:type="pct"/>
            <w:vAlign w:val="center"/>
          </w:tcPr>
          <w:p w14:paraId="0A77C17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59.9</w:t>
            </w:r>
          </w:p>
        </w:tc>
        <w:tc>
          <w:tcPr>
            <w:tcW w:w="218" w:type="pct"/>
            <w:vAlign w:val="center"/>
          </w:tcPr>
          <w:p w14:paraId="2818783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0.9 </w:t>
            </w:r>
          </w:p>
        </w:tc>
        <w:tc>
          <w:tcPr>
            <w:tcW w:w="188" w:type="pct"/>
            <w:vAlign w:val="top"/>
          </w:tcPr>
          <w:p w14:paraId="6172239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7342156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53.2</w:t>
            </w:r>
          </w:p>
        </w:tc>
        <w:tc>
          <w:tcPr>
            <w:tcW w:w="164" w:type="pct"/>
            <w:vAlign w:val="center"/>
          </w:tcPr>
          <w:p w14:paraId="55987F6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w:t>
            </w:r>
          </w:p>
        </w:tc>
        <w:tc>
          <w:tcPr>
            <w:tcW w:w="232" w:type="pct"/>
            <w:vAlign w:val="center"/>
          </w:tcPr>
          <w:p w14:paraId="6A205D8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1.0 </w:t>
            </w:r>
          </w:p>
        </w:tc>
        <w:tc>
          <w:tcPr>
            <w:tcW w:w="152" w:type="pct"/>
            <w:vAlign w:val="top"/>
          </w:tcPr>
          <w:p w14:paraId="7053EA8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8F672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336B98C">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16982949">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651F48F8">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3E664441">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2236CAD">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AEA062F">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81EF5B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7E6BE14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00BCE0D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241" w:type="pct"/>
            <w:vAlign w:val="center"/>
          </w:tcPr>
          <w:p w14:paraId="17C8725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w:t>
            </w:r>
          </w:p>
        </w:tc>
        <w:tc>
          <w:tcPr>
            <w:tcW w:w="194" w:type="pct"/>
            <w:vAlign w:val="center"/>
          </w:tcPr>
          <w:p w14:paraId="19DA6E3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38.1</w:t>
            </w:r>
          </w:p>
        </w:tc>
        <w:tc>
          <w:tcPr>
            <w:tcW w:w="184" w:type="pct"/>
            <w:vAlign w:val="center"/>
          </w:tcPr>
          <w:p w14:paraId="32F2A46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54.1</w:t>
            </w:r>
          </w:p>
        </w:tc>
        <w:tc>
          <w:tcPr>
            <w:tcW w:w="236" w:type="pct"/>
            <w:vAlign w:val="center"/>
          </w:tcPr>
          <w:p w14:paraId="4B02251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0.1 </w:t>
            </w:r>
          </w:p>
        </w:tc>
        <w:tc>
          <w:tcPr>
            <w:tcW w:w="193" w:type="pct"/>
            <w:vAlign w:val="top"/>
          </w:tcPr>
          <w:p w14:paraId="6970FAE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0C8686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38.6</w:t>
            </w:r>
          </w:p>
        </w:tc>
        <w:tc>
          <w:tcPr>
            <w:tcW w:w="169" w:type="pct"/>
            <w:vAlign w:val="center"/>
          </w:tcPr>
          <w:p w14:paraId="5AB6E3D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54.1</w:t>
            </w:r>
          </w:p>
        </w:tc>
        <w:tc>
          <w:tcPr>
            <w:tcW w:w="218" w:type="pct"/>
            <w:vAlign w:val="center"/>
          </w:tcPr>
          <w:p w14:paraId="6756BB5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0.1 </w:t>
            </w:r>
          </w:p>
        </w:tc>
        <w:tc>
          <w:tcPr>
            <w:tcW w:w="188" w:type="pct"/>
            <w:vAlign w:val="top"/>
          </w:tcPr>
          <w:p w14:paraId="4187875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A6BF20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38.9</w:t>
            </w:r>
          </w:p>
        </w:tc>
        <w:tc>
          <w:tcPr>
            <w:tcW w:w="164" w:type="pct"/>
            <w:vAlign w:val="center"/>
          </w:tcPr>
          <w:p w14:paraId="0F52F92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54.1</w:t>
            </w:r>
          </w:p>
        </w:tc>
        <w:tc>
          <w:tcPr>
            <w:tcW w:w="232" w:type="pct"/>
            <w:vAlign w:val="center"/>
          </w:tcPr>
          <w:p w14:paraId="7B9E51F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0.1 </w:t>
            </w:r>
          </w:p>
        </w:tc>
        <w:tc>
          <w:tcPr>
            <w:tcW w:w="152" w:type="pct"/>
            <w:vAlign w:val="top"/>
          </w:tcPr>
          <w:p w14:paraId="076300B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1E528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58C5621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8</w:t>
            </w:r>
          </w:p>
        </w:tc>
        <w:tc>
          <w:tcPr>
            <w:tcW w:w="152" w:type="pct"/>
            <w:vMerge w:val="restart"/>
            <w:vAlign w:val="center"/>
          </w:tcPr>
          <w:p w14:paraId="1AF9915C">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联华村田楼</w:t>
            </w:r>
          </w:p>
        </w:tc>
        <w:tc>
          <w:tcPr>
            <w:tcW w:w="608" w:type="pct"/>
            <w:vMerge w:val="restart"/>
            <w:vAlign w:val="center"/>
          </w:tcPr>
          <w:p w14:paraId="77A9EC6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临拟建公路第一排1</w:t>
            </w:r>
            <w:r>
              <w:rPr>
                <w:color w:val="000000" w:themeColor="text1"/>
                <w:sz w:val="18"/>
                <w:szCs w:val="18"/>
                <w14:textFill>
                  <w14:solidFill>
                    <w14:schemeClr w14:val="tx1"/>
                  </w14:solidFill>
                </w14:textFill>
              </w:rPr>
              <w:t>F</w:t>
            </w:r>
          </w:p>
        </w:tc>
        <w:tc>
          <w:tcPr>
            <w:tcW w:w="253" w:type="pct"/>
            <w:vMerge w:val="restart"/>
            <w:vAlign w:val="center"/>
          </w:tcPr>
          <w:p w14:paraId="02EE75E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0</w:t>
            </w:r>
          </w:p>
        </w:tc>
        <w:tc>
          <w:tcPr>
            <w:tcW w:w="202" w:type="pct"/>
            <w:vMerge w:val="restart"/>
            <w:vAlign w:val="center"/>
          </w:tcPr>
          <w:p w14:paraId="609B10CE">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w:t>
            </w:r>
          </w:p>
        </w:tc>
        <w:tc>
          <w:tcPr>
            <w:tcW w:w="203" w:type="pct"/>
            <w:vMerge w:val="restart"/>
            <w:vAlign w:val="center"/>
          </w:tcPr>
          <w:p w14:paraId="77D812E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.7</w:t>
            </w:r>
          </w:p>
        </w:tc>
        <w:tc>
          <w:tcPr>
            <w:tcW w:w="208" w:type="pct"/>
            <w:vMerge w:val="restart"/>
            <w:vAlign w:val="center"/>
          </w:tcPr>
          <w:p w14:paraId="069FE744">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7AEA2D4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7943651C">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7A44B4A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241" w:type="pct"/>
            <w:vAlign w:val="center"/>
          </w:tcPr>
          <w:p w14:paraId="0A7D287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94" w:type="pct"/>
            <w:vAlign w:val="center"/>
          </w:tcPr>
          <w:p w14:paraId="7435D26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56.8</w:t>
            </w:r>
          </w:p>
        </w:tc>
        <w:tc>
          <w:tcPr>
            <w:tcW w:w="184" w:type="pct"/>
            <w:vAlign w:val="center"/>
          </w:tcPr>
          <w:p w14:paraId="2492CBB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57.8</w:t>
            </w:r>
          </w:p>
        </w:tc>
        <w:tc>
          <w:tcPr>
            <w:tcW w:w="236" w:type="pct"/>
            <w:vAlign w:val="center"/>
          </w:tcPr>
          <w:p w14:paraId="691B30B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6.8 </w:t>
            </w:r>
          </w:p>
        </w:tc>
        <w:tc>
          <w:tcPr>
            <w:tcW w:w="193" w:type="pct"/>
            <w:vAlign w:val="top"/>
          </w:tcPr>
          <w:p w14:paraId="7853A25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270F8F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60.2</w:t>
            </w:r>
          </w:p>
        </w:tc>
        <w:tc>
          <w:tcPr>
            <w:tcW w:w="169" w:type="pct"/>
            <w:vAlign w:val="center"/>
          </w:tcPr>
          <w:p w14:paraId="07B9AB0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60.7</w:t>
            </w:r>
          </w:p>
        </w:tc>
        <w:tc>
          <w:tcPr>
            <w:tcW w:w="218" w:type="pct"/>
            <w:vAlign w:val="center"/>
          </w:tcPr>
          <w:p w14:paraId="7F9BC91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9.7 </w:t>
            </w:r>
          </w:p>
        </w:tc>
        <w:tc>
          <w:tcPr>
            <w:tcW w:w="188" w:type="pct"/>
            <w:vAlign w:val="top"/>
          </w:tcPr>
          <w:p w14:paraId="3CBFAB5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F26EFA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60.5</w:t>
            </w:r>
          </w:p>
        </w:tc>
        <w:tc>
          <w:tcPr>
            <w:tcW w:w="164" w:type="pct"/>
            <w:vAlign w:val="center"/>
          </w:tcPr>
          <w:p w14:paraId="1815173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61.0</w:t>
            </w:r>
          </w:p>
        </w:tc>
        <w:tc>
          <w:tcPr>
            <w:tcW w:w="232" w:type="pct"/>
            <w:vAlign w:val="center"/>
          </w:tcPr>
          <w:p w14:paraId="363B624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10.0 </w:t>
            </w:r>
          </w:p>
        </w:tc>
        <w:tc>
          <w:tcPr>
            <w:tcW w:w="152" w:type="pct"/>
            <w:vAlign w:val="top"/>
          </w:tcPr>
          <w:p w14:paraId="01669F3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22A2E8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C1856DD">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DDD7B6E">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06940362">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1E36C910">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5FF601BA">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1969DD35">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69BFDCA0">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4EE3131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6587293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4448E36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241" w:type="pct"/>
            <w:vAlign w:val="center"/>
          </w:tcPr>
          <w:p w14:paraId="59D287A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94" w:type="pct"/>
            <w:vAlign w:val="center"/>
          </w:tcPr>
          <w:p w14:paraId="629E196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49.2</w:t>
            </w:r>
          </w:p>
        </w:tc>
        <w:tc>
          <w:tcPr>
            <w:tcW w:w="184" w:type="pct"/>
            <w:vAlign w:val="center"/>
          </w:tcPr>
          <w:p w14:paraId="50DFBC2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50.1</w:t>
            </w:r>
          </w:p>
        </w:tc>
        <w:tc>
          <w:tcPr>
            <w:tcW w:w="236" w:type="pct"/>
            <w:vAlign w:val="center"/>
          </w:tcPr>
          <w:p w14:paraId="0166CD3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7.1 </w:t>
            </w:r>
          </w:p>
        </w:tc>
        <w:tc>
          <w:tcPr>
            <w:tcW w:w="193" w:type="pct"/>
            <w:vAlign w:val="top"/>
          </w:tcPr>
          <w:p w14:paraId="32F3B2F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7C0757C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49.6</w:t>
            </w:r>
          </w:p>
        </w:tc>
        <w:tc>
          <w:tcPr>
            <w:tcW w:w="169" w:type="pct"/>
            <w:vAlign w:val="center"/>
          </w:tcPr>
          <w:p w14:paraId="1CB06D4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50.5</w:t>
            </w:r>
          </w:p>
        </w:tc>
        <w:tc>
          <w:tcPr>
            <w:tcW w:w="218" w:type="pct"/>
            <w:vAlign w:val="center"/>
          </w:tcPr>
          <w:p w14:paraId="0B8E26D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7.5 </w:t>
            </w:r>
          </w:p>
        </w:tc>
        <w:tc>
          <w:tcPr>
            <w:tcW w:w="188" w:type="pct"/>
            <w:vAlign w:val="top"/>
          </w:tcPr>
          <w:p w14:paraId="6F8987F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1F5855C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49.9</w:t>
            </w:r>
          </w:p>
        </w:tc>
        <w:tc>
          <w:tcPr>
            <w:tcW w:w="164" w:type="pct"/>
            <w:vAlign w:val="center"/>
          </w:tcPr>
          <w:p w14:paraId="6FEB9B9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50.7</w:t>
            </w:r>
          </w:p>
        </w:tc>
        <w:tc>
          <w:tcPr>
            <w:tcW w:w="232" w:type="pct"/>
            <w:vAlign w:val="center"/>
          </w:tcPr>
          <w:p w14:paraId="1CA8286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7.7 </w:t>
            </w:r>
          </w:p>
        </w:tc>
        <w:tc>
          <w:tcPr>
            <w:tcW w:w="152" w:type="pct"/>
            <w:vAlign w:val="top"/>
          </w:tcPr>
          <w:p w14:paraId="5BC385A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1EE29D8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921CEE0">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A2D24E6">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715EAA6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w:t>
            </w:r>
            <w:r>
              <w:rPr>
                <w:color w:val="000000" w:themeColor="text1"/>
                <w:sz w:val="18"/>
                <w:szCs w:val="18"/>
                <w14:textFill>
                  <w14:solidFill>
                    <w14:schemeClr w14:val="tx1"/>
                  </w14:solidFill>
                </w14:textFill>
              </w:rPr>
              <w:t>3F</w:t>
            </w:r>
          </w:p>
        </w:tc>
        <w:tc>
          <w:tcPr>
            <w:tcW w:w="253" w:type="pct"/>
            <w:vMerge w:val="continue"/>
            <w:vAlign w:val="center"/>
          </w:tcPr>
          <w:p w14:paraId="06471950">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1B3EC04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p>
        </w:tc>
        <w:tc>
          <w:tcPr>
            <w:tcW w:w="203" w:type="pct"/>
            <w:vMerge w:val="continue"/>
            <w:vAlign w:val="center"/>
          </w:tcPr>
          <w:p w14:paraId="5CE76B58">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C9EB22C">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6F93871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3220569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7BA2231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241" w:type="pct"/>
            <w:vAlign w:val="center"/>
          </w:tcPr>
          <w:p w14:paraId="3155E90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94" w:type="pct"/>
            <w:vAlign w:val="center"/>
          </w:tcPr>
          <w:p w14:paraId="4649690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56.7</w:t>
            </w:r>
          </w:p>
        </w:tc>
        <w:tc>
          <w:tcPr>
            <w:tcW w:w="184" w:type="pct"/>
            <w:vAlign w:val="center"/>
          </w:tcPr>
          <w:p w14:paraId="076AC95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57.7</w:t>
            </w:r>
          </w:p>
        </w:tc>
        <w:tc>
          <w:tcPr>
            <w:tcW w:w="236" w:type="pct"/>
            <w:vAlign w:val="center"/>
          </w:tcPr>
          <w:p w14:paraId="47EA60E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6.7 </w:t>
            </w:r>
          </w:p>
        </w:tc>
        <w:tc>
          <w:tcPr>
            <w:tcW w:w="193" w:type="pct"/>
            <w:vAlign w:val="top"/>
          </w:tcPr>
          <w:p w14:paraId="62A789F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2BF796B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60.1</w:t>
            </w:r>
          </w:p>
        </w:tc>
        <w:tc>
          <w:tcPr>
            <w:tcW w:w="169" w:type="pct"/>
            <w:vAlign w:val="center"/>
          </w:tcPr>
          <w:p w14:paraId="0DD4A0E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60.6</w:t>
            </w:r>
          </w:p>
        </w:tc>
        <w:tc>
          <w:tcPr>
            <w:tcW w:w="218" w:type="pct"/>
            <w:vAlign w:val="center"/>
          </w:tcPr>
          <w:p w14:paraId="398DD99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9.6 </w:t>
            </w:r>
          </w:p>
        </w:tc>
        <w:tc>
          <w:tcPr>
            <w:tcW w:w="188" w:type="pct"/>
            <w:vAlign w:val="top"/>
          </w:tcPr>
          <w:p w14:paraId="5D547A7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D19D1F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60.4</w:t>
            </w:r>
          </w:p>
        </w:tc>
        <w:tc>
          <w:tcPr>
            <w:tcW w:w="164" w:type="pct"/>
            <w:vAlign w:val="center"/>
          </w:tcPr>
          <w:p w14:paraId="2AA0421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60.9</w:t>
            </w:r>
          </w:p>
        </w:tc>
        <w:tc>
          <w:tcPr>
            <w:tcW w:w="232" w:type="pct"/>
            <w:vAlign w:val="center"/>
          </w:tcPr>
          <w:p w14:paraId="31A00DB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9.9 </w:t>
            </w:r>
          </w:p>
        </w:tc>
        <w:tc>
          <w:tcPr>
            <w:tcW w:w="152" w:type="pct"/>
            <w:vAlign w:val="top"/>
          </w:tcPr>
          <w:p w14:paraId="2298204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118FD4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08CD6313">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6BB36FA">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42D1214D">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01966506">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64499B74">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7C370538">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2365B39A">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6177B3D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2C04932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30A1653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241" w:type="pct"/>
            <w:vAlign w:val="center"/>
          </w:tcPr>
          <w:p w14:paraId="00AC4E9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94" w:type="pct"/>
            <w:vAlign w:val="center"/>
          </w:tcPr>
          <w:p w14:paraId="6D51E4C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49.1</w:t>
            </w:r>
          </w:p>
        </w:tc>
        <w:tc>
          <w:tcPr>
            <w:tcW w:w="184" w:type="pct"/>
            <w:vAlign w:val="center"/>
          </w:tcPr>
          <w:p w14:paraId="3D37A08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236" w:type="pct"/>
            <w:vAlign w:val="center"/>
          </w:tcPr>
          <w:p w14:paraId="383DFB0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7.0 </w:t>
            </w:r>
          </w:p>
        </w:tc>
        <w:tc>
          <w:tcPr>
            <w:tcW w:w="193" w:type="pct"/>
            <w:vAlign w:val="top"/>
          </w:tcPr>
          <w:p w14:paraId="6C79D78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7676834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49.5</w:t>
            </w:r>
          </w:p>
        </w:tc>
        <w:tc>
          <w:tcPr>
            <w:tcW w:w="169" w:type="pct"/>
            <w:vAlign w:val="center"/>
          </w:tcPr>
          <w:p w14:paraId="16C1BC8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50.4</w:t>
            </w:r>
          </w:p>
        </w:tc>
        <w:tc>
          <w:tcPr>
            <w:tcW w:w="218" w:type="pct"/>
            <w:vAlign w:val="center"/>
          </w:tcPr>
          <w:p w14:paraId="297C562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7.4 </w:t>
            </w:r>
          </w:p>
        </w:tc>
        <w:tc>
          <w:tcPr>
            <w:tcW w:w="188" w:type="pct"/>
            <w:vAlign w:val="top"/>
          </w:tcPr>
          <w:p w14:paraId="628B7BF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7FDA62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49.8</w:t>
            </w:r>
          </w:p>
        </w:tc>
        <w:tc>
          <w:tcPr>
            <w:tcW w:w="164" w:type="pct"/>
            <w:vAlign w:val="center"/>
          </w:tcPr>
          <w:p w14:paraId="0F229E3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50.6</w:t>
            </w:r>
          </w:p>
        </w:tc>
        <w:tc>
          <w:tcPr>
            <w:tcW w:w="232" w:type="pct"/>
            <w:vAlign w:val="center"/>
          </w:tcPr>
          <w:p w14:paraId="55A4445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7.6 </w:t>
            </w:r>
          </w:p>
        </w:tc>
        <w:tc>
          <w:tcPr>
            <w:tcW w:w="152" w:type="pct"/>
            <w:vAlign w:val="top"/>
          </w:tcPr>
          <w:p w14:paraId="4A6135B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2B6EDCE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D95CB90">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60C17984">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000CDE9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后排</w:t>
            </w:r>
          </w:p>
        </w:tc>
        <w:tc>
          <w:tcPr>
            <w:tcW w:w="253" w:type="pct"/>
            <w:vMerge w:val="restart"/>
            <w:vAlign w:val="center"/>
          </w:tcPr>
          <w:p w14:paraId="6AD8C46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6</w:t>
            </w:r>
          </w:p>
        </w:tc>
        <w:tc>
          <w:tcPr>
            <w:tcW w:w="202" w:type="pct"/>
            <w:vMerge w:val="restart"/>
            <w:vAlign w:val="center"/>
          </w:tcPr>
          <w:p w14:paraId="60F5AD12">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0~-2</w:t>
            </w:r>
          </w:p>
        </w:tc>
        <w:tc>
          <w:tcPr>
            <w:tcW w:w="203" w:type="pct"/>
            <w:vMerge w:val="restart"/>
            <w:vAlign w:val="center"/>
          </w:tcPr>
          <w:p w14:paraId="1DF2A9E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.7</w:t>
            </w:r>
          </w:p>
        </w:tc>
        <w:tc>
          <w:tcPr>
            <w:tcW w:w="208" w:type="pct"/>
            <w:vMerge w:val="restart"/>
            <w:vAlign w:val="center"/>
          </w:tcPr>
          <w:p w14:paraId="27970964">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7329026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5BE12CC3">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319F39E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241" w:type="pct"/>
            <w:vAlign w:val="center"/>
          </w:tcPr>
          <w:p w14:paraId="1A7FF7F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51</w:t>
            </w:r>
          </w:p>
        </w:tc>
        <w:tc>
          <w:tcPr>
            <w:tcW w:w="194" w:type="pct"/>
            <w:vAlign w:val="center"/>
          </w:tcPr>
          <w:p w14:paraId="2810B96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53.0</w:t>
            </w:r>
          </w:p>
        </w:tc>
        <w:tc>
          <w:tcPr>
            <w:tcW w:w="184" w:type="pct"/>
            <w:vAlign w:val="center"/>
          </w:tcPr>
          <w:p w14:paraId="33B1351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55.1</w:t>
            </w:r>
          </w:p>
        </w:tc>
        <w:tc>
          <w:tcPr>
            <w:tcW w:w="236" w:type="pct"/>
            <w:vAlign w:val="center"/>
          </w:tcPr>
          <w:p w14:paraId="0ED6931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4.1 </w:t>
            </w:r>
          </w:p>
        </w:tc>
        <w:tc>
          <w:tcPr>
            <w:tcW w:w="193" w:type="pct"/>
            <w:vAlign w:val="top"/>
          </w:tcPr>
          <w:p w14:paraId="64AD3DE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E9962C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57.4</w:t>
            </w:r>
          </w:p>
        </w:tc>
        <w:tc>
          <w:tcPr>
            <w:tcW w:w="169" w:type="pct"/>
            <w:vAlign w:val="center"/>
          </w:tcPr>
          <w:p w14:paraId="130BAAA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58.3</w:t>
            </w:r>
          </w:p>
        </w:tc>
        <w:tc>
          <w:tcPr>
            <w:tcW w:w="218" w:type="pct"/>
            <w:vAlign w:val="center"/>
          </w:tcPr>
          <w:p w14:paraId="57ED520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7.3 </w:t>
            </w:r>
          </w:p>
        </w:tc>
        <w:tc>
          <w:tcPr>
            <w:tcW w:w="188" w:type="pct"/>
            <w:vAlign w:val="top"/>
          </w:tcPr>
          <w:p w14:paraId="2DCAE74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5CC225F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57.7</w:t>
            </w:r>
          </w:p>
        </w:tc>
        <w:tc>
          <w:tcPr>
            <w:tcW w:w="164" w:type="pct"/>
            <w:vAlign w:val="center"/>
          </w:tcPr>
          <w:p w14:paraId="48B9284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58.5</w:t>
            </w:r>
          </w:p>
        </w:tc>
        <w:tc>
          <w:tcPr>
            <w:tcW w:w="232" w:type="pct"/>
            <w:vAlign w:val="center"/>
          </w:tcPr>
          <w:p w14:paraId="6A12CEB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7.5 </w:t>
            </w:r>
          </w:p>
        </w:tc>
        <w:tc>
          <w:tcPr>
            <w:tcW w:w="152" w:type="pct"/>
            <w:vAlign w:val="top"/>
          </w:tcPr>
          <w:p w14:paraId="4FF8DF3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A8E443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5201555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B32DA38">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04982F44">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0104116C">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0C889C1F">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539B6D9A">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633BF380">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2F4C89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0F0BC516">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2A262C3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241" w:type="pct"/>
            <w:vAlign w:val="center"/>
          </w:tcPr>
          <w:p w14:paraId="2D9AE15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94" w:type="pct"/>
            <w:vAlign w:val="center"/>
          </w:tcPr>
          <w:p w14:paraId="61C8609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45.4</w:t>
            </w:r>
          </w:p>
        </w:tc>
        <w:tc>
          <w:tcPr>
            <w:tcW w:w="184" w:type="pct"/>
            <w:vAlign w:val="center"/>
          </w:tcPr>
          <w:p w14:paraId="5189F6A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47.4</w:t>
            </w:r>
          </w:p>
        </w:tc>
        <w:tc>
          <w:tcPr>
            <w:tcW w:w="236" w:type="pct"/>
            <w:vAlign w:val="center"/>
          </w:tcPr>
          <w:p w14:paraId="266B9B0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4.4 </w:t>
            </w:r>
          </w:p>
        </w:tc>
        <w:tc>
          <w:tcPr>
            <w:tcW w:w="193" w:type="pct"/>
            <w:vAlign w:val="top"/>
          </w:tcPr>
          <w:p w14:paraId="67C8F6E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6B1297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45.9</w:t>
            </w:r>
          </w:p>
        </w:tc>
        <w:tc>
          <w:tcPr>
            <w:tcW w:w="169" w:type="pct"/>
            <w:vAlign w:val="center"/>
          </w:tcPr>
          <w:p w14:paraId="3361DDD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47.7</w:t>
            </w:r>
          </w:p>
        </w:tc>
        <w:tc>
          <w:tcPr>
            <w:tcW w:w="218" w:type="pct"/>
            <w:vAlign w:val="center"/>
          </w:tcPr>
          <w:p w14:paraId="15C8414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4.7 </w:t>
            </w:r>
          </w:p>
        </w:tc>
        <w:tc>
          <w:tcPr>
            <w:tcW w:w="188" w:type="pct"/>
            <w:vAlign w:val="top"/>
          </w:tcPr>
          <w:p w14:paraId="46F2B0F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162C761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46.2</w:t>
            </w:r>
          </w:p>
        </w:tc>
        <w:tc>
          <w:tcPr>
            <w:tcW w:w="164" w:type="pct"/>
            <w:vAlign w:val="center"/>
          </w:tcPr>
          <w:p w14:paraId="7207530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47.9</w:t>
            </w:r>
          </w:p>
        </w:tc>
        <w:tc>
          <w:tcPr>
            <w:tcW w:w="232" w:type="pct"/>
            <w:vAlign w:val="center"/>
          </w:tcPr>
          <w:p w14:paraId="15070C1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4.9 </w:t>
            </w:r>
          </w:p>
        </w:tc>
        <w:tc>
          <w:tcPr>
            <w:tcW w:w="152" w:type="pct"/>
            <w:vAlign w:val="top"/>
          </w:tcPr>
          <w:p w14:paraId="6D32C3A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DBE0F2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19809BF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9</w:t>
            </w:r>
          </w:p>
        </w:tc>
        <w:tc>
          <w:tcPr>
            <w:tcW w:w="152" w:type="pct"/>
            <w:vMerge w:val="restart"/>
            <w:vAlign w:val="center"/>
          </w:tcPr>
          <w:p w14:paraId="632ABC9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联华村西山</w:t>
            </w:r>
          </w:p>
        </w:tc>
        <w:tc>
          <w:tcPr>
            <w:tcW w:w="608" w:type="pct"/>
            <w:vMerge w:val="restart"/>
            <w:vAlign w:val="center"/>
          </w:tcPr>
          <w:p w14:paraId="0803656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临拟建公路第一排1</w:t>
            </w:r>
            <w:r>
              <w:rPr>
                <w:color w:val="000000" w:themeColor="text1"/>
                <w:sz w:val="18"/>
                <w:szCs w:val="18"/>
                <w14:textFill>
                  <w14:solidFill>
                    <w14:schemeClr w14:val="tx1"/>
                  </w14:solidFill>
                </w14:textFill>
              </w:rPr>
              <w:t>F</w:t>
            </w:r>
          </w:p>
        </w:tc>
        <w:tc>
          <w:tcPr>
            <w:tcW w:w="253" w:type="pct"/>
            <w:vMerge w:val="restart"/>
            <w:vAlign w:val="center"/>
          </w:tcPr>
          <w:p w14:paraId="00999F6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w:t>
            </w:r>
          </w:p>
        </w:tc>
        <w:tc>
          <w:tcPr>
            <w:tcW w:w="202" w:type="pct"/>
            <w:vMerge w:val="restart"/>
            <w:vAlign w:val="center"/>
          </w:tcPr>
          <w:p w14:paraId="1478BC8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203" w:type="pct"/>
            <w:vMerge w:val="restart"/>
            <w:vAlign w:val="center"/>
          </w:tcPr>
          <w:p w14:paraId="56053ED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208" w:type="pct"/>
            <w:vMerge w:val="restart"/>
            <w:vAlign w:val="center"/>
          </w:tcPr>
          <w:p w14:paraId="4CC30B5A">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03B52DC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1582A3AF">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4F61FF4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06A3273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94" w:type="pct"/>
            <w:vAlign w:val="center"/>
          </w:tcPr>
          <w:p w14:paraId="0A49E6A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67.3</w:t>
            </w:r>
          </w:p>
        </w:tc>
        <w:tc>
          <w:tcPr>
            <w:tcW w:w="184" w:type="pct"/>
            <w:vAlign w:val="center"/>
          </w:tcPr>
          <w:p w14:paraId="50B38D5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67.6</w:t>
            </w:r>
          </w:p>
        </w:tc>
        <w:tc>
          <w:tcPr>
            <w:tcW w:w="236" w:type="pct"/>
            <w:vAlign w:val="center"/>
          </w:tcPr>
          <w:p w14:paraId="7487146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12.6 </w:t>
            </w:r>
          </w:p>
        </w:tc>
        <w:tc>
          <w:tcPr>
            <w:tcW w:w="193" w:type="pct"/>
            <w:vAlign w:val="top"/>
          </w:tcPr>
          <w:p w14:paraId="6A67071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78DEE2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68.4</w:t>
            </w:r>
          </w:p>
        </w:tc>
        <w:tc>
          <w:tcPr>
            <w:tcW w:w="169" w:type="pct"/>
            <w:vAlign w:val="center"/>
          </w:tcPr>
          <w:p w14:paraId="02EDBCA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68.6</w:t>
            </w:r>
          </w:p>
        </w:tc>
        <w:tc>
          <w:tcPr>
            <w:tcW w:w="218" w:type="pct"/>
            <w:vAlign w:val="center"/>
          </w:tcPr>
          <w:p w14:paraId="2E7F48E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13.6 </w:t>
            </w:r>
          </w:p>
        </w:tc>
        <w:tc>
          <w:tcPr>
            <w:tcW w:w="188" w:type="pct"/>
            <w:vAlign w:val="top"/>
          </w:tcPr>
          <w:p w14:paraId="3A400D0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D75A47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68.7</w:t>
            </w:r>
          </w:p>
        </w:tc>
        <w:tc>
          <w:tcPr>
            <w:tcW w:w="164" w:type="pct"/>
            <w:vAlign w:val="center"/>
          </w:tcPr>
          <w:p w14:paraId="0FF51C4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68.9</w:t>
            </w:r>
          </w:p>
        </w:tc>
        <w:tc>
          <w:tcPr>
            <w:tcW w:w="232" w:type="pct"/>
            <w:vAlign w:val="center"/>
          </w:tcPr>
          <w:p w14:paraId="0E228BC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13.9 </w:t>
            </w:r>
          </w:p>
        </w:tc>
        <w:tc>
          <w:tcPr>
            <w:tcW w:w="152" w:type="pct"/>
            <w:vAlign w:val="top"/>
          </w:tcPr>
          <w:p w14:paraId="14FB11F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14D79B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19B1D35F">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9A493A7">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7E5910E3">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2EB118AF">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16EEEF1A">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097CF287">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21CF1CA">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7FCCCBCA">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99CECF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13CED03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w:t>
            </w:r>
          </w:p>
        </w:tc>
        <w:tc>
          <w:tcPr>
            <w:tcW w:w="241" w:type="pct"/>
            <w:vAlign w:val="center"/>
          </w:tcPr>
          <w:p w14:paraId="651E1CC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w:t>
            </w:r>
          </w:p>
        </w:tc>
        <w:tc>
          <w:tcPr>
            <w:tcW w:w="194" w:type="pct"/>
            <w:vAlign w:val="center"/>
          </w:tcPr>
          <w:p w14:paraId="2044861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59.7</w:t>
            </w:r>
          </w:p>
        </w:tc>
        <w:tc>
          <w:tcPr>
            <w:tcW w:w="184" w:type="pct"/>
            <w:vAlign w:val="center"/>
          </w:tcPr>
          <w:p w14:paraId="57FE644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w:t>
            </w:r>
          </w:p>
        </w:tc>
        <w:tc>
          <w:tcPr>
            <w:tcW w:w="236" w:type="pct"/>
            <w:vAlign w:val="center"/>
          </w:tcPr>
          <w:p w14:paraId="47F9E95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12.0 </w:t>
            </w:r>
          </w:p>
        </w:tc>
        <w:tc>
          <w:tcPr>
            <w:tcW w:w="193" w:type="pct"/>
            <w:vAlign w:val="center"/>
          </w:tcPr>
          <w:p w14:paraId="751F78F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5.0 </w:t>
            </w:r>
          </w:p>
        </w:tc>
        <w:tc>
          <w:tcPr>
            <w:tcW w:w="146" w:type="pct"/>
            <w:vAlign w:val="center"/>
          </w:tcPr>
          <w:p w14:paraId="413FC1F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60.2</w:t>
            </w:r>
          </w:p>
        </w:tc>
        <w:tc>
          <w:tcPr>
            <w:tcW w:w="169" w:type="pct"/>
            <w:vAlign w:val="center"/>
          </w:tcPr>
          <w:p w14:paraId="33D996C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60.5</w:t>
            </w:r>
          </w:p>
        </w:tc>
        <w:tc>
          <w:tcPr>
            <w:tcW w:w="218" w:type="pct"/>
            <w:vAlign w:val="center"/>
          </w:tcPr>
          <w:p w14:paraId="3D7D899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12.5 </w:t>
            </w:r>
          </w:p>
        </w:tc>
        <w:tc>
          <w:tcPr>
            <w:tcW w:w="188" w:type="pct"/>
            <w:vAlign w:val="center"/>
          </w:tcPr>
          <w:p w14:paraId="38BE495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5.5 </w:t>
            </w:r>
          </w:p>
        </w:tc>
        <w:tc>
          <w:tcPr>
            <w:tcW w:w="182" w:type="pct"/>
            <w:vAlign w:val="center"/>
          </w:tcPr>
          <w:p w14:paraId="70A4E53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60.5</w:t>
            </w:r>
          </w:p>
        </w:tc>
        <w:tc>
          <w:tcPr>
            <w:tcW w:w="164" w:type="pct"/>
            <w:vAlign w:val="center"/>
          </w:tcPr>
          <w:p w14:paraId="003E7C2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60.7</w:t>
            </w:r>
          </w:p>
        </w:tc>
        <w:tc>
          <w:tcPr>
            <w:tcW w:w="232" w:type="pct"/>
            <w:vAlign w:val="center"/>
          </w:tcPr>
          <w:p w14:paraId="42EA0F1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12.7 </w:t>
            </w:r>
          </w:p>
        </w:tc>
        <w:tc>
          <w:tcPr>
            <w:tcW w:w="152" w:type="pct"/>
            <w:vAlign w:val="center"/>
          </w:tcPr>
          <w:p w14:paraId="09F2518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5.7 </w:t>
            </w:r>
          </w:p>
        </w:tc>
      </w:tr>
      <w:tr w14:paraId="57B2C98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10A1E972">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09FCA21">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5DB1A18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w:t>
            </w:r>
            <w:r>
              <w:rPr>
                <w:color w:val="000000" w:themeColor="text1"/>
                <w:sz w:val="18"/>
                <w:szCs w:val="18"/>
                <w14:textFill>
                  <w14:solidFill>
                    <w14:schemeClr w14:val="tx1"/>
                  </w14:solidFill>
                </w14:textFill>
              </w:rPr>
              <w:t>3F</w:t>
            </w:r>
          </w:p>
        </w:tc>
        <w:tc>
          <w:tcPr>
            <w:tcW w:w="253" w:type="pct"/>
            <w:vMerge w:val="continue"/>
            <w:vAlign w:val="center"/>
          </w:tcPr>
          <w:p w14:paraId="5FDFFCA1">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35130B1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p>
        </w:tc>
        <w:tc>
          <w:tcPr>
            <w:tcW w:w="203" w:type="pct"/>
            <w:vMerge w:val="continue"/>
            <w:vAlign w:val="center"/>
          </w:tcPr>
          <w:p w14:paraId="325491FD">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2D5B01CB">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38A74D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791EC78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01D9342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241" w:type="pct"/>
            <w:vAlign w:val="center"/>
          </w:tcPr>
          <w:p w14:paraId="6A631C6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w:t>
            </w:r>
          </w:p>
        </w:tc>
        <w:tc>
          <w:tcPr>
            <w:tcW w:w="194" w:type="pct"/>
            <w:vAlign w:val="center"/>
          </w:tcPr>
          <w:p w14:paraId="7683E4A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67.2</w:t>
            </w:r>
          </w:p>
        </w:tc>
        <w:tc>
          <w:tcPr>
            <w:tcW w:w="184" w:type="pct"/>
            <w:vAlign w:val="center"/>
          </w:tcPr>
          <w:p w14:paraId="0C15438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67.4</w:t>
            </w:r>
          </w:p>
        </w:tc>
        <w:tc>
          <w:tcPr>
            <w:tcW w:w="236" w:type="pct"/>
            <w:vAlign w:val="center"/>
          </w:tcPr>
          <w:p w14:paraId="3A8316E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14.4 </w:t>
            </w:r>
          </w:p>
        </w:tc>
        <w:tc>
          <w:tcPr>
            <w:tcW w:w="193" w:type="pct"/>
            <w:vAlign w:val="center"/>
          </w:tcPr>
          <w:p w14:paraId="6CA6BBD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05D389A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68.3</w:t>
            </w:r>
          </w:p>
        </w:tc>
        <w:tc>
          <w:tcPr>
            <w:tcW w:w="169" w:type="pct"/>
            <w:vAlign w:val="center"/>
          </w:tcPr>
          <w:p w14:paraId="44AD449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68.4</w:t>
            </w:r>
          </w:p>
        </w:tc>
        <w:tc>
          <w:tcPr>
            <w:tcW w:w="218" w:type="pct"/>
            <w:vAlign w:val="center"/>
          </w:tcPr>
          <w:p w14:paraId="35685CC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15.4 </w:t>
            </w:r>
          </w:p>
        </w:tc>
        <w:tc>
          <w:tcPr>
            <w:tcW w:w="188" w:type="pct"/>
            <w:vAlign w:val="center"/>
          </w:tcPr>
          <w:p w14:paraId="78096B3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57AC9B1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68.6</w:t>
            </w:r>
          </w:p>
        </w:tc>
        <w:tc>
          <w:tcPr>
            <w:tcW w:w="164" w:type="pct"/>
            <w:vAlign w:val="center"/>
          </w:tcPr>
          <w:p w14:paraId="4497987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68.7</w:t>
            </w:r>
          </w:p>
        </w:tc>
        <w:tc>
          <w:tcPr>
            <w:tcW w:w="232" w:type="pct"/>
            <w:vAlign w:val="center"/>
          </w:tcPr>
          <w:p w14:paraId="33B6B59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15.7 </w:t>
            </w:r>
          </w:p>
        </w:tc>
        <w:tc>
          <w:tcPr>
            <w:tcW w:w="152" w:type="pct"/>
            <w:vAlign w:val="center"/>
          </w:tcPr>
          <w:p w14:paraId="5971D67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1E3398D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2BF599E">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836622F">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3DDE3E45">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4E3916EE">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00AE8258">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3CCA51BC">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AD1C0F9">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3D7759D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4BB451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625D3D1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w:t>
            </w:r>
          </w:p>
        </w:tc>
        <w:tc>
          <w:tcPr>
            <w:tcW w:w="241" w:type="pct"/>
            <w:vAlign w:val="center"/>
          </w:tcPr>
          <w:p w14:paraId="0607682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w:t>
            </w:r>
          </w:p>
        </w:tc>
        <w:tc>
          <w:tcPr>
            <w:tcW w:w="194" w:type="pct"/>
            <w:vAlign w:val="center"/>
          </w:tcPr>
          <w:p w14:paraId="3CDB2DB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59.6</w:t>
            </w:r>
          </w:p>
        </w:tc>
        <w:tc>
          <w:tcPr>
            <w:tcW w:w="184" w:type="pct"/>
            <w:vAlign w:val="center"/>
          </w:tcPr>
          <w:p w14:paraId="0E84144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59.8</w:t>
            </w:r>
          </w:p>
        </w:tc>
        <w:tc>
          <w:tcPr>
            <w:tcW w:w="236" w:type="pct"/>
            <w:vAlign w:val="center"/>
          </w:tcPr>
          <w:p w14:paraId="43C07BA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13.8 </w:t>
            </w:r>
          </w:p>
        </w:tc>
        <w:tc>
          <w:tcPr>
            <w:tcW w:w="193" w:type="pct"/>
            <w:vAlign w:val="center"/>
          </w:tcPr>
          <w:p w14:paraId="6FD6063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4.8 </w:t>
            </w:r>
          </w:p>
        </w:tc>
        <w:tc>
          <w:tcPr>
            <w:tcW w:w="146" w:type="pct"/>
            <w:vAlign w:val="center"/>
          </w:tcPr>
          <w:p w14:paraId="24FEAEB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60.1</w:t>
            </w:r>
          </w:p>
        </w:tc>
        <w:tc>
          <w:tcPr>
            <w:tcW w:w="169" w:type="pct"/>
            <w:vAlign w:val="center"/>
          </w:tcPr>
          <w:p w14:paraId="0A590FE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60.3</w:t>
            </w:r>
          </w:p>
        </w:tc>
        <w:tc>
          <w:tcPr>
            <w:tcW w:w="218" w:type="pct"/>
            <w:vAlign w:val="center"/>
          </w:tcPr>
          <w:p w14:paraId="3A7994B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14.3 </w:t>
            </w:r>
          </w:p>
        </w:tc>
        <w:tc>
          <w:tcPr>
            <w:tcW w:w="188" w:type="pct"/>
            <w:vAlign w:val="center"/>
          </w:tcPr>
          <w:p w14:paraId="3967924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5.3 </w:t>
            </w:r>
          </w:p>
        </w:tc>
        <w:tc>
          <w:tcPr>
            <w:tcW w:w="182" w:type="pct"/>
            <w:vAlign w:val="center"/>
          </w:tcPr>
          <w:p w14:paraId="4198015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60.4</w:t>
            </w:r>
          </w:p>
        </w:tc>
        <w:tc>
          <w:tcPr>
            <w:tcW w:w="164" w:type="pct"/>
            <w:vAlign w:val="center"/>
          </w:tcPr>
          <w:p w14:paraId="4F61E77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60.5</w:t>
            </w:r>
          </w:p>
        </w:tc>
        <w:tc>
          <w:tcPr>
            <w:tcW w:w="232" w:type="pct"/>
            <w:vAlign w:val="center"/>
          </w:tcPr>
          <w:p w14:paraId="690AFBB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14.5 </w:t>
            </w:r>
          </w:p>
        </w:tc>
        <w:tc>
          <w:tcPr>
            <w:tcW w:w="152" w:type="pct"/>
            <w:vAlign w:val="center"/>
          </w:tcPr>
          <w:p w14:paraId="79D92A4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5.5 </w:t>
            </w:r>
          </w:p>
        </w:tc>
      </w:tr>
      <w:tr w14:paraId="35A5C12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178F4FF5">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77AEB6AE">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36A8421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后排</w:t>
            </w:r>
          </w:p>
        </w:tc>
        <w:tc>
          <w:tcPr>
            <w:tcW w:w="253" w:type="pct"/>
            <w:vMerge w:val="restart"/>
            <w:vAlign w:val="center"/>
          </w:tcPr>
          <w:p w14:paraId="79FA0A2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4</w:t>
            </w:r>
          </w:p>
        </w:tc>
        <w:tc>
          <w:tcPr>
            <w:tcW w:w="202" w:type="pct"/>
            <w:vMerge w:val="restart"/>
            <w:vAlign w:val="center"/>
          </w:tcPr>
          <w:p w14:paraId="497497C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203" w:type="pct"/>
            <w:vMerge w:val="restart"/>
            <w:vAlign w:val="center"/>
          </w:tcPr>
          <w:p w14:paraId="57CD9A6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208" w:type="pct"/>
            <w:vMerge w:val="restart"/>
            <w:vAlign w:val="center"/>
          </w:tcPr>
          <w:p w14:paraId="033CE8F5">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2F6A06D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4310E71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1A0D54C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22E870D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94" w:type="pct"/>
            <w:vAlign w:val="center"/>
          </w:tcPr>
          <w:p w14:paraId="55616C4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52.0</w:t>
            </w:r>
          </w:p>
        </w:tc>
        <w:tc>
          <w:tcPr>
            <w:tcW w:w="184" w:type="pct"/>
            <w:vAlign w:val="center"/>
          </w:tcPr>
          <w:p w14:paraId="245B5DC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56.8</w:t>
            </w:r>
          </w:p>
        </w:tc>
        <w:tc>
          <w:tcPr>
            <w:tcW w:w="236" w:type="pct"/>
            <w:vAlign w:val="center"/>
          </w:tcPr>
          <w:p w14:paraId="180D15E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1.8 </w:t>
            </w:r>
          </w:p>
        </w:tc>
        <w:tc>
          <w:tcPr>
            <w:tcW w:w="193" w:type="pct"/>
            <w:vAlign w:val="top"/>
          </w:tcPr>
          <w:p w14:paraId="52A382E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8ABDB3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56.3</w:t>
            </w:r>
          </w:p>
        </w:tc>
        <w:tc>
          <w:tcPr>
            <w:tcW w:w="169" w:type="pct"/>
            <w:vAlign w:val="center"/>
          </w:tcPr>
          <w:p w14:paraId="5B8E352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58.7</w:t>
            </w:r>
          </w:p>
        </w:tc>
        <w:tc>
          <w:tcPr>
            <w:tcW w:w="218" w:type="pct"/>
            <w:vAlign w:val="center"/>
          </w:tcPr>
          <w:p w14:paraId="24C9B8F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3.7 </w:t>
            </w:r>
          </w:p>
        </w:tc>
        <w:tc>
          <w:tcPr>
            <w:tcW w:w="188" w:type="pct"/>
            <w:vAlign w:val="top"/>
          </w:tcPr>
          <w:p w14:paraId="21C242A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60B3D7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56.6</w:t>
            </w:r>
          </w:p>
        </w:tc>
        <w:tc>
          <w:tcPr>
            <w:tcW w:w="164" w:type="pct"/>
            <w:vAlign w:val="center"/>
          </w:tcPr>
          <w:p w14:paraId="5954351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58.9</w:t>
            </w:r>
          </w:p>
        </w:tc>
        <w:tc>
          <w:tcPr>
            <w:tcW w:w="232" w:type="pct"/>
            <w:vAlign w:val="center"/>
          </w:tcPr>
          <w:p w14:paraId="234DD2D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3.9 </w:t>
            </w:r>
          </w:p>
        </w:tc>
        <w:tc>
          <w:tcPr>
            <w:tcW w:w="152" w:type="pct"/>
            <w:vAlign w:val="top"/>
          </w:tcPr>
          <w:p w14:paraId="0FF3BF5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2CB969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AA3E84F">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2C44337B">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6D4ABCDC">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4D0181A8">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6C581B33">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5A820AFB">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4BBBECE1">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291EA98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4A8B7D4">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4E5BAD7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w:t>
            </w:r>
          </w:p>
        </w:tc>
        <w:tc>
          <w:tcPr>
            <w:tcW w:w="241" w:type="pct"/>
            <w:vAlign w:val="center"/>
          </w:tcPr>
          <w:p w14:paraId="66FCBC8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w:t>
            </w:r>
          </w:p>
        </w:tc>
        <w:tc>
          <w:tcPr>
            <w:tcW w:w="194" w:type="pct"/>
            <w:vAlign w:val="center"/>
          </w:tcPr>
          <w:p w14:paraId="6D40C9F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44.4</w:t>
            </w:r>
          </w:p>
        </w:tc>
        <w:tc>
          <w:tcPr>
            <w:tcW w:w="184" w:type="pct"/>
            <w:vAlign w:val="center"/>
          </w:tcPr>
          <w:p w14:paraId="6B6ABA4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49.6</w:t>
            </w:r>
          </w:p>
        </w:tc>
        <w:tc>
          <w:tcPr>
            <w:tcW w:w="236" w:type="pct"/>
            <w:vAlign w:val="center"/>
          </w:tcPr>
          <w:p w14:paraId="0ADE2EF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1.6 </w:t>
            </w:r>
          </w:p>
        </w:tc>
        <w:tc>
          <w:tcPr>
            <w:tcW w:w="193" w:type="pct"/>
            <w:vAlign w:val="top"/>
          </w:tcPr>
          <w:p w14:paraId="12514DD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FB6C30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44.9</w:t>
            </w:r>
          </w:p>
        </w:tc>
        <w:tc>
          <w:tcPr>
            <w:tcW w:w="169" w:type="pct"/>
            <w:vAlign w:val="center"/>
          </w:tcPr>
          <w:p w14:paraId="2D83110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49.7</w:t>
            </w:r>
          </w:p>
        </w:tc>
        <w:tc>
          <w:tcPr>
            <w:tcW w:w="218" w:type="pct"/>
            <w:vAlign w:val="center"/>
          </w:tcPr>
          <w:p w14:paraId="68F5661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1.7 </w:t>
            </w:r>
          </w:p>
        </w:tc>
        <w:tc>
          <w:tcPr>
            <w:tcW w:w="188" w:type="pct"/>
            <w:vAlign w:val="top"/>
          </w:tcPr>
          <w:p w14:paraId="3184A52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732C15C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45.2</w:t>
            </w:r>
          </w:p>
        </w:tc>
        <w:tc>
          <w:tcPr>
            <w:tcW w:w="164" w:type="pct"/>
            <w:vAlign w:val="center"/>
          </w:tcPr>
          <w:p w14:paraId="2E80B18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49.8</w:t>
            </w:r>
          </w:p>
        </w:tc>
        <w:tc>
          <w:tcPr>
            <w:tcW w:w="232" w:type="pct"/>
            <w:vAlign w:val="center"/>
          </w:tcPr>
          <w:p w14:paraId="6D8D344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1.8 </w:t>
            </w:r>
          </w:p>
        </w:tc>
        <w:tc>
          <w:tcPr>
            <w:tcW w:w="152" w:type="pct"/>
            <w:vAlign w:val="top"/>
          </w:tcPr>
          <w:p w14:paraId="4CDC6C1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C027C4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16A8049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w:t>
            </w:r>
          </w:p>
        </w:tc>
        <w:tc>
          <w:tcPr>
            <w:tcW w:w="760" w:type="pct"/>
            <w:gridSpan w:val="2"/>
            <w:vMerge w:val="restart"/>
            <w:vAlign w:val="center"/>
          </w:tcPr>
          <w:p w14:paraId="4C36FB1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联华村朱里</w:t>
            </w:r>
          </w:p>
        </w:tc>
        <w:tc>
          <w:tcPr>
            <w:tcW w:w="253" w:type="pct"/>
            <w:vMerge w:val="restart"/>
            <w:vAlign w:val="center"/>
          </w:tcPr>
          <w:p w14:paraId="6C4F057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r>
              <w:rPr>
                <w:color w:val="000000" w:themeColor="text1"/>
                <w:sz w:val="18"/>
                <w:szCs w:val="18"/>
                <w14:textFill>
                  <w14:solidFill>
                    <w14:schemeClr w14:val="tx1"/>
                  </w14:solidFill>
                </w14:textFill>
              </w:rPr>
              <w:t>4</w:t>
            </w:r>
          </w:p>
        </w:tc>
        <w:tc>
          <w:tcPr>
            <w:tcW w:w="202" w:type="pct"/>
            <w:vMerge w:val="restart"/>
            <w:vAlign w:val="center"/>
          </w:tcPr>
          <w:p w14:paraId="0CA4820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203" w:type="pct"/>
            <w:vMerge w:val="restart"/>
            <w:vAlign w:val="center"/>
          </w:tcPr>
          <w:p w14:paraId="20CEE8F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208" w:type="pct"/>
            <w:vMerge w:val="restart"/>
            <w:vAlign w:val="center"/>
          </w:tcPr>
          <w:p w14:paraId="0B90B1EB">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6F15FF9E">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7D187003">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1370A20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627B193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94" w:type="pct"/>
            <w:vAlign w:val="center"/>
          </w:tcPr>
          <w:p w14:paraId="426F4B2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50.0</w:t>
            </w:r>
          </w:p>
        </w:tc>
        <w:tc>
          <w:tcPr>
            <w:tcW w:w="184" w:type="pct"/>
            <w:vAlign w:val="center"/>
          </w:tcPr>
          <w:p w14:paraId="0883C49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56.2</w:t>
            </w:r>
          </w:p>
        </w:tc>
        <w:tc>
          <w:tcPr>
            <w:tcW w:w="236" w:type="pct"/>
            <w:vAlign w:val="center"/>
          </w:tcPr>
          <w:p w14:paraId="42331B0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 </w:t>
            </w:r>
          </w:p>
        </w:tc>
        <w:tc>
          <w:tcPr>
            <w:tcW w:w="193" w:type="pct"/>
            <w:vAlign w:val="top"/>
          </w:tcPr>
          <w:p w14:paraId="2C484BF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4FC56D2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55.4</w:t>
            </w:r>
          </w:p>
        </w:tc>
        <w:tc>
          <w:tcPr>
            <w:tcW w:w="169" w:type="pct"/>
            <w:vAlign w:val="center"/>
          </w:tcPr>
          <w:p w14:paraId="59E7CF3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58.2</w:t>
            </w:r>
          </w:p>
        </w:tc>
        <w:tc>
          <w:tcPr>
            <w:tcW w:w="218" w:type="pct"/>
            <w:vAlign w:val="center"/>
          </w:tcPr>
          <w:p w14:paraId="356D6E9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3.2 </w:t>
            </w:r>
          </w:p>
        </w:tc>
        <w:tc>
          <w:tcPr>
            <w:tcW w:w="188" w:type="pct"/>
            <w:vAlign w:val="top"/>
          </w:tcPr>
          <w:p w14:paraId="026325B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45DC426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55.7</w:t>
            </w:r>
          </w:p>
        </w:tc>
        <w:tc>
          <w:tcPr>
            <w:tcW w:w="164" w:type="pct"/>
            <w:vAlign w:val="center"/>
          </w:tcPr>
          <w:p w14:paraId="37F4E63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58.4</w:t>
            </w:r>
          </w:p>
        </w:tc>
        <w:tc>
          <w:tcPr>
            <w:tcW w:w="232" w:type="pct"/>
            <w:vAlign w:val="center"/>
          </w:tcPr>
          <w:p w14:paraId="412E362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3.4 </w:t>
            </w:r>
          </w:p>
        </w:tc>
        <w:tc>
          <w:tcPr>
            <w:tcW w:w="152" w:type="pct"/>
            <w:vAlign w:val="top"/>
          </w:tcPr>
          <w:p w14:paraId="2695E79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673727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457" w:hRule="atLeast"/>
          <w:tblHeader/>
          <w:jc w:val="center"/>
        </w:trPr>
        <w:tc>
          <w:tcPr>
            <w:tcW w:w="152" w:type="pct"/>
            <w:vMerge w:val="continue"/>
            <w:vAlign w:val="center"/>
          </w:tcPr>
          <w:p w14:paraId="30BA4162">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1FC18671">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27564BCE">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49B59A3A">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02E7B51D">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3CD6591">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527D5D7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38DE47E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759C46C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w:t>
            </w:r>
          </w:p>
        </w:tc>
        <w:tc>
          <w:tcPr>
            <w:tcW w:w="241" w:type="pct"/>
            <w:vAlign w:val="center"/>
          </w:tcPr>
          <w:p w14:paraId="08B0E9A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w:t>
            </w:r>
          </w:p>
        </w:tc>
        <w:tc>
          <w:tcPr>
            <w:tcW w:w="194" w:type="pct"/>
            <w:vAlign w:val="center"/>
          </w:tcPr>
          <w:p w14:paraId="3184106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42.4</w:t>
            </w:r>
          </w:p>
        </w:tc>
        <w:tc>
          <w:tcPr>
            <w:tcW w:w="184" w:type="pct"/>
            <w:vAlign w:val="center"/>
          </w:tcPr>
          <w:p w14:paraId="272DE89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49.0</w:t>
            </w:r>
          </w:p>
        </w:tc>
        <w:tc>
          <w:tcPr>
            <w:tcW w:w="236" w:type="pct"/>
            <w:vAlign w:val="center"/>
          </w:tcPr>
          <w:p w14:paraId="3E0C8D9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1.0 </w:t>
            </w:r>
          </w:p>
        </w:tc>
        <w:tc>
          <w:tcPr>
            <w:tcW w:w="193" w:type="pct"/>
            <w:vAlign w:val="top"/>
          </w:tcPr>
          <w:p w14:paraId="58A041A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BB805E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42.8</w:t>
            </w:r>
          </w:p>
        </w:tc>
        <w:tc>
          <w:tcPr>
            <w:tcW w:w="169" w:type="pct"/>
            <w:vAlign w:val="center"/>
          </w:tcPr>
          <w:p w14:paraId="59F2506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49.2</w:t>
            </w:r>
          </w:p>
        </w:tc>
        <w:tc>
          <w:tcPr>
            <w:tcW w:w="218" w:type="pct"/>
            <w:vAlign w:val="center"/>
          </w:tcPr>
          <w:p w14:paraId="1C48174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 </w:t>
            </w:r>
          </w:p>
        </w:tc>
        <w:tc>
          <w:tcPr>
            <w:tcW w:w="188" w:type="pct"/>
            <w:vAlign w:val="top"/>
          </w:tcPr>
          <w:p w14:paraId="59E9F28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0D63759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43.1</w:t>
            </w:r>
          </w:p>
        </w:tc>
        <w:tc>
          <w:tcPr>
            <w:tcW w:w="164" w:type="pct"/>
            <w:vAlign w:val="center"/>
          </w:tcPr>
          <w:p w14:paraId="6FF2D33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49.2</w:t>
            </w:r>
          </w:p>
        </w:tc>
        <w:tc>
          <w:tcPr>
            <w:tcW w:w="232" w:type="pct"/>
            <w:vAlign w:val="center"/>
          </w:tcPr>
          <w:p w14:paraId="43A9BB9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 </w:t>
            </w:r>
          </w:p>
        </w:tc>
        <w:tc>
          <w:tcPr>
            <w:tcW w:w="152" w:type="pct"/>
            <w:vAlign w:val="top"/>
          </w:tcPr>
          <w:p w14:paraId="268665E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6112841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682D230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1</w:t>
            </w:r>
          </w:p>
        </w:tc>
        <w:tc>
          <w:tcPr>
            <w:tcW w:w="152" w:type="pct"/>
            <w:vMerge w:val="restart"/>
            <w:vAlign w:val="center"/>
          </w:tcPr>
          <w:p w14:paraId="7B948AE8">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联华村木厝洋</w:t>
            </w:r>
          </w:p>
        </w:tc>
        <w:tc>
          <w:tcPr>
            <w:tcW w:w="608" w:type="pct"/>
            <w:vMerge w:val="restart"/>
            <w:vAlign w:val="center"/>
          </w:tcPr>
          <w:p w14:paraId="20DE276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临拟建公路第一排1</w:t>
            </w:r>
            <w:r>
              <w:rPr>
                <w:color w:val="000000" w:themeColor="text1"/>
                <w:sz w:val="18"/>
                <w:szCs w:val="18"/>
                <w14:textFill>
                  <w14:solidFill>
                    <w14:schemeClr w14:val="tx1"/>
                  </w14:solidFill>
                </w14:textFill>
              </w:rPr>
              <w:t>F</w:t>
            </w:r>
          </w:p>
        </w:tc>
        <w:tc>
          <w:tcPr>
            <w:tcW w:w="253" w:type="pct"/>
            <w:vMerge w:val="restart"/>
            <w:vAlign w:val="center"/>
          </w:tcPr>
          <w:p w14:paraId="525D12E7">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20</w:t>
            </w:r>
          </w:p>
        </w:tc>
        <w:tc>
          <w:tcPr>
            <w:tcW w:w="202" w:type="pct"/>
            <w:vMerge w:val="restart"/>
            <w:vAlign w:val="center"/>
          </w:tcPr>
          <w:p w14:paraId="7A48EAA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203" w:type="pct"/>
            <w:vMerge w:val="restart"/>
            <w:vAlign w:val="center"/>
          </w:tcPr>
          <w:p w14:paraId="6952AA5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208" w:type="pct"/>
            <w:vMerge w:val="restart"/>
            <w:vAlign w:val="center"/>
          </w:tcPr>
          <w:p w14:paraId="4591867D">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03045F59">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4091F837">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614B617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7FA9EF1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94" w:type="pct"/>
            <w:vAlign w:val="center"/>
          </w:tcPr>
          <w:p w14:paraId="3781CCB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61.3</w:t>
            </w:r>
          </w:p>
        </w:tc>
        <w:tc>
          <w:tcPr>
            <w:tcW w:w="184" w:type="pct"/>
            <w:vAlign w:val="center"/>
          </w:tcPr>
          <w:p w14:paraId="5FA83F0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62.2</w:t>
            </w:r>
          </w:p>
        </w:tc>
        <w:tc>
          <w:tcPr>
            <w:tcW w:w="236" w:type="pct"/>
            <w:vAlign w:val="center"/>
          </w:tcPr>
          <w:p w14:paraId="6E0F9B9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7.2 </w:t>
            </w:r>
          </w:p>
        </w:tc>
        <w:tc>
          <w:tcPr>
            <w:tcW w:w="193" w:type="pct"/>
            <w:vAlign w:val="top"/>
          </w:tcPr>
          <w:p w14:paraId="30E41F6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3A75C7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63.9</w:t>
            </w:r>
          </w:p>
        </w:tc>
        <w:tc>
          <w:tcPr>
            <w:tcW w:w="169" w:type="pct"/>
            <w:vAlign w:val="center"/>
          </w:tcPr>
          <w:p w14:paraId="6F45167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64.4</w:t>
            </w:r>
          </w:p>
        </w:tc>
        <w:tc>
          <w:tcPr>
            <w:tcW w:w="218" w:type="pct"/>
            <w:vAlign w:val="center"/>
          </w:tcPr>
          <w:p w14:paraId="2ED3303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9.4 </w:t>
            </w:r>
          </w:p>
        </w:tc>
        <w:tc>
          <w:tcPr>
            <w:tcW w:w="188" w:type="pct"/>
            <w:vAlign w:val="top"/>
          </w:tcPr>
          <w:p w14:paraId="0AC1C45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4965995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64.1</w:t>
            </w:r>
          </w:p>
        </w:tc>
        <w:tc>
          <w:tcPr>
            <w:tcW w:w="164" w:type="pct"/>
            <w:vAlign w:val="center"/>
          </w:tcPr>
          <w:p w14:paraId="1B6BEBB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64.6</w:t>
            </w:r>
          </w:p>
        </w:tc>
        <w:tc>
          <w:tcPr>
            <w:tcW w:w="232" w:type="pct"/>
            <w:vAlign w:val="center"/>
          </w:tcPr>
          <w:p w14:paraId="08BA5B3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9.6 </w:t>
            </w:r>
          </w:p>
        </w:tc>
        <w:tc>
          <w:tcPr>
            <w:tcW w:w="152" w:type="pct"/>
            <w:vAlign w:val="top"/>
          </w:tcPr>
          <w:p w14:paraId="517F815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3AE4157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25FA1B42">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9E87FEA">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0FD3342F">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62F2ADBF">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3E813AED">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2C9F103B">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20D634F3">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3BB2C8E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2E983636">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18563B3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241" w:type="pct"/>
            <w:vAlign w:val="center"/>
          </w:tcPr>
          <w:p w14:paraId="32E7599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94" w:type="pct"/>
            <w:vAlign w:val="center"/>
          </w:tcPr>
          <w:p w14:paraId="4787E34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53.7</w:t>
            </w:r>
          </w:p>
        </w:tc>
        <w:tc>
          <w:tcPr>
            <w:tcW w:w="184" w:type="pct"/>
            <w:vAlign w:val="center"/>
          </w:tcPr>
          <w:p w14:paraId="3EC476E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54.0</w:t>
            </w:r>
          </w:p>
        </w:tc>
        <w:tc>
          <w:tcPr>
            <w:tcW w:w="236" w:type="pct"/>
            <w:vAlign w:val="center"/>
          </w:tcPr>
          <w:p w14:paraId="2B0B80C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11.0 </w:t>
            </w:r>
          </w:p>
        </w:tc>
        <w:tc>
          <w:tcPr>
            <w:tcW w:w="193" w:type="pct"/>
            <w:vAlign w:val="top"/>
          </w:tcPr>
          <w:p w14:paraId="78756BF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83FB43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54.1</w:t>
            </w:r>
          </w:p>
        </w:tc>
        <w:tc>
          <w:tcPr>
            <w:tcW w:w="169" w:type="pct"/>
            <w:vAlign w:val="center"/>
          </w:tcPr>
          <w:p w14:paraId="554BE34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54.5</w:t>
            </w:r>
          </w:p>
        </w:tc>
        <w:tc>
          <w:tcPr>
            <w:tcW w:w="218" w:type="pct"/>
            <w:vAlign w:val="center"/>
          </w:tcPr>
          <w:p w14:paraId="36AA9DA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11.5 </w:t>
            </w:r>
          </w:p>
        </w:tc>
        <w:tc>
          <w:tcPr>
            <w:tcW w:w="188" w:type="pct"/>
            <w:vAlign w:val="top"/>
          </w:tcPr>
          <w:p w14:paraId="1C221C0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3A1C8D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54.4</w:t>
            </w:r>
          </w:p>
        </w:tc>
        <w:tc>
          <w:tcPr>
            <w:tcW w:w="164" w:type="pct"/>
            <w:vAlign w:val="center"/>
          </w:tcPr>
          <w:p w14:paraId="2FE4823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54.7</w:t>
            </w:r>
          </w:p>
        </w:tc>
        <w:tc>
          <w:tcPr>
            <w:tcW w:w="232" w:type="pct"/>
            <w:vAlign w:val="center"/>
          </w:tcPr>
          <w:p w14:paraId="4DC9618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11.7 </w:t>
            </w:r>
          </w:p>
        </w:tc>
        <w:tc>
          <w:tcPr>
            <w:tcW w:w="152" w:type="pct"/>
            <w:vAlign w:val="top"/>
          </w:tcPr>
          <w:p w14:paraId="68C2C4A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4F86DE8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DC64F7A">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308AAA07">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464ABBFF">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临拟建公路第一排</w:t>
            </w:r>
            <w:r>
              <w:rPr>
                <w:color w:val="000000" w:themeColor="text1"/>
                <w:sz w:val="18"/>
                <w:szCs w:val="18"/>
                <w14:textFill>
                  <w14:solidFill>
                    <w14:schemeClr w14:val="tx1"/>
                  </w14:solidFill>
                </w14:textFill>
              </w:rPr>
              <w:t>3F</w:t>
            </w:r>
          </w:p>
        </w:tc>
        <w:tc>
          <w:tcPr>
            <w:tcW w:w="253" w:type="pct"/>
            <w:vMerge w:val="continue"/>
            <w:vAlign w:val="center"/>
          </w:tcPr>
          <w:p w14:paraId="79D389DE">
            <w:pPr>
              <w:pStyle w:val="105"/>
              <w:spacing w:before="0" w:after="0"/>
              <w:jc w:val="center"/>
              <w:rPr>
                <w:color w:val="000000" w:themeColor="text1"/>
                <w:sz w:val="18"/>
                <w:szCs w:val="18"/>
                <w14:textFill>
                  <w14:solidFill>
                    <w14:schemeClr w14:val="tx1"/>
                  </w14:solidFill>
                </w14:textFill>
              </w:rPr>
            </w:pPr>
          </w:p>
        </w:tc>
        <w:tc>
          <w:tcPr>
            <w:tcW w:w="202" w:type="pct"/>
            <w:vMerge w:val="restart"/>
            <w:vAlign w:val="center"/>
          </w:tcPr>
          <w:p w14:paraId="3CE2A7D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6</w:t>
            </w:r>
          </w:p>
        </w:tc>
        <w:tc>
          <w:tcPr>
            <w:tcW w:w="203" w:type="pct"/>
            <w:vMerge w:val="continue"/>
            <w:vAlign w:val="center"/>
          </w:tcPr>
          <w:p w14:paraId="5FA296D3">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2D36936">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237542C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292767A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36B0059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577E8BC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94" w:type="pct"/>
            <w:vAlign w:val="center"/>
          </w:tcPr>
          <w:p w14:paraId="1EDEF72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61.2</w:t>
            </w:r>
          </w:p>
        </w:tc>
        <w:tc>
          <w:tcPr>
            <w:tcW w:w="184" w:type="pct"/>
            <w:vAlign w:val="center"/>
          </w:tcPr>
          <w:p w14:paraId="5A7F3D2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62.1</w:t>
            </w:r>
          </w:p>
        </w:tc>
        <w:tc>
          <w:tcPr>
            <w:tcW w:w="236" w:type="pct"/>
            <w:vAlign w:val="center"/>
          </w:tcPr>
          <w:p w14:paraId="4561316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7.1 </w:t>
            </w:r>
          </w:p>
        </w:tc>
        <w:tc>
          <w:tcPr>
            <w:tcW w:w="193" w:type="pct"/>
            <w:vAlign w:val="top"/>
          </w:tcPr>
          <w:p w14:paraId="3951FE8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64A016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63.8</w:t>
            </w:r>
          </w:p>
        </w:tc>
        <w:tc>
          <w:tcPr>
            <w:tcW w:w="169" w:type="pct"/>
            <w:vAlign w:val="center"/>
          </w:tcPr>
          <w:p w14:paraId="2318A57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64.3</w:t>
            </w:r>
          </w:p>
        </w:tc>
        <w:tc>
          <w:tcPr>
            <w:tcW w:w="218" w:type="pct"/>
            <w:vAlign w:val="center"/>
          </w:tcPr>
          <w:p w14:paraId="7CEACA6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9.3 </w:t>
            </w:r>
          </w:p>
        </w:tc>
        <w:tc>
          <w:tcPr>
            <w:tcW w:w="188" w:type="pct"/>
            <w:vAlign w:val="top"/>
          </w:tcPr>
          <w:p w14:paraId="5B21F85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190E25E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64.0</w:t>
            </w:r>
          </w:p>
        </w:tc>
        <w:tc>
          <w:tcPr>
            <w:tcW w:w="164" w:type="pct"/>
            <w:vAlign w:val="center"/>
          </w:tcPr>
          <w:p w14:paraId="681FB5F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64.5</w:t>
            </w:r>
          </w:p>
        </w:tc>
        <w:tc>
          <w:tcPr>
            <w:tcW w:w="232" w:type="pct"/>
            <w:vAlign w:val="center"/>
          </w:tcPr>
          <w:p w14:paraId="74A1568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9.6</w:t>
            </w:r>
          </w:p>
        </w:tc>
        <w:tc>
          <w:tcPr>
            <w:tcW w:w="152" w:type="pct"/>
            <w:vAlign w:val="top"/>
          </w:tcPr>
          <w:p w14:paraId="03F28B9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77B083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28FDF71C">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23522937">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42869E98">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2CB0F7F0">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17D2E2D7">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47AA4801">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185F27AF">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5D54224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0F3A257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2E1B68E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241" w:type="pct"/>
            <w:vAlign w:val="center"/>
          </w:tcPr>
          <w:p w14:paraId="16AF331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94" w:type="pct"/>
            <w:vAlign w:val="center"/>
          </w:tcPr>
          <w:p w14:paraId="68243B6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53.6</w:t>
            </w:r>
          </w:p>
        </w:tc>
        <w:tc>
          <w:tcPr>
            <w:tcW w:w="184" w:type="pct"/>
            <w:vAlign w:val="center"/>
          </w:tcPr>
          <w:p w14:paraId="44F3EF5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53.9</w:t>
            </w:r>
          </w:p>
        </w:tc>
        <w:tc>
          <w:tcPr>
            <w:tcW w:w="236" w:type="pct"/>
            <w:vAlign w:val="center"/>
          </w:tcPr>
          <w:p w14:paraId="13EBBB5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10.9</w:t>
            </w:r>
          </w:p>
        </w:tc>
        <w:tc>
          <w:tcPr>
            <w:tcW w:w="193" w:type="pct"/>
            <w:vAlign w:val="top"/>
          </w:tcPr>
          <w:p w14:paraId="0BC6578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FD7C95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54.0</w:t>
            </w:r>
          </w:p>
        </w:tc>
        <w:tc>
          <w:tcPr>
            <w:tcW w:w="169" w:type="pct"/>
            <w:vAlign w:val="center"/>
          </w:tcPr>
          <w:p w14:paraId="44D0FA5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54.4</w:t>
            </w:r>
          </w:p>
        </w:tc>
        <w:tc>
          <w:tcPr>
            <w:tcW w:w="218" w:type="pct"/>
            <w:vAlign w:val="center"/>
          </w:tcPr>
          <w:p w14:paraId="5BC930B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11.4 </w:t>
            </w:r>
          </w:p>
        </w:tc>
        <w:tc>
          <w:tcPr>
            <w:tcW w:w="188" w:type="pct"/>
            <w:vAlign w:val="top"/>
          </w:tcPr>
          <w:p w14:paraId="276411A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3837A6C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54.3</w:t>
            </w:r>
          </w:p>
        </w:tc>
        <w:tc>
          <w:tcPr>
            <w:tcW w:w="164" w:type="pct"/>
            <w:vAlign w:val="center"/>
          </w:tcPr>
          <w:p w14:paraId="36BB588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54.6</w:t>
            </w:r>
          </w:p>
        </w:tc>
        <w:tc>
          <w:tcPr>
            <w:tcW w:w="232" w:type="pct"/>
            <w:vAlign w:val="center"/>
          </w:tcPr>
          <w:p w14:paraId="59FDD54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11.6 </w:t>
            </w:r>
          </w:p>
        </w:tc>
        <w:tc>
          <w:tcPr>
            <w:tcW w:w="152" w:type="pct"/>
            <w:vAlign w:val="top"/>
          </w:tcPr>
          <w:p w14:paraId="0C3350F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45D63A4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76E10418">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071970F4">
            <w:pPr>
              <w:pStyle w:val="105"/>
              <w:spacing w:before="0" w:after="0"/>
              <w:jc w:val="center"/>
              <w:rPr>
                <w:color w:val="000000" w:themeColor="text1"/>
                <w:sz w:val="18"/>
                <w:szCs w:val="18"/>
                <w14:textFill>
                  <w14:solidFill>
                    <w14:schemeClr w14:val="tx1"/>
                  </w14:solidFill>
                </w14:textFill>
              </w:rPr>
            </w:pPr>
          </w:p>
        </w:tc>
        <w:tc>
          <w:tcPr>
            <w:tcW w:w="608" w:type="pct"/>
            <w:vMerge w:val="restart"/>
            <w:vAlign w:val="center"/>
          </w:tcPr>
          <w:p w14:paraId="659CF0A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后排</w:t>
            </w:r>
          </w:p>
        </w:tc>
        <w:tc>
          <w:tcPr>
            <w:tcW w:w="253" w:type="pct"/>
            <w:vMerge w:val="restart"/>
            <w:vAlign w:val="center"/>
          </w:tcPr>
          <w:p w14:paraId="397BF0D6">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r>
              <w:rPr>
                <w:color w:val="000000" w:themeColor="text1"/>
                <w:sz w:val="18"/>
                <w:szCs w:val="18"/>
                <w14:textFill>
                  <w14:solidFill>
                    <w14:schemeClr w14:val="tx1"/>
                  </w14:solidFill>
                </w14:textFill>
              </w:rPr>
              <w:t>2</w:t>
            </w:r>
          </w:p>
        </w:tc>
        <w:tc>
          <w:tcPr>
            <w:tcW w:w="202" w:type="pct"/>
            <w:vMerge w:val="restart"/>
            <w:vAlign w:val="center"/>
          </w:tcPr>
          <w:p w14:paraId="127E4FF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203" w:type="pct"/>
            <w:vMerge w:val="restart"/>
            <w:vAlign w:val="center"/>
          </w:tcPr>
          <w:p w14:paraId="2EC72E0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.55</w:t>
            </w:r>
          </w:p>
        </w:tc>
        <w:tc>
          <w:tcPr>
            <w:tcW w:w="208" w:type="pct"/>
            <w:vMerge w:val="restart"/>
            <w:vAlign w:val="center"/>
          </w:tcPr>
          <w:p w14:paraId="4AA383FA">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66D1B37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6BC6D28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1FA5657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0E46136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194" w:type="pct"/>
            <w:vAlign w:val="center"/>
          </w:tcPr>
          <w:p w14:paraId="0486366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53.3</w:t>
            </w:r>
          </w:p>
        </w:tc>
        <w:tc>
          <w:tcPr>
            <w:tcW w:w="184" w:type="pct"/>
            <w:vAlign w:val="center"/>
          </w:tcPr>
          <w:p w14:paraId="5F0E23C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57.2</w:t>
            </w:r>
          </w:p>
        </w:tc>
        <w:tc>
          <w:tcPr>
            <w:tcW w:w="236" w:type="pct"/>
            <w:vAlign w:val="center"/>
          </w:tcPr>
          <w:p w14:paraId="16F0F0F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2.2 </w:t>
            </w:r>
          </w:p>
        </w:tc>
        <w:tc>
          <w:tcPr>
            <w:tcW w:w="193" w:type="pct"/>
            <w:vAlign w:val="top"/>
          </w:tcPr>
          <w:p w14:paraId="556FF00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2277345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57.5</w:t>
            </w:r>
          </w:p>
        </w:tc>
        <w:tc>
          <w:tcPr>
            <w:tcW w:w="169" w:type="pct"/>
            <w:vAlign w:val="center"/>
          </w:tcPr>
          <w:p w14:paraId="56DCE88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59.4</w:t>
            </w:r>
          </w:p>
        </w:tc>
        <w:tc>
          <w:tcPr>
            <w:tcW w:w="218" w:type="pct"/>
            <w:vAlign w:val="center"/>
          </w:tcPr>
          <w:p w14:paraId="1786D73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4.4 </w:t>
            </w:r>
          </w:p>
        </w:tc>
        <w:tc>
          <w:tcPr>
            <w:tcW w:w="188" w:type="pct"/>
            <w:vAlign w:val="top"/>
          </w:tcPr>
          <w:p w14:paraId="552AF3C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208BCD8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57.7</w:t>
            </w:r>
          </w:p>
        </w:tc>
        <w:tc>
          <w:tcPr>
            <w:tcW w:w="164" w:type="pct"/>
            <w:vAlign w:val="center"/>
          </w:tcPr>
          <w:p w14:paraId="09386D2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59.6</w:t>
            </w:r>
          </w:p>
        </w:tc>
        <w:tc>
          <w:tcPr>
            <w:tcW w:w="232" w:type="pct"/>
            <w:vAlign w:val="center"/>
          </w:tcPr>
          <w:p w14:paraId="59B7684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4.6 </w:t>
            </w:r>
          </w:p>
        </w:tc>
        <w:tc>
          <w:tcPr>
            <w:tcW w:w="152" w:type="pct"/>
            <w:vAlign w:val="top"/>
          </w:tcPr>
          <w:p w14:paraId="575AF85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7CE6315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105EF46">
            <w:pPr>
              <w:pStyle w:val="105"/>
              <w:spacing w:before="0" w:after="0"/>
              <w:jc w:val="center"/>
              <w:rPr>
                <w:color w:val="000000" w:themeColor="text1"/>
                <w:sz w:val="18"/>
                <w:szCs w:val="18"/>
                <w14:textFill>
                  <w14:solidFill>
                    <w14:schemeClr w14:val="tx1"/>
                  </w14:solidFill>
                </w14:textFill>
              </w:rPr>
            </w:pPr>
          </w:p>
        </w:tc>
        <w:tc>
          <w:tcPr>
            <w:tcW w:w="152" w:type="pct"/>
            <w:vMerge w:val="continue"/>
            <w:vAlign w:val="center"/>
          </w:tcPr>
          <w:p w14:paraId="0DCC6941">
            <w:pPr>
              <w:pStyle w:val="105"/>
              <w:spacing w:before="0" w:after="0"/>
              <w:jc w:val="center"/>
              <w:rPr>
                <w:color w:val="000000" w:themeColor="text1"/>
                <w:sz w:val="18"/>
                <w:szCs w:val="18"/>
                <w14:textFill>
                  <w14:solidFill>
                    <w14:schemeClr w14:val="tx1"/>
                  </w14:solidFill>
                </w14:textFill>
              </w:rPr>
            </w:pPr>
          </w:p>
        </w:tc>
        <w:tc>
          <w:tcPr>
            <w:tcW w:w="608" w:type="pct"/>
            <w:vMerge w:val="continue"/>
            <w:vAlign w:val="center"/>
          </w:tcPr>
          <w:p w14:paraId="5FABA2CA">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2D07870A">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5C49BC0D">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65B354EF">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7A06F65B">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2FC805B7">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613F0ED5">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228CA94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241" w:type="pct"/>
            <w:vAlign w:val="center"/>
          </w:tcPr>
          <w:p w14:paraId="48960E8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w:t>
            </w:r>
          </w:p>
        </w:tc>
        <w:tc>
          <w:tcPr>
            <w:tcW w:w="194" w:type="pct"/>
            <w:vAlign w:val="center"/>
          </w:tcPr>
          <w:p w14:paraId="4830EDE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45.7</w:t>
            </w:r>
          </w:p>
        </w:tc>
        <w:tc>
          <w:tcPr>
            <w:tcW w:w="184" w:type="pct"/>
            <w:vAlign w:val="center"/>
          </w:tcPr>
          <w:p w14:paraId="02C83FF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47.6</w:t>
            </w:r>
          </w:p>
        </w:tc>
        <w:tc>
          <w:tcPr>
            <w:tcW w:w="236" w:type="pct"/>
            <w:vAlign w:val="center"/>
          </w:tcPr>
          <w:p w14:paraId="106E01D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4.6 </w:t>
            </w:r>
          </w:p>
        </w:tc>
        <w:tc>
          <w:tcPr>
            <w:tcW w:w="193" w:type="pct"/>
            <w:vAlign w:val="top"/>
          </w:tcPr>
          <w:p w14:paraId="1354EA2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1CAAEBC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46.1</w:t>
            </w:r>
          </w:p>
        </w:tc>
        <w:tc>
          <w:tcPr>
            <w:tcW w:w="169" w:type="pct"/>
            <w:vAlign w:val="center"/>
          </w:tcPr>
          <w:p w14:paraId="565D4D1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47.9</w:t>
            </w:r>
          </w:p>
        </w:tc>
        <w:tc>
          <w:tcPr>
            <w:tcW w:w="218" w:type="pct"/>
            <w:vAlign w:val="center"/>
          </w:tcPr>
          <w:p w14:paraId="6158DB7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4.9 </w:t>
            </w:r>
          </w:p>
        </w:tc>
        <w:tc>
          <w:tcPr>
            <w:tcW w:w="188" w:type="pct"/>
            <w:vAlign w:val="top"/>
          </w:tcPr>
          <w:p w14:paraId="0176226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2D170FD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46.4</w:t>
            </w:r>
          </w:p>
        </w:tc>
        <w:tc>
          <w:tcPr>
            <w:tcW w:w="164" w:type="pct"/>
            <w:vAlign w:val="center"/>
          </w:tcPr>
          <w:p w14:paraId="2C25610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48.0</w:t>
            </w:r>
          </w:p>
        </w:tc>
        <w:tc>
          <w:tcPr>
            <w:tcW w:w="232" w:type="pct"/>
            <w:vAlign w:val="center"/>
          </w:tcPr>
          <w:p w14:paraId="31B2510C">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5.0 </w:t>
            </w:r>
          </w:p>
        </w:tc>
        <w:tc>
          <w:tcPr>
            <w:tcW w:w="152" w:type="pct"/>
            <w:vAlign w:val="top"/>
          </w:tcPr>
          <w:p w14:paraId="16ED9B8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5CF4D2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restart"/>
            <w:vAlign w:val="center"/>
          </w:tcPr>
          <w:p w14:paraId="5D88DD9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2</w:t>
            </w:r>
          </w:p>
        </w:tc>
        <w:tc>
          <w:tcPr>
            <w:tcW w:w="760" w:type="pct"/>
            <w:gridSpan w:val="2"/>
            <w:vMerge w:val="restart"/>
            <w:vAlign w:val="center"/>
          </w:tcPr>
          <w:p w14:paraId="77B407DD">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联华村三落厝</w:t>
            </w:r>
          </w:p>
        </w:tc>
        <w:tc>
          <w:tcPr>
            <w:tcW w:w="253" w:type="pct"/>
            <w:vMerge w:val="restart"/>
            <w:vAlign w:val="center"/>
          </w:tcPr>
          <w:p w14:paraId="27171450">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r>
              <w:rPr>
                <w:color w:val="000000" w:themeColor="text1"/>
                <w:sz w:val="18"/>
                <w:szCs w:val="18"/>
                <w14:textFill>
                  <w14:solidFill>
                    <w14:schemeClr w14:val="tx1"/>
                  </w14:solidFill>
                </w14:textFill>
              </w:rPr>
              <w:t>5</w:t>
            </w:r>
          </w:p>
        </w:tc>
        <w:tc>
          <w:tcPr>
            <w:tcW w:w="202" w:type="pct"/>
            <w:vMerge w:val="restart"/>
            <w:vAlign w:val="center"/>
          </w:tcPr>
          <w:p w14:paraId="48EFF69B">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9</w:t>
            </w:r>
          </w:p>
        </w:tc>
        <w:tc>
          <w:tcPr>
            <w:tcW w:w="203" w:type="pct"/>
            <w:vMerge w:val="restart"/>
            <w:vAlign w:val="center"/>
          </w:tcPr>
          <w:p w14:paraId="796A1C82">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-2.8</w:t>
            </w:r>
          </w:p>
        </w:tc>
        <w:tc>
          <w:tcPr>
            <w:tcW w:w="208" w:type="pct"/>
            <w:vMerge w:val="restart"/>
            <w:vAlign w:val="center"/>
          </w:tcPr>
          <w:p w14:paraId="0EE7D194">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241" w:type="pct"/>
            <w:vAlign w:val="center"/>
          </w:tcPr>
          <w:p w14:paraId="7D5556C7">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4ACF6C29">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70</w:t>
            </w:r>
          </w:p>
        </w:tc>
        <w:tc>
          <w:tcPr>
            <w:tcW w:w="241" w:type="pct"/>
            <w:vAlign w:val="center"/>
          </w:tcPr>
          <w:p w14:paraId="7452A64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241" w:type="pct"/>
            <w:vAlign w:val="center"/>
          </w:tcPr>
          <w:p w14:paraId="5C4FCEB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194" w:type="pct"/>
            <w:vAlign w:val="center"/>
          </w:tcPr>
          <w:p w14:paraId="0D3BCBA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60.0</w:t>
            </w:r>
          </w:p>
        </w:tc>
        <w:tc>
          <w:tcPr>
            <w:tcW w:w="184" w:type="pct"/>
            <w:vAlign w:val="center"/>
          </w:tcPr>
          <w:p w14:paraId="02EB6DC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60.7</w:t>
            </w:r>
          </w:p>
        </w:tc>
        <w:tc>
          <w:tcPr>
            <w:tcW w:w="236" w:type="pct"/>
            <w:vAlign w:val="center"/>
          </w:tcPr>
          <w:p w14:paraId="1883858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8.7 </w:t>
            </w:r>
          </w:p>
        </w:tc>
        <w:tc>
          <w:tcPr>
            <w:tcW w:w="193" w:type="pct"/>
            <w:vAlign w:val="top"/>
          </w:tcPr>
          <w:p w14:paraId="027BE87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24B553C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63.9</w:t>
            </w:r>
          </w:p>
        </w:tc>
        <w:tc>
          <w:tcPr>
            <w:tcW w:w="169" w:type="pct"/>
            <w:vAlign w:val="center"/>
          </w:tcPr>
          <w:p w14:paraId="7EFC625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64.1</w:t>
            </w:r>
          </w:p>
        </w:tc>
        <w:tc>
          <w:tcPr>
            <w:tcW w:w="218" w:type="pct"/>
            <w:vAlign w:val="center"/>
          </w:tcPr>
          <w:p w14:paraId="3F56F37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12.1 </w:t>
            </w:r>
          </w:p>
        </w:tc>
        <w:tc>
          <w:tcPr>
            <w:tcW w:w="188" w:type="pct"/>
            <w:vAlign w:val="top"/>
          </w:tcPr>
          <w:p w14:paraId="0C5ECEA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9A9EB05">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64.2</w:t>
            </w:r>
          </w:p>
        </w:tc>
        <w:tc>
          <w:tcPr>
            <w:tcW w:w="164" w:type="pct"/>
            <w:vAlign w:val="center"/>
          </w:tcPr>
          <w:p w14:paraId="4EA0F4E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64.4</w:t>
            </w:r>
          </w:p>
        </w:tc>
        <w:tc>
          <w:tcPr>
            <w:tcW w:w="232" w:type="pct"/>
            <w:vAlign w:val="center"/>
          </w:tcPr>
          <w:p w14:paraId="54E0F9B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12.4 </w:t>
            </w:r>
          </w:p>
        </w:tc>
        <w:tc>
          <w:tcPr>
            <w:tcW w:w="152" w:type="pct"/>
            <w:vAlign w:val="top"/>
          </w:tcPr>
          <w:p w14:paraId="16211A0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007028C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6CDF66FE">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545AD698">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7F2D2876">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35F184FF">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75FF31F3">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3144AB57">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1FC1C151">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13F9BA7B">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55</w:t>
            </w:r>
          </w:p>
        </w:tc>
        <w:tc>
          <w:tcPr>
            <w:tcW w:w="241" w:type="pct"/>
            <w:vAlign w:val="center"/>
          </w:tcPr>
          <w:p w14:paraId="7B4E16E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241" w:type="pct"/>
            <w:vAlign w:val="center"/>
          </w:tcPr>
          <w:p w14:paraId="2089ECD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194" w:type="pct"/>
            <w:vAlign w:val="center"/>
          </w:tcPr>
          <w:p w14:paraId="6F19DF8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52.4</w:t>
            </w:r>
          </w:p>
        </w:tc>
        <w:tc>
          <w:tcPr>
            <w:tcW w:w="184" w:type="pct"/>
            <w:vAlign w:val="center"/>
          </w:tcPr>
          <w:p w14:paraId="335558C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52.7</w:t>
            </w:r>
          </w:p>
        </w:tc>
        <w:tc>
          <w:tcPr>
            <w:tcW w:w="236" w:type="pct"/>
            <w:vAlign w:val="center"/>
          </w:tcPr>
          <w:p w14:paraId="300028D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11.7 </w:t>
            </w:r>
          </w:p>
        </w:tc>
        <w:tc>
          <w:tcPr>
            <w:tcW w:w="193" w:type="pct"/>
            <w:vAlign w:val="top"/>
          </w:tcPr>
          <w:p w14:paraId="65C467F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5B8215F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52.9</w:t>
            </w:r>
          </w:p>
        </w:tc>
        <w:tc>
          <w:tcPr>
            <w:tcW w:w="169" w:type="pct"/>
            <w:vAlign w:val="center"/>
          </w:tcPr>
          <w:p w14:paraId="5342B5C8">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53.2</w:t>
            </w:r>
          </w:p>
        </w:tc>
        <w:tc>
          <w:tcPr>
            <w:tcW w:w="218" w:type="pct"/>
            <w:vAlign w:val="center"/>
          </w:tcPr>
          <w:p w14:paraId="2BA71EF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12.2 </w:t>
            </w:r>
          </w:p>
        </w:tc>
        <w:tc>
          <w:tcPr>
            <w:tcW w:w="188" w:type="pct"/>
            <w:vAlign w:val="top"/>
          </w:tcPr>
          <w:p w14:paraId="766106D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6100A01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53.2</w:t>
            </w:r>
          </w:p>
        </w:tc>
        <w:tc>
          <w:tcPr>
            <w:tcW w:w="164" w:type="pct"/>
            <w:vAlign w:val="center"/>
          </w:tcPr>
          <w:p w14:paraId="497D5A6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53.5</w:t>
            </w:r>
          </w:p>
        </w:tc>
        <w:tc>
          <w:tcPr>
            <w:tcW w:w="232" w:type="pct"/>
            <w:vAlign w:val="center"/>
          </w:tcPr>
          <w:p w14:paraId="1B0AFCD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12.5 </w:t>
            </w:r>
          </w:p>
        </w:tc>
        <w:tc>
          <w:tcPr>
            <w:tcW w:w="152" w:type="pct"/>
            <w:vAlign w:val="top"/>
          </w:tcPr>
          <w:p w14:paraId="796BE55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262C3C3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3E2CF7DB">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68BFC908">
            <w:pPr>
              <w:pStyle w:val="105"/>
              <w:spacing w:before="0" w:after="0"/>
              <w:jc w:val="center"/>
              <w:rPr>
                <w:color w:val="000000" w:themeColor="text1"/>
                <w:sz w:val="18"/>
                <w:szCs w:val="18"/>
                <w14:textFill>
                  <w14:solidFill>
                    <w14:schemeClr w14:val="tx1"/>
                  </w14:solidFill>
                </w14:textFill>
              </w:rPr>
            </w:pPr>
          </w:p>
        </w:tc>
        <w:tc>
          <w:tcPr>
            <w:tcW w:w="253" w:type="pct"/>
            <w:vMerge w:val="restart"/>
            <w:vAlign w:val="center"/>
          </w:tcPr>
          <w:p w14:paraId="64F26393">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w:t>
            </w:r>
            <w:r>
              <w:rPr>
                <w:color w:val="000000" w:themeColor="text1"/>
                <w:sz w:val="18"/>
                <w:szCs w:val="18"/>
                <w14:textFill>
                  <w14:solidFill>
                    <w14:schemeClr w14:val="tx1"/>
                  </w14:solidFill>
                </w14:textFill>
              </w:rPr>
              <w:t>7</w:t>
            </w:r>
          </w:p>
        </w:tc>
        <w:tc>
          <w:tcPr>
            <w:tcW w:w="202" w:type="pct"/>
            <w:vMerge w:val="restart"/>
            <w:vAlign w:val="center"/>
          </w:tcPr>
          <w:p w14:paraId="1EB4D7D5">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9</w:t>
            </w:r>
          </w:p>
        </w:tc>
        <w:tc>
          <w:tcPr>
            <w:tcW w:w="203" w:type="pct"/>
            <w:vMerge w:val="restart"/>
            <w:vAlign w:val="center"/>
          </w:tcPr>
          <w:p w14:paraId="56E33080">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-2.8</w:t>
            </w:r>
          </w:p>
        </w:tc>
        <w:tc>
          <w:tcPr>
            <w:tcW w:w="208" w:type="pct"/>
            <w:vMerge w:val="restart"/>
            <w:vAlign w:val="center"/>
          </w:tcPr>
          <w:p w14:paraId="1F9E1F21">
            <w:pPr>
              <w:pStyle w:val="105"/>
              <w:spacing w:before="0" w:after="0"/>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类</w:t>
            </w:r>
          </w:p>
        </w:tc>
        <w:tc>
          <w:tcPr>
            <w:tcW w:w="241" w:type="pct"/>
            <w:vAlign w:val="center"/>
          </w:tcPr>
          <w:p w14:paraId="6905FE02">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w:t>
            </w:r>
          </w:p>
        </w:tc>
        <w:tc>
          <w:tcPr>
            <w:tcW w:w="241" w:type="pct"/>
            <w:vAlign w:val="center"/>
          </w:tcPr>
          <w:p w14:paraId="1A67184A">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60</w:t>
            </w:r>
          </w:p>
        </w:tc>
        <w:tc>
          <w:tcPr>
            <w:tcW w:w="241" w:type="pct"/>
            <w:vAlign w:val="center"/>
          </w:tcPr>
          <w:p w14:paraId="46F03DB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241" w:type="pct"/>
            <w:vAlign w:val="center"/>
          </w:tcPr>
          <w:p w14:paraId="0488640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52</w:t>
            </w:r>
          </w:p>
        </w:tc>
        <w:tc>
          <w:tcPr>
            <w:tcW w:w="194" w:type="pct"/>
            <w:vAlign w:val="center"/>
          </w:tcPr>
          <w:p w14:paraId="39FB15C1">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50.6</w:t>
            </w:r>
          </w:p>
        </w:tc>
        <w:tc>
          <w:tcPr>
            <w:tcW w:w="184" w:type="pct"/>
            <w:vAlign w:val="center"/>
          </w:tcPr>
          <w:p w14:paraId="14601DA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54.4</w:t>
            </w:r>
          </w:p>
        </w:tc>
        <w:tc>
          <w:tcPr>
            <w:tcW w:w="236" w:type="pct"/>
            <w:vAlign w:val="center"/>
          </w:tcPr>
          <w:p w14:paraId="2B46A0C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2.4 </w:t>
            </w:r>
          </w:p>
        </w:tc>
        <w:tc>
          <w:tcPr>
            <w:tcW w:w="193" w:type="pct"/>
            <w:vAlign w:val="top"/>
          </w:tcPr>
          <w:p w14:paraId="50257E4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6A14DF8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56.1</w:t>
            </w:r>
          </w:p>
        </w:tc>
        <w:tc>
          <w:tcPr>
            <w:tcW w:w="169" w:type="pct"/>
            <w:vAlign w:val="center"/>
          </w:tcPr>
          <w:p w14:paraId="4CEADBF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57.6</w:t>
            </w:r>
          </w:p>
        </w:tc>
        <w:tc>
          <w:tcPr>
            <w:tcW w:w="218" w:type="pct"/>
            <w:vAlign w:val="center"/>
          </w:tcPr>
          <w:p w14:paraId="165D274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5.6 </w:t>
            </w:r>
          </w:p>
        </w:tc>
        <w:tc>
          <w:tcPr>
            <w:tcW w:w="188" w:type="pct"/>
            <w:vAlign w:val="top"/>
          </w:tcPr>
          <w:p w14:paraId="5170A313">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527D374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56.4</w:t>
            </w:r>
          </w:p>
        </w:tc>
        <w:tc>
          <w:tcPr>
            <w:tcW w:w="164" w:type="pct"/>
            <w:vAlign w:val="center"/>
          </w:tcPr>
          <w:p w14:paraId="389EA99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57.8</w:t>
            </w:r>
          </w:p>
        </w:tc>
        <w:tc>
          <w:tcPr>
            <w:tcW w:w="232" w:type="pct"/>
            <w:vAlign w:val="center"/>
          </w:tcPr>
          <w:p w14:paraId="58E9447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5.8 </w:t>
            </w:r>
          </w:p>
        </w:tc>
        <w:tc>
          <w:tcPr>
            <w:tcW w:w="152" w:type="pct"/>
            <w:vAlign w:val="top"/>
          </w:tcPr>
          <w:p w14:paraId="0CC03B70">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r w14:paraId="2A4EDCF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84" w:hRule="atLeast"/>
          <w:tblHeader/>
          <w:jc w:val="center"/>
        </w:trPr>
        <w:tc>
          <w:tcPr>
            <w:tcW w:w="152" w:type="pct"/>
            <w:vMerge w:val="continue"/>
            <w:vAlign w:val="center"/>
          </w:tcPr>
          <w:p w14:paraId="39869F5A">
            <w:pPr>
              <w:pStyle w:val="105"/>
              <w:spacing w:before="0" w:after="0"/>
              <w:jc w:val="center"/>
              <w:rPr>
                <w:color w:val="000000" w:themeColor="text1"/>
                <w:sz w:val="18"/>
                <w:szCs w:val="18"/>
                <w14:textFill>
                  <w14:solidFill>
                    <w14:schemeClr w14:val="tx1"/>
                  </w14:solidFill>
                </w14:textFill>
              </w:rPr>
            </w:pPr>
          </w:p>
        </w:tc>
        <w:tc>
          <w:tcPr>
            <w:tcW w:w="760" w:type="pct"/>
            <w:gridSpan w:val="2"/>
            <w:vMerge w:val="continue"/>
            <w:vAlign w:val="center"/>
          </w:tcPr>
          <w:p w14:paraId="6343AA3E">
            <w:pPr>
              <w:pStyle w:val="105"/>
              <w:spacing w:before="0" w:after="0"/>
              <w:jc w:val="center"/>
              <w:rPr>
                <w:color w:val="000000" w:themeColor="text1"/>
                <w:sz w:val="18"/>
                <w:szCs w:val="18"/>
                <w14:textFill>
                  <w14:solidFill>
                    <w14:schemeClr w14:val="tx1"/>
                  </w14:solidFill>
                </w14:textFill>
              </w:rPr>
            </w:pPr>
          </w:p>
        </w:tc>
        <w:tc>
          <w:tcPr>
            <w:tcW w:w="253" w:type="pct"/>
            <w:vMerge w:val="continue"/>
            <w:vAlign w:val="center"/>
          </w:tcPr>
          <w:p w14:paraId="0AEA8D44">
            <w:pPr>
              <w:pStyle w:val="105"/>
              <w:spacing w:before="0" w:after="0"/>
              <w:jc w:val="center"/>
              <w:rPr>
                <w:color w:val="000000" w:themeColor="text1"/>
                <w:sz w:val="18"/>
                <w:szCs w:val="18"/>
                <w14:textFill>
                  <w14:solidFill>
                    <w14:schemeClr w14:val="tx1"/>
                  </w14:solidFill>
                </w14:textFill>
              </w:rPr>
            </w:pPr>
          </w:p>
        </w:tc>
        <w:tc>
          <w:tcPr>
            <w:tcW w:w="202" w:type="pct"/>
            <w:vMerge w:val="continue"/>
            <w:vAlign w:val="center"/>
          </w:tcPr>
          <w:p w14:paraId="1827E4AD">
            <w:pPr>
              <w:pStyle w:val="105"/>
              <w:spacing w:before="0" w:after="0"/>
              <w:jc w:val="center"/>
              <w:rPr>
                <w:color w:val="000000" w:themeColor="text1"/>
                <w:sz w:val="18"/>
                <w:szCs w:val="18"/>
                <w14:textFill>
                  <w14:solidFill>
                    <w14:schemeClr w14:val="tx1"/>
                  </w14:solidFill>
                </w14:textFill>
              </w:rPr>
            </w:pPr>
          </w:p>
        </w:tc>
        <w:tc>
          <w:tcPr>
            <w:tcW w:w="203" w:type="pct"/>
            <w:vMerge w:val="continue"/>
            <w:vAlign w:val="center"/>
          </w:tcPr>
          <w:p w14:paraId="096AB61B">
            <w:pPr>
              <w:pStyle w:val="105"/>
              <w:spacing w:before="0" w:after="0"/>
              <w:jc w:val="center"/>
              <w:rPr>
                <w:color w:val="000000" w:themeColor="text1"/>
                <w:sz w:val="18"/>
                <w:szCs w:val="18"/>
                <w14:textFill>
                  <w14:solidFill>
                    <w14:schemeClr w14:val="tx1"/>
                  </w14:solidFill>
                </w14:textFill>
              </w:rPr>
            </w:pPr>
          </w:p>
        </w:tc>
        <w:tc>
          <w:tcPr>
            <w:tcW w:w="208" w:type="pct"/>
            <w:vMerge w:val="continue"/>
            <w:vAlign w:val="center"/>
          </w:tcPr>
          <w:p w14:paraId="26240DA4">
            <w:pPr>
              <w:pStyle w:val="105"/>
              <w:spacing w:before="0" w:after="0"/>
              <w:jc w:val="center"/>
              <w:rPr>
                <w:color w:val="000000" w:themeColor="text1"/>
                <w:sz w:val="18"/>
                <w:szCs w:val="18"/>
                <w14:textFill>
                  <w14:solidFill>
                    <w14:schemeClr w14:val="tx1"/>
                  </w14:solidFill>
                </w14:textFill>
              </w:rPr>
            </w:pPr>
          </w:p>
        </w:tc>
        <w:tc>
          <w:tcPr>
            <w:tcW w:w="241" w:type="pct"/>
            <w:vAlign w:val="center"/>
          </w:tcPr>
          <w:p w14:paraId="7D44F3D4">
            <w:pPr>
              <w:pStyle w:val="105"/>
              <w:spacing w:before="0" w:after="0"/>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w:t>
            </w:r>
          </w:p>
        </w:tc>
        <w:tc>
          <w:tcPr>
            <w:tcW w:w="241" w:type="pct"/>
            <w:vAlign w:val="center"/>
          </w:tcPr>
          <w:p w14:paraId="22F8A76E">
            <w:pPr>
              <w:pStyle w:val="105"/>
              <w:spacing w:before="0" w:after="0"/>
              <w:jc w:val="center"/>
              <w:rPr>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50</w:t>
            </w:r>
          </w:p>
        </w:tc>
        <w:tc>
          <w:tcPr>
            <w:tcW w:w="241" w:type="pct"/>
            <w:vAlign w:val="center"/>
          </w:tcPr>
          <w:p w14:paraId="7AF0A02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241" w:type="pct"/>
            <w:vAlign w:val="center"/>
          </w:tcPr>
          <w:p w14:paraId="300AAF1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41</w:t>
            </w:r>
          </w:p>
        </w:tc>
        <w:tc>
          <w:tcPr>
            <w:tcW w:w="194" w:type="pct"/>
            <w:vAlign w:val="center"/>
          </w:tcPr>
          <w:p w14:paraId="22536A6D">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43.0</w:t>
            </w:r>
          </w:p>
        </w:tc>
        <w:tc>
          <w:tcPr>
            <w:tcW w:w="184" w:type="pct"/>
            <w:vAlign w:val="center"/>
          </w:tcPr>
          <w:p w14:paraId="741DCF76">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45.1</w:t>
            </w:r>
          </w:p>
        </w:tc>
        <w:tc>
          <w:tcPr>
            <w:tcW w:w="236" w:type="pct"/>
            <w:vAlign w:val="center"/>
          </w:tcPr>
          <w:p w14:paraId="40EF9BCE">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4.1 </w:t>
            </w:r>
          </w:p>
        </w:tc>
        <w:tc>
          <w:tcPr>
            <w:tcW w:w="193" w:type="pct"/>
            <w:vAlign w:val="top"/>
          </w:tcPr>
          <w:p w14:paraId="2BB9B80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46" w:type="pct"/>
            <w:vAlign w:val="center"/>
          </w:tcPr>
          <w:p w14:paraId="39AA3CC7">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43.5</w:t>
            </w:r>
          </w:p>
        </w:tc>
        <w:tc>
          <w:tcPr>
            <w:tcW w:w="169" w:type="pct"/>
            <w:vAlign w:val="center"/>
          </w:tcPr>
          <w:p w14:paraId="1E823F6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45.4</w:t>
            </w:r>
          </w:p>
        </w:tc>
        <w:tc>
          <w:tcPr>
            <w:tcW w:w="218" w:type="pct"/>
            <w:vAlign w:val="center"/>
          </w:tcPr>
          <w:p w14:paraId="3D503B2A">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4.4 </w:t>
            </w:r>
          </w:p>
        </w:tc>
        <w:tc>
          <w:tcPr>
            <w:tcW w:w="188" w:type="pct"/>
            <w:vAlign w:val="top"/>
          </w:tcPr>
          <w:p w14:paraId="0F566A42">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c>
          <w:tcPr>
            <w:tcW w:w="182" w:type="pct"/>
            <w:vAlign w:val="center"/>
          </w:tcPr>
          <w:p w14:paraId="070515B9">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43.8</w:t>
            </w:r>
          </w:p>
        </w:tc>
        <w:tc>
          <w:tcPr>
            <w:tcW w:w="164" w:type="pct"/>
            <w:vAlign w:val="center"/>
          </w:tcPr>
          <w:p w14:paraId="403103C4">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45.6</w:t>
            </w:r>
          </w:p>
        </w:tc>
        <w:tc>
          <w:tcPr>
            <w:tcW w:w="232" w:type="pct"/>
            <w:vAlign w:val="center"/>
          </w:tcPr>
          <w:p w14:paraId="5F951C7F">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 xml:space="preserve">4.6 </w:t>
            </w:r>
          </w:p>
        </w:tc>
        <w:tc>
          <w:tcPr>
            <w:tcW w:w="152" w:type="pct"/>
            <w:vAlign w:val="top"/>
          </w:tcPr>
          <w:p w14:paraId="79DCCC2B">
            <w:pPr>
              <w:pStyle w:val="105"/>
              <w:spacing w:before="0" w:after="0"/>
              <w:jc w:val="center"/>
              <w:rPr>
                <w:rFonts w:cs="Times New Roman"/>
                <w:color w:val="000000" w:themeColor="text1"/>
                <w:sz w:val="18"/>
                <w:szCs w:val="18"/>
                <w14:textFill>
                  <w14:solidFill>
                    <w14:schemeClr w14:val="tx1"/>
                  </w14:solidFill>
                </w14:textFill>
              </w:rPr>
            </w:pPr>
            <w:r>
              <w:rPr>
                <w:rFonts w:cs="Times New Roman"/>
                <w:color w:val="000000" w:themeColor="text1"/>
                <w:sz w:val="18"/>
                <w:szCs w:val="18"/>
                <w14:textFill>
                  <w14:solidFill>
                    <w14:schemeClr w14:val="tx1"/>
                  </w14:solidFill>
                </w14:textFill>
              </w:rPr>
              <w:t>/</w:t>
            </w:r>
          </w:p>
        </w:tc>
      </w:tr>
    </w:tbl>
    <w:p w14:paraId="594DD6CC">
      <w:pPr>
        <w:ind w:firstLine="480"/>
        <w:rPr>
          <w:color w:val="000000" w:themeColor="text1"/>
          <w14:textFill>
            <w14:solidFill>
              <w14:schemeClr w14:val="tx1"/>
            </w14:solidFill>
          </w14:textFill>
        </w:rPr>
      </w:pPr>
    </w:p>
    <w:p w14:paraId="17632570">
      <w:pPr>
        <w:ind w:firstLine="480"/>
        <w:rPr>
          <w:color w:val="000000" w:themeColor="text1"/>
          <w14:textFill>
            <w14:solidFill>
              <w14:schemeClr w14:val="tx1"/>
            </w14:solidFill>
          </w14:textFill>
        </w:rPr>
        <w:sectPr>
          <w:pgSz w:w="16838" w:h="11906" w:orient="landscape"/>
          <w:pgMar w:top="1418" w:right="1418" w:bottom="1418" w:left="1418" w:header="851" w:footer="992" w:gutter="0"/>
          <w:cols w:space="425" w:num="1"/>
          <w:docGrid w:type="lines" w:linePitch="326" w:charSpace="0"/>
        </w:sectPr>
      </w:pPr>
    </w:p>
    <w:p w14:paraId="33B80C9D">
      <w:pPr>
        <w:pStyle w:val="87"/>
        <w:spacing w:before="120"/>
        <w:rPr>
          <w:color w:val="000000" w:themeColor="text1"/>
          <w14:textFill>
            <w14:solidFill>
              <w14:schemeClr w14:val="tx1"/>
            </w14:solidFill>
          </w14:textFill>
        </w:rPr>
      </w:pPr>
      <w:bookmarkStart w:id="753" w:name="4.1声环境影响预测与评价"/>
      <w:bookmarkEnd w:id="753"/>
      <w:bookmarkStart w:id="754" w:name="②铅垂向噪声影响预测与分析"/>
      <w:bookmarkEnd w:id="754"/>
      <w:bookmarkStart w:id="755" w:name="4.4固体废物环境影响分析"/>
      <w:bookmarkEnd w:id="755"/>
      <w:bookmarkStart w:id="756" w:name="_Toc217"/>
      <w:bookmarkStart w:id="757" w:name="_Toc159405477"/>
      <w:r>
        <w:rPr>
          <w:rFonts w:hint="eastAsia"/>
          <w:color w:val="000000" w:themeColor="text1"/>
          <w14:textFill>
            <w14:solidFill>
              <w14:schemeClr w14:val="tx1"/>
            </w14:solidFill>
          </w14:textFill>
        </w:rPr>
        <w:t>声环境影响评价自查表</w:t>
      </w:r>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1161"/>
        <w:gridCol w:w="1886"/>
        <w:gridCol w:w="1470"/>
        <w:gridCol w:w="4773"/>
      </w:tblGrid>
      <w:tr w14:paraId="7B31CC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1640" w:type="pct"/>
            <w:gridSpan w:val="2"/>
            <w:tcBorders>
              <w:top w:val="single" w:color="auto" w:sz="12" w:space="0"/>
              <w:left w:val="nil"/>
              <w:bottom w:val="nil"/>
              <w:right w:val="single" w:color="auto" w:sz="6" w:space="0"/>
              <w:insideH w:val="nil"/>
              <w:insideV w:val="single" w:sz="6" w:space="0"/>
              <w:tl2br w:val="nil"/>
              <w:tr2bl w:val="nil"/>
            </w:tcBorders>
            <w:vAlign w:val="center"/>
          </w:tcPr>
          <w:p w14:paraId="158A5DD4">
            <w:pPr>
              <w:pStyle w:val="105"/>
              <w:widowControl w:val="0"/>
              <w:jc w:val="center"/>
              <w:rPr>
                <w:rFonts w:eastAsia="New York"/>
                <w:color w:val="000000" w:themeColor="text1"/>
                <w14:textFill>
                  <w14:solidFill>
                    <w14:schemeClr w14:val="tx1"/>
                  </w14:solidFill>
                </w14:textFill>
              </w:rPr>
            </w:pPr>
            <w:r>
              <w:rPr>
                <w:rFonts w:hint="eastAsia" w:eastAsia="New York"/>
                <w:color w:val="000000" w:themeColor="text1"/>
                <w14:textFill>
                  <w14:solidFill>
                    <w14:schemeClr w14:val="tx1"/>
                  </w14:solidFill>
                </w14:textFill>
              </w:rPr>
              <w:t xml:space="preserve"> </w:t>
            </w:r>
            <w:r>
              <w:rPr>
                <w:rFonts w:hint="eastAsia" w:ascii="宋体" w:hAnsi="宋体" w:eastAsia="宋体"/>
                <w:color w:val="000000" w:themeColor="text1"/>
                <w14:textFill>
                  <w14:solidFill>
                    <w14:schemeClr w14:val="tx1"/>
                  </w14:solidFill>
                </w14:textFill>
              </w:rPr>
              <w:t>工作内容</w:t>
            </w:r>
          </w:p>
        </w:tc>
        <w:tc>
          <w:tcPr>
            <w:tcW w:w="3360" w:type="pct"/>
            <w:gridSpan w:val="2"/>
            <w:tcBorders>
              <w:top w:val="single" w:color="auto" w:sz="12" w:space="0"/>
              <w:bottom w:val="nil"/>
              <w:right w:val="nil"/>
              <w:insideH w:val="nil"/>
              <w:insideV w:val="single" w:sz="6" w:space="0"/>
              <w:tl2br w:val="nil"/>
              <w:tr2bl w:val="nil"/>
            </w:tcBorders>
            <w:vAlign w:val="center"/>
          </w:tcPr>
          <w:p w14:paraId="31A55E2F">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14:textFill>
                  <w14:solidFill>
                    <w14:schemeClr w14:val="tx1"/>
                  </w14:solidFill>
                </w14:textFill>
              </w:rPr>
              <w:t>自查项目</w:t>
            </w:r>
          </w:p>
        </w:tc>
      </w:tr>
      <w:tr w14:paraId="55E513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restart"/>
            <w:vAlign w:val="center"/>
          </w:tcPr>
          <w:p w14:paraId="48260E4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评价等级与范围</w:t>
            </w:r>
          </w:p>
        </w:tc>
        <w:tc>
          <w:tcPr>
            <w:tcW w:w="1015" w:type="pct"/>
            <w:vAlign w:val="center"/>
          </w:tcPr>
          <w:p w14:paraId="75ED68E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评价等级</w:t>
            </w:r>
          </w:p>
        </w:tc>
        <w:tc>
          <w:tcPr>
            <w:tcW w:w="3360" w:type="pct"/>
            <w:gridSpan w:val="2"/>
            <w:vAlign w:val="center"/>
          </w:tcPr>
          <w:p w14:paraId="516E8516">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一级</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二</w:t>
            </w:r>
            <w:r>
              <w:rPr>
                <w:color w:val="000000" w:themeColor="text1"/>
                <w:spacing w:val="-3"/>
                <w:szCs w:val="21"/>
                <w14:textFill>
                  <w14:solidFill>
                    <w14:schemeClr w14:val="tx1"/>
                  </w14:solidFill>
                </w14:textFill>
              </w:rPr>
              <w:t>级</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三级</w:t>
            </w:r>
            <w:r>
              <w:rPr>
                <w:rFonts w:hint="eastAsia"/>
                <w:color w:val="000000" w:themeColor="text1"/>
                <w:szCs w:val="21"/>
                <w14:textFill>
                  <w14:solidFill>
                    <w14:schemeClr w14:val="tx1"/>
                  </w14:solidFill>
                </w14:textFill>
              </w:rPr>
              <w:t>□</w:t>
            </w:r>
          </w:p>
        </w:tc>
      </w:tr>
      <w:tr w14:paraId="6DE700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4A5D3161">
            <w:pPr>
              <w:pStyle w:val="105"/>
              <w:widowControl w:val="0"/>
              <w:jc w:val="center"/>
              <w:rPr>
                <w:color w:val="000000" w:themeColor="text1"/>
                <w14:textFill>
                  <w14:solidFill>
                    <w14:schemeClr w14:val="tx1"/>
                  </w14:solidFill>
                </w14:textFill>
              </w:rPr>
            </w:pPr>
          </w:p>
        </w:tc>
        <w:tc>
          <w:tcPr>
            <w:tcW w:w="1015" w:type="pct"/>
            <w:vAlign w:val="center"/>
          </w:tcPr>
          <w:p w14:paraId="015E19C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评价范围</w:t>
            </w:r>
          </w:p>
        </w:tc>
        <w:tc>
          <w:tcPr>
            <w:tcW w:w="3360" w:type="pct"/>
            <w:gridSpan w:val="2"/>
            <w:vAlign w:val="center"/>
          </w:tcPr>
          <w:p w14:paraId="3D345B34">
            <w:pPr>
              <w:pStyle w:val="105"/>
              <w:widowControl w:val="0"/>
              <w:jc w:val="center"/>
              <w:rPr>
                <w:color w:val="000000" w:themeColor="text1"/>
                <w14:textFill>
                  <w14:solidFill>
                    <w14:schemeClr w14:val="tx1"/>
                  </w14:solidFill>
                </w14:textFill>
              </w:rPr>
            </w:pPr>
            <w:r>
              <w:rPr>
                <w:rFonts w:eastAsia="Times New Roman"/>
                <w:color w:val="000000" w:themeColor="text1"/>
                <w:szCs w:val="21"/>
                <w14:textFill>
                  <w14:solidFill>
                    <w14:schemeClr w14:val="tx1"/>
                  </w14:solidFill>
                </w14:textFill>
              </w:rPr>
              <w:t>200</w:t>
            </w:r>
            <w:r>
              <w:rPr>
                <w:rFonts w:eastAsia="Times New Roman"/>
                <w:color w:val="000000" w:themeColor="text1"/>
                <w:spacing w:val="-2"/>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m</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w:t>
            </w:r>
            <w:r>
              <w:rPr>
                <w:color w:val="000000" w:themeColor="text1"/>
                <w:spacing w:val="-3"/>
                <w:szCs w:val="21"/>
                <w14:textFill>
                  <w14:solidFill>
                    <w14:schemeClr w14:val="tx1"/>
                  </w14:solidFill>
                </w14:textFill>
              </w:rPr>
              <w:t>大</w:t>
            </w:r>
            <w:r>
              <w:rPr>
                <w:color w:val="000000" w:themeColor="text1"/>
                <w:szCs w:val="21"/>
                <w14:textFill>
                  <w14:solidFill>
                    <w14:schemeClr w14:val="tx1"/>
                  </w14:solidFill>
                </w14:textFill>
              </w:rPr>
              <w:t>于</w:t>
            </w:r>
            <w:r>
              <w:rPr>
                <w:color w:val="000000" w:themeColor="text1"/>
                <w:spacing w:val="-46"/>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200 m</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小于</w:t>
            </w:r>
            <w:r>
              <w:rPr>
                <w:color w:val="000000" w:themeColor="text1"/>
                <w:spacing w:val="-48"/>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200 m</w:t>
            </w:r>
            <w:r>
              <w:rPr>
                <w:rFonts w:hint="eastAsia"/>
                <w:color w:val="000000" w:themeColor="text1"/>
                <w:szCs w:val="21"/>
                <w14:textFill>
                  <w14:solidFill>
                    <w14:schemeClr w14:val="tx1"/>
                  </w14:solidFill>
                </w14:textFill>
              </w:rPr>
              <w:t>□</w:t>
            </w:r>
          </w:p>
        </w:tc>
      </w:tr>
      <w:tr w14:paraId="5CEE25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Align w:val="center"/>
          </w:tcPr>
          <w:p w14:paraId="347AEB0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评价因子</w:t>
            </w:r>
          </w:p>
        </w:tc>
        <w:tc>
          <w:tcPr>
            <w:tcW w:w="1015" w:type="pct"/>
            <w:vAlign w:val="center"/>
          </w:tcPr>
          <w:p w14:paraId="4EED986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评价因子</w:t>
            </w:r>
          </w:p>
        </w:tc>
        <w:tc>
          <w:tcPr>
            <w:tcW w:w="3360" w:type="pct"/>
            <w:gridSpan w:val="2"/>
            <w:vAlign w:val="center"/>
          </w:tcPr>
          <w:p w14:paraId="04B4C718">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 xml:space="preserve">等效连续 </w:t>
            </w:r>
            <w:r>
              <w:rPr>
                <w:rFonts w:eastAsia="Times New Roman"/>
                <w:color w:val="000000" w:themeColor="text1"/>
                <w:szCs w:val="21"/>
                <w14:textFill>
                  <w14:solidFill>
                    <w14:schemeClr w14:val="tx1"/>
                  </w14:solidFill>
                </w14:textFill>
              </w:rPr>
              <w:t xml:space="preserve">A </w:t>
            </w:r>
            <w:r>
              <w:rPr>
                <w:color w:val="000000" w:themeColor="text1"/>
                <w:szCs w:val="21"/>
                <w14:textFill>
                  <w14:solidFill>
                    <w14:schemeClr w14:val="tx1"/>
                  </w14:solidFill>
                </w14:textFill>
              </w:rPr>
              <w:t>声级</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最大 </w:t>
            </w:r>
            <w:r>
              <w:rPr>
                <w:rFonts w:eastAsia="Times New Roman"/>
                <w:color w:val="000000" w:themeColor="text1"/>
                <w:szCs w:val="21"/>
                <w14:textFill>
                  <w14:solidFill>
                    <w14:schemeClr w14:val="tx1"/>
                  </w14:solidFill>
                </w14:textFill>
              </w:rPr>
              <w:t xml:space="preserve">A </w:t>
            </w:r>
            <w:r>
              <w:rPr>
                <w:color w:val="000000" w:themeColor="text1"/>
                <w:szCs w:val="21"/>
                <w14:textFill>
                  <w14:solidFill>
                    <w14:schemeClr w14:val="tx1"/>
                  </w14:solidFill>
                </w14:textFill>
              </w:rPr>
              <w:t>声级</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计权等效连续感觉噪声级</w:t>
            </w:r>
            <w:r>
              <w:rPr>
                <w:rFonts w:hint="eastAsia"/>
                <w:color w:val="000000" w:themeColor="text1"/>
                <w:szCs w:val="21"/>
                <w14:textFill>
                  <w14:solidFill>
                    <w14:schemeClr w14:val="tx1"/>
                  </w14:solidFill>
                </w14:textFill>
              </w:rPr>
              <w:t>□</w:t>
            </w:r>
          </w:p>
        </w:tc>
      </w:tr>
      <w:tr w14:paraId="7A83669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Align w:val="center"/>
          </w:tcPr>
          <w:p w14:paraId="2113534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评价标准</w:t>
            </w:r>
          </w:p>
        </w:tc>
        <w:tc>
          <w:tcPr>
            <w:tcW w:w="1015" w:type="pct"/>
            <w:vAlign w:val="center"/>
          </w:tcPr>
          <w:p w14:paraId="6DD491A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评价标准</w:t>
            </w:r>
          </w:p>
        </w:tc>
        <w:tc>
          <w:tcPr>
            <w:tcW w:w="3360" w:type="pct"/>
            <w:gridSpan w:val="2"/>
            <w:vAlign w:val="center"/>
          </w:tcPr>
          <w:p w14:paraId="593F710C">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国家标准</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地方标准</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国外标准</w:t>
            </w:r>
            <w:r>
              <w:rPr>
                <w:rFonts w:hint="eastAsia"/>
                <w:color w:val="000000" w:themeColor="text1"/>
                <w:szCs w:val="21"/>
                <w14:textFill>
                  <w14:solidFill>
                    <w14:schemeClr w14:val="tx1"/>
                  </w14:solidFill>
                </w14:textFill>
              </w:rPr>
              <w:t>□</w:t>
            </w:r>
          </w:p>
        </w:tc>
      </w:tr>
      <w:tr w14:paraId="5AF90C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restart"/>
            <w:vAlign w:val="center"/>
          </w:tcPr>
          <w:p w14:paraId="005D5F6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现状评价</w:t>
            </w:r>
          </w:p>
        </w:tc>
        <w:tc>
          <w:tcPr>
            <w:tcW w:w="1015" w:type="pct"/>
            <w:vAlign w:val="center"/>
          </w:tcPr>
          <w:p w14:paraId="3CC2A94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环境功能区</w:t>
            </w:r>
          </w:p>
        </w:tc>
        <w:tc>
          <w:tcPr>
            <w:tcW w:w="3360" w:type="pct"/>
            <w:gridSpan w:val="2"/>
            <w:vAlign w:val="center"/>
          </w:tcPr>
          <w:p w14:paraId="0A816BB6">
            <w:pPr>
              <w:pStyle w:val="105"/>
              <w:widowControl w:val="0"/>
              <w:jc w:val="center"/>
              <w:rPr>
                <w:color w:val="000000" w:themeColor="text1"/>
                <w14:textFill>
                  <w14:solidFill>
                    <w14:schemeClr w14:val="tx1"/>
                  </w14:solidFill>
                </w14:textFill>
              </w:rPr>
            </w:pPr>
            <w:r>
              <w:rPr>
                <w:rFonts w:eastAsia="Times New Roman"/>
                <w:color w:val="000000" w:themeColor="text1"/>
                <w:szCs w:val="21"/>
                <w14:textFill>
                  <w14:solidFill>
                    <w14:schemeClr w14:val="tx1"/>
                  </w14:solidFill>
                </w14:textFill>
              </w:rPr>
              <w:t xml:space="preserve">0 </w:t>
            </w:r>
            <w:r>
              <w:rPr>
                <w:color w:val="000000" w:themeColor="text1"/>
                <w:szCs w:val="21"/>
                <w14:textFill>
                  <w14:solidFill>
                    <w14:schemeClr w14:val="tx1"/>
                  </w14:solidFill>
                </w14:textFill>
              </w:rPr>
              <w:t>类区</w:t>
            </w:r>
            <w:r>
              <w:rPr>
                <w:rFonts w:hint="eastAsia"/>
                <w:color w:val="000000" w:themeColor="text1"/>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 xml:space="preserve">1 </w:t>
            </w:r>
            <w:r>
              <w:rPr>
                <w:color w:val="000000" w:themeColor="text1"/>
                <w:szCs w:val="21"/>
                <w14:textFill>
                  <w14:solidFill>
                    <w14:schemeClr w14:val="tx1"/>
                  </w14:solidFill>
                </w14:textFill>
              </w:rPr>
              <w:t>类区</w:t>
            </w:r>
            <w:r>
              <w:rPr>
                <w:rFonts w:hint="eastAsia"/>
                <w:color w:val="000000" w:themeColor="text1"/>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 xml:space="preserve">2 </w:t>
            </w:r>
            <w:r>
              <w:rPr>
                <w:color w:val="000000" w:themeColor="text1"/>
                <w:szCs w:val="21"/>
                <w14:textFill>
                  <w14:solidFill>
                    <w14:schemeClr w14:val="tx1"/>
                  </w14:solidFill>
                </w14:textFill>
              </w:rPr>
              <w:t>类区</w:t>
            </w:r>
            <w:r>
              <w:rPr>
                <w:rFonts w:ascii="Wingdings 2" w:hAnsi="Wingdings 2"/>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 xml:space="preserve">3 </w:t>
            </w:r>
            <w:r>
              <w:rPr>
                <w:color w:val="000000" w:themeColor="text1"/>
                <w:szCs w:val="21"/>
                <w14:textFill>
                  <w14:solidFill>
                    <w14:schemeClr w14:val="tx1"/>
                  </w14:solidFill>
                </w14:textFill>
              </w:rPr>
              <w:t>类区</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 xml:space="preserve">4a </w:t>
            </w:r>
            <w:r>
              <w:rPr>
                <w:color w:val="000000" w:themeColor="text1"/>
                <w:szCs w:val="21"/>
                <w14:textFill>
                  <w14:solidFill>
                    <w14:schemeClr w14:val="tx1"/>
                  </w14:solidFill>
                </w14:textFill>
              </w:rPr>
              <w:t>类区</w:t>
            </w:r>
            <w:r>
              <w:rPr>
                <w:rFonts w:ascii="Wingdings 2" w:hAnsi="Wingdings 2"/>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w:t>
            </w:r>
            <w:r>
              <w:rPr>
                <w:rFonts w:eastAsia="Times New Roman"/>
                <w:color w:val="000000" w:themeColor="text1"/>
                <w:szCs w:val="21"/>
                <w14:textFill>
                  <w14:solidFill>
                    <w14:schemeClr w14:val="tx1"/>
                  </w14:solidFill>
                </w14:textFill>
              </w:rPr>
              <w:t xml:space="preserve">4b </w:t>
            </w:r>
            <w:r>
              <w:rPr>
                <w:color w:val="000000" w:themeColor="text1"/>
                <w:szCs w:val="21"/>
                <w14:textFill>
                  <w14:solidFill>
                    <w14:schemeClr w14:val="tx1"/>
                  </w14:solidFill>
                </w14:textFill>
              </w:rPr>
              <w:t>类区</w:t>
            </w:r>
            <w:r>
              <w:rPr>
                <w:rFonts w:ascii="Wingdings 2" w:hAnsi="Wingdings 2"/>
                <w:color w:val="000000" w:themeColor="text1"/>
                <w:szCs w:val="21"/>
                <w14:textFill>
                  <w14:solidFill>
                    <w14:schemeClr w14:val="tx1"/>
                  </w14:solidFill>
                </w14:textFill>
              </w:rPr>
              <w:t></w:t>
            </w:r>
          </w:p>
        </w:tc>
      </w:tr>
      <w:tr w14:paraId="6B82F8F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7C289A54">
            <w:pPr>
              <w:pStyle w:val="105"/>
              <w:widowControl w:val="0"/>
              <w:jc w:val="center"/>
              <w:rPr>
                <w:color w:val="000000" w:themeColor="text1"/>
                <w14:textFill>
                  <w14:solidFill>
                    <w14:schemeClr w14:val="tx1"/>
                  </w14:solidFill>
                </w14:textFill>
              </w:rPr>
            </w:pPr>
          </w:p>
        </w:tc>
        <w:tc>
          <w:tcPr>
            <w:tcW w:w="1015" w:type="pct"/>
            <w:vAlign w:val="center"/>
          </w:tcPr>
          <w:p w14:paraId="4DB6776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评价年度</w:t>
            </w:r>
          </w:p>
        </w:tc>
        <w:tc>
          <w:tcPr>
            <w:tcW w:w="3360" w:type="pct"/>
            <w:gridSpan w:val="2"/>
            <w:vAlign w:val="center"/>
          </w:tcPr>
          <w:p w14:paraId="01C122C3">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初期</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近期</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中期</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远期</w:t>
            </w:r>
            <w:r>
              <w:rPr>
                <w:rFonts w:ascii="Wingdings 2" w:hAnsi="Wingdings 2"/>
                <w:color w:val="000000" w:themeColor="text1"/>
                <w:szCs w:val="21"/>
                <w14:textFill>
                  <w14:solidFill>
                    <w14:schemeClr w14:val="tx1"/>
                  </w14:solidFill>
                </w14:textFill>
              </w:rPr>
              <w:t></w:t>
            </w:r>
          </w:p>
        </w:tc>
      </w:tr>
      <w:tr w14:paraId="48CA011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6F99A05D">
            <w:pPr>
              <w:pStyle w:val="105"/>
              <w:widowControl w:val="0"/>
              <w:jc w:val="center"/>
              <w:rPr>
                <w:color w:val="000000" w:themeColor="text1"/>
                <w14:textFill>
                  <w14:solidFill>
                    <w14:schemeClr w14:val="tx1"/>
                  </w14:solidFill>
                </w14:textFill>
              </w:rPr>
            </w:pPr>
          </w:p>
        </w:tc>
        <w:tc>
          <w:tcPr>
            <w:tcW w:w="1015" w:type="pct"/>
            <w:vAlign w:val="center"/>
          </w:tcPr>
          <w:p w14:paraId="144CFB4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现状调查方法</w:t>
            </w:r>
          </w:p>
        </w:tc>
        <w:tc>
          <w:tcPr>
            <w:tcW w:w="3360" w:type="pct"/>
            <w:gridSpan w:val="2"/>
            <w:vAlign w:val="center"/>
          </w:tcPr>
          <w:p w14:paraId="5AD32B54">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现场实测法</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现场实测加模型计算法</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收集资料</w:t>
            </w:r>
            <w:r>
              <w:rPr>
                <w:rFonts w:hint="eastAsia"/>
                <w:color w:val="000000" w:themeColor="text1"/>
                <w:szCs w:val="21"/>
                <w14:textFill>
                  <w14:solidFill>
                    <w14:schemeClr w14:val="tx1"/>
                  </w14:solidFill>
                </w14:textFill>
              </w:rPr>
              <w:t>□</w:t>
            </w:r>
          </w:p>
        </w:tc>
      </w:tr>
      <w:tr w14:paraId="0CE38CA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5CA23F4E">
            <w:pPr>
              <w:pStyle w:val="105"/>
              <w:widowControl w:val="0"/>
              <w:jc w:val="center"/>
              <w:rPr>
                <w:color w:val="000000" w:themeColor="text1"/>
                <w14:textFill>
                  <w14:solidFill>
                    <w14:schemeClr w14:val="tx1"/>
                  </w14:solidFill>
                </w14:textFill>
              </w:rPr>
            </w:pPr>
          </w:p>
        </w:tc>
        <w:tc>
          <w:tcPr>
            <w:tcW w:w="1015" w:type="pct"/>
            <w:vAlign w:val="center"/>
          </w:tcPr>
          <w:p w14:paraId="3CA2B1B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现状评价</w:t>
            </w:r>
          </w:p>
        </w:tc>
        <w:tc>
          <w:tcPr>
            <w:tcW w:w="791" w:type="pct"/>
            <w:vAlign w:val="center"/>
          </w:tcPr>
          <w:p w14:paraId="7500ABAA">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达标百分比</w:t>
            </w:r>
          </w:p>
        </w:tc>
        <w:tc>
          <w:tcPr>
            <w:tcW w:w="2569" w:type="pct"/>
            <w:vAlign w:val="center"/>
          </w:tcPr>
          <w:p w14:paraId="65600711">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达标百分比</w:t>
            </w:r>
          </w:p>
        </w:tc>
      </w:tr>
      <w:tr w14:paraId="05E6FD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Align w:val="center"/>
          </w:tcPr>
          <w:p w14:paraId="2F3125B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噪声源调查</w:t>
            </w:r>
          </w:p>
        </w:tc>
        <w:tc>
          <w:tcPr>
            <w:tcW w:w="1015" w:type="pct"/>
            <w:vAlign w:val="center"/>
          </w:tcPr>
          <w:p w14:paraId="11AC46F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噪声源调查方法</w:t>
            </w:r>
          </w:p>
        </w:tc>
        <w:tc>
          <w:tcPr>
            <w:tcW w:w="3360" w:type="pct"/>
            <w:gridSpan w:val="2"/>
            <w:vAlign w:val="center"/>
          </w:tcPr>
          <w:p w14:paraId="7797A720">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现场实测</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已有资料</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研究成果</w:t>
            </w:r>
            <w:r>
              <w:rPr>
                <w:rFonts w:hint="eastAsia"/>
                <w:color w:val="000000" w:themeColor="text1"/>
                <w:szCs w:val="21"/>
                <w14:textFill>
                  <w14:solidFill>
                    <w14:schemeClr w14:val="tx1"/>
                  </w14:solidFill>
                </w14:textFill>
              </w:rPr>
              <w:t>□</w:t>
            </w:r>
          </w:p>
        </w:tc>
      </w:tr>
      <w:tr w14:paraId="6C2B0F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restart"/>
            <w:vAlign w:val="center"/>
          </w:tcPr>
          <w:p w14:paraId="237C10A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声环境影响预测与评价</w:t>
            </w:r>
          </w:p>
        </w:tc>
        <w:tc>
          <w:tcPr>
            <w:tcW w:w="1015" w:type="pct"/>
            <w:vAlign w:val="center"/>
          </w:tcPr>
          <w:p w14:paraId="7EC6A64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预测模型</w:t>
            </w:r>
          </w:p>
        </w:tc>
        <w:tc>
          <w:tcPr>
            <w:tcW w:w="3360" w:type="pct"/>
            <w:gridSpan w:val="2"/>
            <w:vAlign w:val="center"/>
          </w:tcPr>
          <w:p w14:paraId="5657D239">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导则推荐模型</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其他</w:t>
            </w:r>
            <w:r>
              <w:rPr>
                <w:rFonts w:hint="eastAsia"/>
                <w:color w:val="000000" w:themeColor="text1"/>
                <w:szCs w:val="21"/>
                <w14:textFill>
                  <w14:solidFill>
                    <w14:schemeClr w14:val="tx1"/>
                  </w14:solidFill>
                </w14:textFill>
              </w:rPr>
              <w:t>□</w:t>
            </w:r>
            <w:r>
              <w:rPr>
                <w:rFonts w:hint="eastAsia"/>
                <w:color w:val="000000" w:themeColor="text1"/>
                <w:szCs w:val="21"/>
                <w:u w:val="single"/>
                <w14:textFill>
                  <w14:solidFill>
                    <w14:schemeClr w14:val="tx1"/>
                  </w14:solidFill>
                </w14:textFill>
              </w:rPr>
              <w:t xml:space="preserve"> </w:t>
            </w:r>
            <w:r>
              <w:rPr>
                <w:color w:val="000000" w:themeColor="text1"/>
                <w:szCs w:val="21"/>
                <w:u w:val="single"/>
                <w14:textFill>
                  <w14:solidFill>
                    <w14:schemeClr w14:val="tx1"/>
                  </w14:solidFill>
                </w14:textFill>
              </w:rPr>
              <w:t xml:space="preserve">            </w:t>
            </w:r>
          </w:p>
        </w:tc>
      </w:tr>
      <w:tr w14:paraId="3C7AFD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52C72731">
            <w:pPr>
              <w:pStyle w:val="105"/>
              <w:widowControl w:val="0"/>
              <w:jc w:val="center"/>
              <w:rPr>
                <w:color w:val="000000" w:themeColor="text1"/>
                <w14:textFill>
                  <w14:solidFill>
                    <w14:schemeClr w14:val="tx1"/>
                  </w14:solidFill>
                </w14:textFill>
              </w:rPr>
            </w:pPr>
          </w:p>
        </w:tc>
        <w:tc>
          <w:tcPr>
            <w:tcW w:w="1015" w:type="pct"/>
            <w:vAlign w:val="center"/>
          </w:tcPr>
          <w:p w14:paraId="48ED16D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预测范围</w:t>
            </w:r>
          </w:p>
        </w:tc>
        <w:tc>
          <w:tcPr>
            <w:tcW w:w="3360" w:type="pct"/>
            <w:gridSpan w:val="2"/>
            <w:vAlign w:val="center"/>
          </w:tcPr>
          <w:p w14:paraId="7ECBEF11">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200m</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大于 </w:t>
            </w:r>
            <w:r>
              <w:rPr>
                <w:rFonts w:eastAsia="Times New Roman"/>
                <w:color w:val="000000" w:themeColor="text1"/>
                <w:szCs w:val="21"/>
                <w14:textFill>
                  <w14:solidFill>
                    <w14:schemeClr w14:val="tx1"/>
                  </w14:solidFill>
                </w14:textFill>
              </w:rPr>
              <w:t>200 m</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小于 </w:t>
            </w:r>
            <w:r>
              <w:rPr>
                <w:rFonts w:eastAsia="Times New Roman"/>
                <w:color w:val="000000" w:themeColor="text1"/>
                <w:szCs w:val="21"/>
                <w14:textFill>
                  <w14:solidFill>
                    <w14:schemeClr w14:val="tx1"/>
                  </w14:solidFill>
                </w14:textFill>
              </w:rPr>
              <w:t>200 m</w:t>
            </w:r>
            <w:r>
              <w:rPr>
                <w:rFonts w:hint="eastAsia"/>
                <w:color w:val="000000" w:themeColor="text1"/>
                <w:szCs w:val="21"/>
                <w14:textFill>
                  <w14:solidFill>
                    <w14:schemeClr w14:val="tx1"/>
                  </w14:solidFill>
                </w14:textFill>
              </w:rPr>
              <w:t>□</w:t>
            </w:r>
          </w:p>
        </w:tc>
      </w:tr>
      <w:tr w14:paraId="36FA23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231A2922">
            <w:pPr>
              <w:pStyle w:val="105"/>
              <w:widowControl w:val="0"/>
              <w:jc w:val="center"/>
              <w:rPr>
                <w:color w:val="000000" w:themeColor="text1"/>
                <w14:textFill>
                  <w14:solidFill>
                    <w14:schemeClr w14:val="tx1"/>
                  </w14:solidFill>
                </w14:textFill>
              </w:rPr>
            </w:pPr>
          </w:p>
        </w:tc>
        <w:tc>
          <w:tcPr>
            <w:tcW w:w="1015" w:type="pct"/>
            <w:vAlign w:val="center"/>
          </w:tcPr>
          <w:p w14:paraId="2866A54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预测因子</w:t>
            </w:r>
          </w:p>
        </w:tc>
        <w:tc>
          <w:tcPr>
            <w:tcW w:w="3360" w:type="pct"/>
            <w:gridSpan w:val="2"/>
            <w:vAlign w:val="center"/>
          </w:tcPr>
          <w:p w14:paraId="6CBFFB7F">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 xml:space="preserve">等效连续 </w:t>
            </w:r>
            <w:r>
              <w:rPr>
                <w:rFonts w:eastAsia="Times New Roman"/>
                <w:color w:val="000000" w:themeColor="text1"/>
                <w:szCs w:val="21"/>
                <w14:textFill>
                  <w14:solidFill>
                    <w14:schemeClr w14:val="tx1"/>
                  </w14:solidFill>
                </w14:textFill>
              </w:rPr>
              <w:t xml:space="preserve">A </w:t>
            </w:r>
            <w:r>
              <w:rPr>
                <w:color w:val="000000" w:themeColor="text1"/>
                <w:szCs w:val="21"/>
                <w14:textFill>
                  <w14:solidFill>
                    <w14:schemeClr w14:val="tx1"/>
                  </w14:solidFill>
                </w14:textFill>
              </w:rPr>
              <w:t>声级</w:t>
            </w:r>
            <w:r>
              <w:rPr>
                <w:rFonts w:ascii="Wingdings 2" w:hAnsi="Wingdings 2"/>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最大 </w:t>
            </w:r>
            <w:r>
              <w:rPr>
                <w:rFonts w:eastAsia="Times New Roman"/>
                <w:color w:val="000000" w:themeColor="text1"/>
                <w:szCs w:val="21"/>
                <w14:textFill>
                  <w14:solidFill>
                    <w14:schemeClr w14:val="tx1"/>
                  </w14:solidFill>
                </w14:textFill>
              </w:rPr>
              <w:t xml:space="preserve">A </w:t>
            </w:r>
            <w:r>
              <w:rPr>
                <w:color w:val="000000" w:themeColor="text1"/>
                <w:szCs w:val="21"/>
                <w14:textFill>
                  <w14:solidFill>
                    <w14:schemeClr w14:val="tx1"/>
                  </w14:solidFill>
                </w14:textFill>
              </w:rPr>
              <w:t>声级</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计权等效连续感觉噪声级</w:t>
            </w:r>
            <w:r>
              <w:rPr>
                <w:rFonts w:hint="eastAsia"/>
                <w:color w:val="000000" w:themeColor="text1"/>
                <w:szCs w:val="21"/>
                <w14:textFill>
                  <w14:solidFill>
                    <w14:schemeClr w14:val="tx1"/>
                  </w14:solidFill>
                </w14:textFill>
              </w:rPr>
              <w:t>□</w:t>
            </w:r>
          </w:p>
        </w:tc>
      </w:tr>
      <w:tr w14:paraId="62ADA9A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00A1E709">
            <w:pPr>
              <w:pStyle w:val="105"/>
              <w:widowControl w:val="0"/>
              <w:jc w:val="center"/>
              <w:rPr>
                <w:color w:val="000000" w:themeColor="text1"/>
                <w14:textFill>
                  <w14:solidFill>
                    <w14:schemeClr w14:val="tx1"/>
                  </w14:solidFill>
                </w14:textFill>
              </w:rPr>
            </w:pPr>
          </w:p>
        </w:tc>
        <w:tc>
          <w:tcPr>
            <w:tcW w:w="1015" w:type="pct"/>
            <w:vAlign w:val="center"/>
          </w:tcPr>
          <w:p w14:paraId="60CB4D5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厂界噪声贡献值</w:t>
            </w:r>
          </w:p>
        </w:tc>
        <w:tc>
          <w:tcPr>
            <w:tcW w:w="3360" w:type="pct"/>
            <w:gridSpan w:val="2"/>
            <w:vAlign w:val="center"/>
          </w:tcPr>
          <w:p w14:paraId="6B4AEE0F">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达标</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不达标</w:t>
            </w:r>
            <w:r>
              <w:rPr>
                <w:rFonts w:hint="eastAsia"/>
                <w:color w:val="000000" w:themeColor="text1"/>
                <w:szCs w:val="21"/>
                <w14:textFill>
                  <w14:solidFill>
                    <w14:schemeClr w14:val="tx1"/>
                  </w14:solidFill>
                </w14:textFill>
              </w:rPr>
              <w:t>□</w:t>
            </w:r>
          </w:p>
        </w:tc>
      </w:tr>
      <w:tr w14:paraId="5D24F14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362D046A">
            <w:pPr>
              <w:pStyle w:val="105"/>
              <w:widowControl w:val="0"/>
              <w:jc w:val="center"/>
              <w:rPr>
                <w:color w:val="000000" w:themeColor="text1"/>
                <w14:textFill>
                  <w14:solidFill>
                    <w14:schemeClr w14:val="tx1"/>
                  </w14:solidFill>
                </w14:textFill>
              </w:rPr>
            </w:pPr>
          </w:p>
        </w:tc>
        <w:tc>
          <w:tcPr>
            <w:tcW w:w="1015" w:type="pct"/>
            <w:vAlign w:val="center"/>
          </w:tcPr>
          <w:p w14:paraId="2652E49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声环境保护目标处噪声值</w:t>
            </w:r>
          </w:p>
        </w:tc>
        <w:tc>
          <w:tcPr>
            <w:tcW w:w="3360" w:type="pct"/>
            <w:gridSpan w:val="2"/>
            <w:vAlign w:val="center"/>
          </w:tcPr>
          <w:p w14:paraId="2D246C44">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达标</w:t>
            </w:r>
            <w:r>
              <w:rPr>
                <w:rFonts w:ascii="Wingdings 2" w:hAnsi="Wingdings 2"/>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不达标</w:t>
            </w:r>
            <w:r>
              <w:rPr>
                <w:rFonts w:hint="eastAsia"/>
                <w:color w:val="000000" w:themeColor="text1"/>
                <w:szCs w:val="21"/>
                <w14:textFill>
                  <w14:solidFill>
                    <w14:schemeClr w14:val="tx1"/>
                  </w14:solidFill>
                </w14:textFill>
              </w:rPr>
              <w:t>□</w:t>
            </w:r>
          </w:p>
        </w:tc>
      </w:tr>
      <w:tr w14:paraId="4D9760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restart"/>
            <w:vAlign w:val="center"/>
          </w:tcPr>
          <w:p w14:paraId="449C88D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环境监测计划</w:t>
            </w:r>
          </w:p>
        </w:tc>
        <w:tc>
          <w:tcPr>
            <w:tcW w:w="1015" w:type="pct"/>
            <w:vAlign w:val="center"/>
          </w:tcPr>
          <w:p w14:paraId="218A3F3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排放监测</w:t>
            </w:r>
          </w:p>
        </w:tc>
        <w:tc>
          <w:tcPr>
            <w:tcW w:w="3360" w:type="pct"/>
            <w:gridSpan w:val="2"/>
            <w:vAlign w:val="center"/>
          </w:tcPr>
          <w:p w14:paraId="51CC93D5">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厂界监测</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固定位置监</w:t>
            </w:r>
            <w:r>
              <w:rPr>
                <w:color w:val="000000" w:themeColor="text1"/>
                <w:spacing w:val="-3"/>
                <w:szCs w:val="21"/>
                <w14:textFill>
                  <w14:solidFill>
                    <w14:schemeClr w14:val="tx1"/>
                  </w14:solidFill>
                </w14:textFill>
              </w:rPr>
              <w:t>测</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自动监测</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 xml:space="preserve">  手动监测</w:t>
            </w:r>
            <w:r>
              <w:rPr>
                <w:rFonts w:ascii="Wingdings 2" w:hAnsi="Wingdings 2"/>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无监测</w:t>
            </w:r>
            <w:r>
              <w:rPr>
                <w:rFonts w:hint="eastAsia"/>
                <w:color w:val="000000" w:themeColor="text1"/>
                <w:szCs w:val="21"/>
                <w14:textFill>
                  <w14:solidFill>
                    <w14:schemeClr w14:val="tx1"/>
                  </w14:solidFill>
                </w14:textFill>
              </w:rPr>
              <w:t>□</w:t>
            </w:r>
          </w:p>
        </w:tc>
      </w:tr>
      <w:tr w14:paraId="03ECAFC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Merge w:val="continue"/>
            <w:vAlign w:val="center"/>
          </w:tcPr>
          <w:p w14:paraId="78BF0203">
            <w:pPr>
              <w:pStyle w:val="105"/>
              <w:widowControl w:val="0"/>
              <w:jc w:val="center"/>
              <w:rPr>
                <w:color w:val="000000" w:themeColor="text1"/>
                <w14:textFill>
                  <w14:solidFill>
                    <w14:schemeClr w14:val="tx1"/>
                  </w14:solidFill>
                </w14:textFill>
              </w:rPr>
            </w:pPr>
          </w:p>
        </w:tc>
        <w:tc>
          <w:tcPr>
            <w:tcW w:w="1015" w:type="pct"/>
            <w:vAlign w:val="center"/>
          </w:tcPr>
          <w:p w14:paraId="7DB8BCB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声环境保护目标处噪声监测</w:t>
            </w:r>
          </w:p>
        </w:tc>
        <w:tc>
          <w:tcPr>
            <w:tcW w:w="3360" w:type="pct"/>
            <w:gridSpan w:val="2"/>
            <w:vAlign w:val="center"/>
          </w:tcPr>
          <w:p w14:paraId="79331E62">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监测因子</w:t>
            </w:r>
            <w:r>
              <w:rPr>
                <w:color w:val="000000" w:themeColor="text1"/>
                <w:spacing w:val="-92"/>
                <w:szCs w:val="21"/>
                <w14:textFill>
                  <w14:solidFill>
                    <w14:schemeClr w14:val="tx1"/>
                  </w14:solidFill>
                </w14:textFill>
              </w:rPr>
              <w:t>：</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等效A声级</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监测点位数</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w:t>
            </w:r>
            <w:bookmarkStart w:id="758" w:name="hmcheck_4503d22d9e9f438f8690e4f74ffe74fe"/>
            <w:r>
              <w:rPr>
                <w:color w:val="000000" w:themeColor="text1"/>
                <w:szCs w:val="21"/>
                <w:shd w:val="clear" w:fill="FFAFAA"/>
                <w14:textFill>
                  <w14:solidFill>
                    <w14:schemeClr w14:val="tx1"/>
                  </w14:solidFill>
                </w14:textFill>
              </w:rPr>
              <w:t>3~5</w:t>
            </w:r>
            <w:bookmarkEnd w:id="758"/>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 xml:space="preserve">      无监测</w:t>
            </w:r>
            <w:r>
              <w:rPr>
                <w:rFonts w:hint="eastAsia"/>
                <w:color w:val="000000" w:themeColor="text1"/>
                <w:szCs w:val="21"/>
                <w14:textFill>
                  <w14:solidFill>
                    <w14:schemeClr w14:val="tx1"/>
                  </w14:solidFill>
                </w14:textFill>
              </w:rPr>
              <w:t>□</w:t>
            </w:r>
          </w:p>
        </w:tc>
      </w:tr>
      <w:tr w14:paraId="22ED36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625" w:type="pct"/>
            <w:vAlign w:val="center"/>
          </w:tcPr>
          <w:p w14:paraId="60EFF40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评价结论</w:t>
            </w:r>
          </w:p>
        </w:tc>
        <w:tc>
          <w:tcPr>
            <w:tcW w:w="1015" w:type="pct"/>
            <w:vAlign w:val="center"/>
          </w:tcPr>
          <w:p w14:paraId="0CCF5BE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环境影响</w:t>
            </w:r>
          </w:p>
        </w:tc>
        <w:tc>
          <w:tcPr>
            <w:tcW w:w="3360" w:type="pct"/>
            <w:gridSpan w:val="2"/>
            <w:vAlign w:val="center"/>
          </w:tcPr>
          <w:p w14:paraId="35888CD9">
            <w:pPr>
              <w:pStyle w:val="105"/>
              <w:widowControl w:val="0"/>
              <w:jc w:val="center"/>
              <w:rPr>
                <w:color w:val="000000" w:themeColor="text1"/>
                <w14:textFill>
                  <w14:solidFill>
                    <w14:schemeClr w14:val="tx1"/>
                  </w14:solidFill>
                </w14:textFill>
              </w:rPr>
            </w:pPr>
            <w:r>
              <w:rPr>
                <w:color w:val="000000" w:themeColor="text1"/>
                <w:szCs w:val="21"/>
                <w14:textFill>
                  <w14:solidFill>
                    <w14:schemeClr w14:val="tx1"/>
                  </w14:solidFill>
                </w14:textFill>
              </w:rPr>
              <w:t>可行</w:t>
            </w:r>
            <w:r>
              <w:rPr>
                <w:rFonts w:ascii="Wingdings 2" w:hAnsi="Wingdings 2"/>
                <w:color w:val="000000" w:themeColor="text1"/>
                <w:szCs w:val="21"/>
                <w14:textFill>
                  <w14:solidFill>
                    <w14:schemeClr w14:val="tx1"/>
                  </w14:solidFill>
                </w14:textFill>
              </w:rPr>
              <w:t></w:t>
            </w:r>
            <w:r>
              <w:rPr>
                <w:color w:val="000000" w:themeColor="text1"/>
                <w:szCs w:val="21"/>
                <w14:textFill>
                  <w14:solidFill>
                    <w14:schemeClr w14:val="tx1"/>
                  </w14:solidFill>
                </w14:textFill>
              </w:rPr>
              <w:tab/>
            </w:r>
            <w:r>
              <w:rPr>
                <w:color w:val="000000" w:themeColor="text1"/>
                <w:szCs w:val="21"/>
                <w14:textFill>
                  <w14:solidFill>
                    <w14:schemeClr w14:val="tx1"/>
                  </w14:solidFill>
                </w14:textFill>
              </w:rPr>
              <w:t xml:space="preserve">   不可行</w:t>
            </w:r>
            <w:r>
              <w:rPr>
                <w:rFonts w:hint="eastAsia"/>
                <w:color w:val="000000" w:themeColor="text1"/>
                <w:szCs w:val="21"/>
                <w14:textFill>
                  <w14:solidFill>
                    <w14:schemeClr w14:val="tx1"/>
                  </w14:solidFill>
                </w14:textFill>
              </w:rPr>
              <w:t>□</w:t>
            </w:r>
          </w:p>
        </w:tc>
      </w:tr>
      <w:tr w14:paraId="04E25C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cantSplit/>
          <w:trHeight w:val="227" w:hRule="atLeast"/>
        </w:trPr>
        <w:tc>
          <w:tcPr>
            <w:tcW w:w="5000" w:type="pct"/>
            <w:gridSpan w:val="4"/>
            <w:tcBorders>
              <w:bottom w:val="single" w:color="auto" w:sz="12" w:space="0"/>
            </w:tcBorders>
            <w:vAlign w:val="center"/>
          </w:tcPr>
          <w:p w14:paraId="67D9BCE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注：“</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为勾选项 ，可√ ；</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r>
              <w:rPr>
                <w:color w:val="000000" w:themeColor="text1"/>
                <w14:textFill>
                  <w14:solidFill>
                    <w14:schemeClr w14:val="tx1"/>
                  </w14:solidFill>
                </w14:textFill>
              </w:rPr>
              <w:tab/>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 xml:space="preserve"> 为内容填写项。</w:t>
            </w:r>
          </w:p>
        </w:tc>
      </w:tr>
    </w:tbl>
    <w:p w14:paraId="5A95F187">
      <w:pPr>
        <w:pStyle w:val="116"/>
        <w:rPr>
          <w:color w:val="000000" w:themeColor="text1"/>
          <w14:textFill>
            <w14:solidFill>
              <w14:schemeClr w14:val="tx1"/>
            </w14:solidFill>
          </w14:textFill>
        </w:rPr>
      </w:pPr>
      <w:bookmarkStart w:id="759" w:name="_Toc193912384"/>
      <w:r>
        <w:rPr>
          <w:color w:val="000000" w:themeColor="text1"/>
          <w14:textFill>
            <w14:solidFill>
              <w14:schemeClr w14:val="tx1"/>
            </w14:solidFill>
          </w14:textFill>
        </w:rPr>
        <w:t>固体废物环境影响分析</w:t>
      </w:r>
      <w:bookmarkEnd w:id="756"/>
      <w:bookmarkEnd w:id="757"/>
      <w:bookmarkEnd w:id="759"/>
    </w:p>
    <w:p w14:paraId="4CF9BC25">
      <w:pPr>
        <w:ind w:firstLine="480"/>
        <w:rPr>
          <w:color w:val="000000" w:themeColor="text1"/>
          <w14:textFill>
            <w14:solidFill>
              <w14:schemeClr w14:val="tx1"/>
            </w14:solidFill>
          </w14:textFill>
        </w:rPr>
      </w:pPr>
      <w:r>
        <w:rPr>
          <w:color w:val="000000" w:themeColor="text1"/>
          <w14:textFill>
            <w14:solidFill>
              <w14:schemeClr w14:val="tx1"/>
            </w14:solidFill>
          </w14:textFill>
        </w:rPr>
        <w:t>本项目产生的固体废物主要是施工垃圾及生活垃圾。其中，建筑垃圾主要为植物残体、拆迁建筑垃圾及施工建筑废物等，</w:t>
      </w:r>
      <w:r>
        <w:rPr>
          <w:rFonts w:hint="eastAsia"/>
          <w:color w:val="000000" w:themeColor="text1"/>
          <w14:textFill>
            <w14:solidFill>
              <w14:schemeClr w14:val="tx1"/>
            </w14:solidFill>
          </w14:textFill>
        </w:rPr>
        <w:t>成分</w:t>
      </w:r>
      <w:r>
        <w:rPr>
          <w:color w:val="000000" w:themeColor="text1"/>
          <w14:textFill>
            <w14:solidFill>
              <w14:schemeClr w14:val="tx1"/>
            </w14:solidFill>
          </w14:textFill>
        </w:rPr>
        <w:t>较为简单。但如果处理方法不当，任意堆放，也将对环境产生影响：如占用土地；固体废物中的细粒受风吹、日晒，产生扬尘，影响局部大气质量；生活垃圾如果没有及时清运处理，易腐烂、散发恶臭，影响周边村庄的环境卫生。</w:t>
      </w:r>
    </w:p>
    <w:p w14:paraId="314D4C5D">
      <w:pPr>
        <w:pStyle w:val="120"/>
        <w:rPr>
          <w:color w:val="000000" w:themeColor="text1"/>
          <w14:textFill>
            <w14:solidFill>
              <w14:schemeClr w14:val="tx1"/>
            </w14:solidFill>
          </w14:textFill>
        </w:rPr>
      </w:pPr>
      <w:bookmarkStart w:id="760" w:name="4.4.1施工期固体废物处置分析"/>
      <w:bookmarkEnd w:id="760"/>
      <w:r>
        <w:rPr>
          <w:color w:val="000000" w:themeColor="text1"/>
          <w14:textFill>
            <w14:solidFill>
              <w14:schemeClr w14:val="tx1"/>
            </w14:solidFill>
          </w14:textFill>
        </w:rPr>
        <w:t>施工期固体废物处置分析</w:t>
      </w:r>
    </w:p>
    <w:p w14:paraId="33D19F3F">
      <w:pPr>
        <w:pStyle w:val="19"/>
        <w:ind w:firstLine="476"/>
        <w:rPr>
          <w:rFonts w:ascii="Times New Roman" w:hAnsi="Times New Roman" w:cs="Times New Roman"/>
          <w:color w:val="000000" w:themeColor="text1"/>
          <w:spacing w:val="-2"/>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遵循对固废的“减量化、资源化、无害化”的原则，本项目所产生的废物经有效处理、回收综合利用后，基本上可实现固体废物的零排放。</w:t>
      </w:r>
    </w:p>
    <w:p w14:paraId="1BCA82B0">
      <w:pPr>
        <w:pStyle w:val="19"/>
        <w:ind w:firstLine="476"/>
        <w:rPr>
          <w:rFonts w:ascii="Times New Roman" w:hAnsi="Times New Roman" w:cs="Times New Roman"/>
          <w:color w:val="000000" w:themeColor="text1"/>
          <w:spacing w:val="-2"/>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（1）对涉及的建筑拆迁废物进行</w:t>
      </w:r>
      <w:r>
        <w:rPr>
          <w:rFonts w:hint="eastAsia" w:ascii="Times New Roman" w:hAnsi="Times New Roman" w:cs="Times New Roman"/>
          <w:color w:val="000000" w:themeColor="text1"/>
          <w:spacing w:val="-2"/>
          <w14:textFill>
            <w14:solidFill>
              <w14:schemeClr w14:val="tx1"/>
            </w14:solidFill>
          </w14:textFill>
        </w:rPr>
        <w:t>分拣</w:t>
      </w:r>
      <w:r>
        <w:rPr>
          <w:rFonts w:ascii="Times New Roman" w:hAnsi="Times New Roman" w:cs="Times New Roman"/>
          <w:color w:val="000000" w:themeColor="text1"/>
          <w:spacing w:val="-2"/>
          <w14:textFill>
            <w14:solidFill>
              <w14:schemeClr w14:val="tx1"/>
            </w14:solidFill>
          </w14:textFill>
        </w:rPr>
        <w:t>，回收可利用部分：如废钢筋、废金属、废电力电讯线、废泡沫塑料、废纸、废薄膜可送至废品收购站实现综合利用。废砖瓦、石块、混凝土块中的成形、较完整部分和废木板经整理可作为附近农村牲畜围栏等设施的用料。为减少挖方，可利用部分建筑垃圾作为路基填方材料进行利用，这样既能减少挖方量，又能做到建筑垃圾的综合利用或作为平整低洼地用。此外，拆除的电力、电讯杆可重新利用，少量不能利用的杆件经处理后可运送到固体废物处置场填埋。</w:t>
      </w:r>
    </w:p>
    <w:p w14:paraId="250459B1">
      <w:pPr>
        <w:pStyle w:val="19"/>
        <w:ind w:firstLine="476"/>
        <w:rPr>
          <w:rFonts w:ascii="Times New Roman" w:hAnsi="Times New Roman" w:cs="Times New Roman"/>
          <w:color w:val="000000" w:themeColor="text1"/>
          <w:spacing w:val="-2"/>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2）施工期生活垃圾主要分布于各施工人员驻地（利用当地民房），因其产生量有限，可充分利用沿线原乡镇、村庄的环卫垃圾处理设施，特别在施工高峰期应适当在人员集中区增加保洁容器和保洁人员，生活垃圾经由环卫工人分类收集可利用的部分后，并入临近的乡村垃圾处理系统处理。</w:t>
      </w:r>
    </w:p>
    <w:p w14:paraId="271A1DE7">
      <w:pPr>
        <w:pStyle w:val="19"/>
        <w:ind w:firstLine="476"/>
        <w:rPr>
          <w:rFonts w:ascii="Times New Roman" w:hAnsi="Times New Roman" w:cs="Times New Roman"/>
          <w:color w:val="000000" w:themeColor="text1"/>
          <w:spacing w:val="-2"/>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（3）加强对施工机械、运输车辆的管理：施工机械、运输车辆保养产生的固体废弃物不得随意抛弃，应统一收集处理。渣土运输车辆应当适量装载，运输途中</w:t>
      </w:r>
      <w:bookmarkStart w:id="761" w:name="hmcheck_125f9d9ba70740f8ae54de39cfeb8471"/>
      <w:r>
        <w:rPr>
          <w:rFonts w:ascii="Times New Roman" w:hAnsi="Times New Roman" w:cs="Times New Roman"/>
          <w:color w:val="000000" w:themeColor="text1"/>
          <w:spacing w:val="-2"/>
          <w:shd w:val="clear" w:fill="FFAFAA"/>
          <w14:textFill>
            <w14:solidFill>
              <w14:schemeClr w14:val="tx1"/>
            </w14:solidFill>
          </w14:textFill>
        </w:rPr>
        <w:t>不得泄漏</w:t>
      </w:r>
      <w:bookmarkEnd w:id="761"/>
      <w:r>
        <w:rPr>
          <w:rFonts w:ascii="Times New Roman" w:hAnsi="Times New Roman" w:cs="Times New Roman"/>
          <w:color w:val="000000" w:themeColor="text1"/>
          <w:spacing w:val="-2"/>
          <w14:textFill>
            <w14:solidFill>
              <w14:schemeClr w14:val="tx1"/>
            </w14:solidFill>
          </w14:textFill>
        </w:rPr>
        <w:t>、遗撒、污染路面，按要求卸放。</w:t>
      </w:r>
    </w:p>
    <w:p w14:paraId="03990EAD">
      <w:pPr>
        <w:pStyle w:val="120"/>
        <w:rPr>
          <w:color w:val="000000" w:themeColor="text1"/>
          <w14:textFill>
            <w14:solidFill>
              <w14:schemeClr w14:val="tx1"/>
            </w14:solidFill>
          </w14:textFill>
        </w:rPr>
      </w:pPr>
      <w:bookmarkStart w:id="762" w:name="4.4.2营运期固体废物处置分析"/>
      <w:bookmarkEnd w:id="762"/>
      <w:r>
        <w:rPr>
          <w:color w:val="000000" w:themeColor="text1"/>
          <w14:textFill>
            <w14:solidFill>
              <w14:schemeClr w14:val="tx1"/>
            </w14:solidFill>
          </w14:textFill>
        </w:rPr>
        <w:t>运营期固体废物处置分析</w:t>
      </w:r>
    </w:p>
    <w:p w14:paraId="01A4EB5D">
      <w:pPr>
        <w:pStyle w:val="19"/>
        <w:ind w:firstLine="480"/>
        <w:rPr>
          <w:rFonts w:ascii="Times New Roman" w:hAnsi="Times New Roman" w:cs="Times New Roman"/>
          <w:color w:val="000000" w:themeColor="text1"/>
          <w:spacing w:val="-2"/>
          <w14:textFill>
            <w14:solidFill>
              <w14:schemeClr w14:val="tx1"/>
            </w14:solidFill>
          </w14:textFill>
        </w:rPr>
        <w:sectPr>
          <w:footerReference r:id="rId22" w:type="default"/>
          <w:pgSz w:w="11910" w:h="16840"/>
          <w:pgMar w:top="1418" w:right="1418" w:bottom="1418" w:left="1418" w:header="851" w:footer="851" w:gutter="0"/>
          <w:cols w:space="720" w:num="1"/>
        </w:sectPr>
      </w:pPr>
      <w:r>
        <w:rPr>
          <w:rFonts w:hint="eastAsia"/>
          <w:color w:val="000000" w:themeColor="text1"/>
          <w14:textFill>
            <w14:solidFill>
              <w14:schemeClr w14:val="tx1"/>
            </w14:solidFill>
          </w14:textFill>
        </w:rPr>
        <w:t>项目建成通车后，当地交通更为便捷，给人们日常生活和工作带来了极大的便利，但同时交通垃圾，如汽车装载货物的洒落物、汽车轮胎挟带的泥沙、过往车辆丢弃的饮料瓶及废纸盒等生活垃圾也对沿线周边环境产生不利影响。固体废物经环卫部门定期清除、收集、外运，保证日产日清、路面清洁，则项目运营期产生的固体废物对周边环境影响不大</w:t>
      </w:r>
      <w:r>
        <w:rPr>
          <w:rFonts w:ascii="Times New Roman" w:hAnsi="Times New Roman" w:cs="Times New Roman"/>
          <w:color w:val="000000" w:themeColor="text1"/>
          <w:spacing w:val="-2"/>
          <w14:textFill>
            <w14:solidFill>
              <w14:schemeClr w14:val="tx1"/>
            </w14:solidFill>
          </w14:textFill>
        </w:rPr>
        <w:t>。</w:t>
      </w:r>
    </w:p>
    <w:p w14:paraId="590ACDD5">
      <w:pPr>
        <w:pStyle w:val="19"/>
        <w:ind w:firstLine="476"/>
        <w:rPr>
          <w:rFonts w:ascii="Times New Roman" w:hAnsi="Times New Roman" w:cs="Times New Roman"/>
          <w:color w:val="000000" w:themeColor="text1"/>
          <w:spacing w:val="-2"/>
          <w14:textFill>
            <w14:solidFill>
              <w14:schemeClr w14:val="tx1"/>
            </w14:solidFill>
          </w14:textFill>
        </w:rPr>
      </w:pPr>
    </w:p>
    <w:p w14:paraId="4C8F4B1F">
      <w:pPr>
        <w:pStyle w:val="114"/>
        <w:rPr>
          <w:color w:val="000000" w:themeColor="text1"/>
          <w14:textFill>
            <w14:solidFill>
              <w14:schemeClr w14:val="tx1"/>
            </w14:solidFill>
          </w14:textFill>
        </w:rPr>
      </w:pPr>
      <w:bookmarkStart w:id="763" w:name="4.5生态环境影响分析与评价"/>
      <w:bookmarkEnd w:id="763"/>
      <w:bookmarkStart w:id="764" w:name="_Toc159405478"/>
      <w:bookmarkStart w:id="765" w:name="_Toc5772"/>
      <w:bookmarkStart w:id="766" w:name="_Toc193912385"/>
      <w:r>
        <w:rPr>
          <w:color w:val="000000" w:themeColor="text1"/>
          <w14:textFill>
            <w14:solidFill>
              <w14:schemeClr w14:val="tx1"/>
            </w14:solidFill>
          </w14:textFill>
        </w:rPr>
        <w:t>环境风险评价</w:t>
      </w:r>
      <w:bookmarkEnd w:id="764"/>
      <w:bookmarkEnd w:id="765"/>
      <w:bookmarkEnd w:id="766"/>
    </w:p>
    <w:p w14:paraId="65B9173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环境风险评价是分析和预测建设项目存在的潜在危险、有害因素，项目建设和运行期间可能发生的突发性事件或事故（不包括人为破坏及自然灾害）引起有毒有害和易燃易爆等物质泄漏，造成人身安全、环境影响</w:t>
      </w:r>
      <w:r>
        <w:rPr>
          <w:rFonts w:ascii="Segoe UI" w:hAnsi="Segoe UI" w:cs="Segoe UI"/>
          <w:color w:val="404040"/>
        </w:rPr>
        <w:t>及</w:t>
      </w:r>
      <w:r>
        <w:rPr>
          <w:rFonts w:hint="eastAsia"/>
          <w:color w:val="000000" w:themeColor="text1"/>
          <w14:textFill>
            <w14:solidFill>
              <w14:schemeClr w14:val="tx1"/>
            </w14:solidFill>
          </w14:textFill>
        </w:rPr>
        <w:t>损害程度，提出合理可行的防范、应急与减缓措施，使项目事故率、损失和环境影响达到可接受水平，确保周边影响区内环境质量达标、人群生物的健康和生命安全。</w:t>
      </w:r>
    </w:p>
    <w:p w14:paraId="2EB4FB31">
      <w:pPr>
        <w:pStyle w:val="116"/>
        <w:rPr>
          <w:color w:val="000000" w:themeColor="text1"/>
          <w14:textFill>
            <w14:solidFill>
              <w14:schemeClr w14:val="tx1"/>
            </w14:solidFill>
          </w14:textFill>
        </w:rPr>
      </w:pPr>
      <w:bookmarkStart w:id="767" w:name="5.1环境风险识别"/>
      <w:bookmarkEnd w:id="767"/>
      <w:bookmarkStart w:id="768" w:name="_Toc159405479"/>
      <w:bookmarkStart w:id="769" w:name="_Toc16462"/>
      <w:bookmarkStart w:id="770" w:name="_Toc193912386"/>
      <w:r>
        <w:rPr>
          <w:color w:val="000000" w:themeColor="text1"/>
          <w14:textFill>
            <w14:solidFill>
              <w14:schemeClr w14:val="tx1"/>
            </w14:solidFill>
          </w14:textFill>
        </w:rPr>
        <w:t>环境风险识别</w:t>
      </w:r>
      <w:bookmarkEnd w:id="768"/>
      <w:bookmarkEnd w:id="769"/>
      <w:bookmarkEnd w:id="770"/>
    </w:p>
    <w:p w14:paraId="06213E9D">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环境风险识别</w:t>
      </w:r>
    </w:p>
    <w:p w14:paraId="247B89F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公路运输过程中的风险事故，主要造成的影响是对沿线水体的影响，化学危险品的泄漏、落水将造成水体的严重污染。大量的研究成果表明，公路污染事故主要来源于交通事故。当公路跨过水体或沿水域经过时，车辆发生事故将可能对水体、环境空气产生污染，事故类型主要有：</w:t>
      </w:r>
    </w:p>
    <w:p w14:paraId="3C49F92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（1）车辆本身携带的汽油（柴油）和机油泄漏，排入附近水体；</w:t>
      </w:r>
    </w:p>
    <w:p w14:paraId="6DBD99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（2）化学危险品的运输车辆发生交通事故后，有毒有害固态、液态危险品发生泄漏或易燃易爆物质引起爆炸，引起水污染和空气污染；</w:t>
      </w:r>
    </w:p>
    <w:p w14:paraId="4F1ABD8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本项目作为</w:t>
      </w:r>
      <w:r>
        <w:rPr>
          <w:color w:val="000000" w:themeColor="text1"/>
          <w14:textFill>
            <w14:solidFill>
              <w14:schemeClr w14:val="tx1"/>
            </w14:solidFill>
          </w14:textFill>
        </w:rPr>
        <w:t>旅游公路工程</w:t>
      </w:r>
      <w:r>
        <w:rPr>
          <w:rFonts w:hint="eastAsia"/>
          <w:color w:val="000000" w:themeColor="text1"/>
          <w14:textFill>
            <w14:solidFill>
              <w14:schemeClr w14:val="tx1"/>
            </w14:solidFill>
          </w14:textFill>
        </w:rPr>
        <w:t>，起于上迳镇牌边村，</w:t>
      </w:r>
      <w:r>
        <w:rPr>
          <w:rFonts w:hint="eastAsia" w:cs="Times New Roman"/>
          <w:color w:val="000000" w:themeColor="text1"/>
          <w:shd w:val="clear" w:color="auto" w:fill="FFFFFF"/>
          <w14:textFill>
            <w14:solidFill>
              <w14:schemeClr w14:val="tx1"/>
            </w14:solidFill>
          </w14:textFill>
        </w:rPr>
        <w:t>终点至黄檗山万福寺，设置接线接入规划黄檗文化产业园</w:t>
      </w:r>
      <w:r>
        <w:rPr>
          <w:color w:val="000000" w:themeColor="text1"/>
          <w:lang w:val="zh-CN"/>
          <w14:textFill>
            <w14:solidFill>
              <w14:schemeClr w14:val="tx1"/>
            </w14:solidFill>
          </w14:textFill>
        </w:rPr>
        <w:t>。</w:t>
      </w:r>
      <w:r>
        <w:rPr>
          <w:rFonts w:hint="eastAsia"/>
          <w:color w:val="000000" w:themeColor="text1"/>
          <w:kern w:val="0"/>
          <w14:textFill>
            <w14:solidFill>
              <w14:schemeClr w14:val="tx1"/>
            </w14:solidFill>
          </w14:textFill>
        </w:rPr>
        <w:t>根据区域调查，区域村庄主要以农业生产和鳗鱼养殖为主，工业生产活动较少，且本项目</w:t>
      </w:r>
      <w:r>
        <w:rPr>
          <w:rFonts w:hint="eastAsia"/>
          <w:color w:val="000000" w:themeColor="text1"/>
          <w:lang w:val="zh-CN"/>
          <w14:textFill>
            <w14:solidFill>
              <w14:schemeClr w14:val="tx1"/>
            </w14:solidFill>
          </w14:textFill>
        </w:rPr>
        <w:t>作为旅游公路</w:t>
      </w:r>
      <w:r>
        <w:rPr>
          <w:rFonts w:hint="eastAsia"/>
          <w:color w:val="000000" w:themeColor="text1"/>
          <w:kern w:val="0"/>
          <w14:textFill>
            <w14:solidFill>
              <w14:schemeClr w14:val="tx1"/>
            </w14:solidFill>
          </w14:textFill>
        </w:rPr>
        <w:t>，不具备</w:t>
      </w:r>
      <w:r>
        <w:rPr>
          <w:rFonts w:hint="eastAsia"/>
          <w:color w:val="000000" w:themeColor="text1"/>
          <w14:textFill>
            <w14:solidFill>
              <w14:schemeClr w14:val="tx1"/>
            </w14:solidFill>
          </w14:textFill>
        </w:rPr>
        <w:t>运输</w:t>
      </w:r>
      <w:r>
        <w:rPr>
          <w:rFonts w:hint="eastAsia"/>
          <w:color w:val="000000" w:themeColor="text1"/>
          <w:kern w:val="0"/>
          <w14:textFill>
            <w14:solidFill>
              <w14:schemeClr w14:val="tx1"/>
            </w14:solidFill>
          </w14:textFill>
        </w:rPr>
        <w:t>危化品的功能。</w:t>
      </w:r>
      <w:r>
        <w:rPr>
          <w:rFonts w:hint="eastAsia"/>
          <w:color w:val="000000" w:themeColor="text1"/>
          <w14:textFill>
            <w14:solidFill>
              <w14:schemeClr w14:val="tx1"/>
            </w14:solidFill>
          </w14:textFill>
        </w:rPr>
        <w:t>因此，项目主要水环境风险为：车辆本身携带的汽油（柴油）和机油泄漏以及居民的少量液化气、易燃液体、农药化肥等，通过桥梁、涵洞、边沟进入周边地表水系，但这种小概率事件是有可能发生的，一旦发生事故，则可能会对泄漏区周边的河沟、土壤环境产生影响。所以公路管理部门应做好应急措施，一旦事故发生要尽快采取措施使污染影响降到最低限度</w:t>
      </w:r>
      <w:r>
        <w:rPr>
          <w:color w:val="000000" w:themeColor="text1"/>
          <w14:textFill>
            <w14:solidFill>
              <w14:schemeClr w14:val="tx1"/>
            </w14:solidFill>
          </w14:textFill>
        </w:rPr>
        <w:t>。</w:t>
      </w:r>
    </w:p>
    <w:p w14:paraId="4CF4FB53">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敏感路段识别</w:t>
      </w:r>
    </w:p>
    <w:p w14:paraId="0C00D94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本工程的环境风险敏感路段包括：以桥梁形式跨越迳江的大埔大桥和枝钟中桥，以及K</w:t>
      </w:r>
      <w:r>
        <w:rPr>
          <w:color w:val="000000" w:themeColor="text1"/>
          <w14:textFill>
            <w14:solidFill>
              <w14:schemeClr w14:val="tx1"/>
            </w14:solidFill>
          </w14:textFill>
        </w:rPr>
        <w:t>1+400~</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1+860</w:t>
      </w:r>
      <w:r>
        <w:rPr>
          <w:rFonts w:hint="eastAsia"/>
          <w:color w:val="000000" w:themeColor="text1"/>
          <w14:textFill>
            <w14:solidFill>
              <w14:schemeClr w14:val="tx1"/>
            </w14:solidFill>
          </w14:textFill>
        </w:rPr>
        <w:t>邻水路段。</w:t>
      </w:r>
    </w:p>
    <w:p w14:paraId="7B0D898D">
      <w:pPr>
        <w:pStyle w:val="116"/>
        <w:rPr>
          <w:color w:val="000000" w:themeColor="text1"/>
          <w14:textFill>
            <w14:solidFill>
              <w14:schemeClr w14:val="tx1"/>
            </w14:solidFill>
          </w14:textFill>
        </w:rPr>
      </w:pPr>
      <w:bookmarkStart w:id="771" w:name="_Toc159405480"/>
      <w:bookmarkStart w:id="772" w:name="_Toc153957837"/>
      <w:bookmarkStart w:id="773" w:name="_Toc193912387"/>
      <w:r>
        <w:rPr>
          <w:rFonts w:hint="eastAsia"/>
          <w:color w:val="000000" w:themeColor="text1"/>
          <w14:textFill>
            <w14:solidFill>
              <w14:schemeClr w14:val="tx1"/>
            </w14:solidFill>
          </w14:textFill>
        </w:rPr>
        <w:t>风险潜势分析</w:t>
      </w:r>
      <w:bookmarkEnd w:id="771"/>
      <w:bookmarkEnd w:id="772"/>
      <w:bookmarkEnd w:id="773"/>
    </w:p>
    <w:p w14:paraId="70DBBF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根据《建设项目环境风险评价技术导则》（HJ169-2018），本项目不设服务区和加油站，不涉及有毒有害和易燃易爆危险物质生产、使用、存储，不存在重大风险源，环境风险潜势为 I，风险评价等级为简单分析。</w:t>
      </w:r>
    </w:p>
    <w:p w14:paraId="6080F52B">
      <w:pPr>
        <w:pStyle w:val="116"/>
        <w:rPr>
          <w:color w:val="000000" w:themeColor="text1"/>
          <w14:textFill>
            <w14:solidFill>
              <w14:schemeClr w14:val="tx1"/>
            </w14:solidFill>
          </w14:textFill>
        </w:rPr>
      </w:pPr>
      <w:bookmarkStart w:id="774" w:name="_Toc193912388"/>
      <w:bookmarkStart w:id="775" w:name="_Toc159405481"/>
      <w:bookmarkStart w:id="776" w:name="_Toc153957838"/>
      <w:r>
        <w:rPr>
          <w:rFonts w:hint="eastAsia"/>
          <w:color w:val="000000" w:themeColor="text1"/>
          <w14:textFill>
            <w14:solidFill>
              <w14:schemeClr w14:val="tx1"/>
            </w14:solidFill>
          </w14:textFill>
        </w:rPr>
        <w:t>环境风险源项分析</w:t>
      </w:r>
      <w:bookmarkEnd w:id="774"/>
      <w:bookmarkEnd w:id="775"/>
      <w:bookmarkEnd w:id="776"/>
    </w:p>
    <w:p w14:paraId="62EFCE0E">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施工期环境风险源项分析</w:t>
      </w:r>
    </w:p>
    <w:p w14:paraId="7BA1787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施工期可能发生的风险事故主要有施工机械漏油及施工中涉及的漆料、燃料等爆炸。根据同类型施工现场调查，施工场地一般应急暂存机油量为2</w:t>
      </w:r>
      <w:r>
        <w:rPr>
          <w:color w:val="000000" w:themeColor="text1"/>
          <w14:textFill>
            <w14:solidFill>
              <w14:schemeClr w14:val="tx1"/>
            </w14:solidFill>
          </w14:textFill>
        </w:rPr>
        <w:t>0</w:t>
      </w:r>
      <w:bookmarkStart w:id="777" w:name="hmcheck_58ab1285b0ee403a933de04fe5571c73"/>
      <w:r>
        <w:rPr>
          <w:color w:val="000000" w:themeColor="text1"/>
          <w:shd w:val="clear" w:fill="FFAFAA"/>
          <w14:textFill>
            <w14:solidFill>
              <w14:schemeClr w14:val="tx1"/>
            </w14:solidFill>
          </w14:textFill>
        </w:rPr>
        <w:t>~</w:t>
      </w:r>
      <w:bookmarkEnd w:id="777"/>
      <w:r>
        <w:rPr>
          <w:color w:val="000000" w:themeColor="text1"/>
          <w14:textFill>
            <w14:solidFill>
              <w14:schemeClr w14:val="tx1"/>
            </w14:solidFill>
          </w14:textFill>
        </w:rPr>
        <w:t>30L</w:t>
      </w:r>
      <w:r>
        <w:rPr>
          <w:rFonts w:hint="eastAsia"/>
          <w:color w:val="000000" w:themeColor="text1"/>
          <w14:textFill>
            <w14:solidFill>
              <w14:schemeClr w14:val="tx1"/>
            </w14:solidFill>
          </w14:textFill>
        </w:rPr>
        <w:t>，施工器械及施工车辆在线量约</w:t>
      </w:r>
      <w:r>
        <w:rPr>
          <w:color w:val="000000" w:themeColor="text1"/>
          <w14:textFill>
            <w14:solidFill>
              <w14:schemeClr w14:val="tx1"/>
            </w14:solidFill>
          </w14:textFill>
        </w:rPr>
        <w:t>5</w:t>
      </w:r>
      <w:bookmarkStart w:id="778" w:name="hmcheck_e49a090182454c3d8129ca659f622d65"/>
      <w:r>
        <w:rPr>
          <w:color w:val="000000" w:themeColor="text1"/>
          <w:shd w:val="clear" w:fill="FFAFAA"/>
          <w14:textFill>
            <w14:solidFill>
              <w14:schemeClr w14:val="tx1"/>
            </w14:solidFill>
          </w14:textFill>
        </w:rPr>
        <w:t>~</w:t>
      </w:r>
      <w:bookmarkEnd w:id="778"/>
      <w:r>
        <w:rPr>
          <w:color w:val="000000" w:themeColor="text1"/>
          <w14:textFill>
            <w14:solidFill>
              <w14:schemeClr w14:val="tx1"/>
            </w14:solidFill>
          </w14:textFill>
        </w:rPr>
        <w:t>15L/</w:t>
      </w:r>
      <w:r>
        <w:rPr>
          <w:rFonts w:hint="eastAsia"/>
          <w:color w:val="000000" w:themeColor="text1"/>
          <w14:textFill>
            <w14:solidFill>
              <w14:schemeClr w14:val="tx1"/>
            </w14:solidFill>
          </w14:textFill>
        </w:rPr>
        <w:t>辆，液压油3</w:t>
      </w:r>
      <w:r>
        <w:rPr>
          <w:color w:val="000000" w:themeColor="text1"/>
          <w14:textFill>
            <w14:solidFill>
              <w14:schemeClr w14:val="tx1"/>
            </w14:solidFill>
          </w14:textFill>
        </w:rPr>
        <w:t>00L/</w:t>
      </w:r>
      <w:r>
        <w:rPr>
          <w:rFonts w:hint="eastAsia"/>
          <w:color w:val="000000" w:themeColor="text1"/>
          <w14:textFill>
            <w14:solidFill>
              <w14:schemeClr w14:val="tx1"/>
            </w14:solidFill>
          </w14:textFill>
        </w:rPr>
        <w:t>辆，存放量很小，远小于油类物质临界量</w:t>
      </w:r>
      <w:r>
        <w:rPr>
          <w:color w:val="000000" w:themeColor="text1"/>
          <w14:textFill>
            <w14:solidFill>
              <w14:schemeClr w14:val="tx1"/>
            </w14:solidFill>
          </w14:textFill>
        </w:rPr>
        <w:t>2500</w:t>
      </w:r>
      <w:r>
        <w:rPr>
          <w:rFonts w:hint="eastAsia"/>
          <w:color w:val="000000" w:themeColor="text1"/>
          <w14:textFill>
            <w14:solidFill>
              <w14:schemeClr w14:val="tx1"/>
            </w14:solidFill>
          </w14:textFill>
        </w:rPr>
        <w:t>t，且设置专门的物资仓库进行存储，风险事故概率发生较低。但由于本工程所在地自然生态环境质量较好，公路沿线分布较多居民，一旦事故发生，由于其突发性、不可预见性，故可能造成一定的环境破坏和社会影响。因此须有相应的措施加以防范。</w:t>
      </w:r>
    </w:p>
    <w:p w14:paraId="424F1A4E">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运营期环境风险源项分析</w:t>
      </w:r>
    </w:p>
    <w:p w14:paraId="4A6CB01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危险品识别</w:t>
      </w:r>
    </w:p>
    <w:p w14:paraId="5B55A558">
      <w:pPr>
        <w:ind w:firstLine="480"/>
        <w:rPr>
          <w:color w:val="000000" w:themeColor="text1"/>
          <w14:textFill>
            <w14:solidFill>
              <w14:schemeClr w14:val="tx1"/>
            </w14:solidFill>
          </w14:textFill>
        </w:rPr>
      </w:pPr>
      <w:r>
        <w:rPr>
          <w:rFonts w:hint="eastAsia"/>
          <w:color w:val="000000" w:themeColor="text1"/>
          <w:kern w:val="0"/>
          <w14:textFill>
            <w14:solidFill>
              <w14:schemeClr w14:val="tx1"/>
            </w14:solidFill>
          </w14:textFill>
        </w:rPr>
        <w:t>本项目</w:t>
      </w:r>
      <w:r>
        <w:rPr>
          <w:rFonts w:hint="eastAsia"/>
          <w:color w:val="000000" w:themeColor="text1"/>
          <w:lang w:val="zh-CN"/>
          <w14:textFill>
            <w14:solidFill>
              <w14:schemeClr w14:val="tx1"/>
            </w14:solidFill>
          </w14:textFill>
        </w:rPr>
        <w:t>作为旅游公路</w:t>
      </w:r>
      <w:r>
        <w:rPr>
          <w:rFonts w:hint="eastAsia"/>
          <w:color w:val="000000" w:themeColor="text1"/>
          <w:kern w:val="0"/>
          <w14:textFill>
            <w14:solidFill>
              <w14:schemeClr w14:val="tx1"/>
            </w14:solidFill>
          </w14:textFill>
        </w:rPr>
        <w:t>，不具备</w:t>
      </w:r>
      <w:r>
        <w:rPr>
          <w:rFonts w:hint="eastAsia"/>
          <w:color w:val="000000" w:themeColor="text1"/>
          <w14:textFill>
            <w14:solidFill>
              <w14:schemeClr w14:val="tx1"/>
            </w14:solidFill>
          </w14:textFill>
        </w:rPr>
        <w:t>运输</w:t>
      </w:r>
      <w:r>
        <w:rPr>
          <w:rFonts w:hint="eastAsia"/>
          <w:color w:val="000000" w:themeColor="text1"/>
          <w:kern w:val="0"/>
          <w14:textFill>
            <w14:solidFill>
              <w14:schemeClr w14:val="tx1"/>
            </w14:solidFill>
          </w14:textFill>
        </w:rPr>
        <w:t>危化品的功能。</w:t>
      </w:r>
      <w:r>
        <w:rPr>
          <w:rFonts w:hint="eastAsia"/>
          <w:color w:val="000000" w:themeColor="text1"/>
          <w14:textFill>
            <w14:solidFill>
              <w14:schemeClr w14:val="tx1"/>
            </w14:solidFill>
          </w14:textFill>
        </w:rPr>
        <w:t>项目主要水环境风险为：车辆本身携带的汽油（柴油）和机油泄漏以及居民的少量液化气、易燃液体、农药化肥等。</w:t>
      </w:r>
    </w:p>
    <w:p w14:paraId="06546B71">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运营期交通事故概率计算</w:t>
      </w:r>
    </w:p>
    <w:p w14:paraId="20DBAE8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（1）事故风险概率经验公式</w:t>
      </w:r>
    </w:p>
    <w:p w14:paraId="196F76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本评价对环境风险敏感路段在运输过程中发生风险事故的概率进行估算，事故概率按下列经验公式估算：</w:t>
      </w:r>
    </w:p>
    <w:p w14:paraId="7EA4381E">
      <w:pPr>
        <w:ind w:firstLine="48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2349500" cy="353060"/>
            <wp:effectExtent l="0" t="0" r="0" b="889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145"/>
                    <a:stretch>
                      <a:fillRect/>
                    </a:stretch>
                  </pic:blipFill>
                  <pic:spPr>
                    <a:xfrm>
                      <a:off x="0" y="0"/>
                      <a:ext cx="2349500" cy="353060"/>
                    </a:xfrm>
                    <a:prstGeom prst="rect">
                      <a:avLst/>
                    </a:prstGeom>
                  </pic:spPr>
                </pic:pic>
              </a:graphicData>
            </a:graphic>
          </wp:inline>
        </w:drawing>
      </w:r>
    </w:p>
    <w:p w14:paraId="7A370B7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式中：P——预测年考核路段的运输化学危险品发生污染事故的风险概率（次/年）；</w:t>
      </w:r>
    </w:p>
    <w:p w14:paraId="5377835C">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1</w:t>
      </w:r>
      <w:r>
        <w:rPr>
          <w:rFonts w:hint="eastAsia"/>
          <w:color w:val="000000" w:themeColor="text1"/>
          <w14:textFill>
            <w14:solidFill>
              <w14:schemeClr w14:val="tx1"/>
            </w14:solidFill>
          </w14:textFill>
        </w:rPr>
        <w:t>——交通事故率，次/百万车•km；</w:t>
      </w:r>
    </w:p>
    <w:p w14:paraId="74751152">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——从事危险品运输车辆的比例，%；</w:t>
      </w:r>
    </w:p>
    <w:p w14:paraId="27ACF9CC">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——预测年拟建公路的交通量（百万辆/年）；</w:t>
      </w:r>
    </w:p>
    <w:p w14:paraId="2BCBDE67">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4</w:t>
      </w:r>
      <w:r>
        <w:rPr>
          <w:rFonts w:hint="eastAsia"/>
          <w:color w:val="000000" w:themeColor="text1"/>
          <w14:textFill>
            <w14:solidFill>
              <w14:schemeClr w14:val="tx1"/>
            </w14:solidFill>
          </w14:textFill>
        </w:rPr>
        <w:t>——考核路段长度（km）；</w:t>
      </w:r>
    </w:p>
    <w:p w14:paraId="4E6AD5F4">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——可比条件下，由于新路的建成通行可能降低交通事故的比重（%）；</w:t>
      </w:r>
    </w:p>
    <w:p w14:paraId="51382D47">
      <w:pPr>
        <w:ind w:firstLine="1200" w:firstLineChars="500"/>
        <w:rPr>
          <w:color w:val="000000" w:themeColor="text1"/>
          <w14:textFill>
            <w14:solidFill>
              <w14:schemeClr w14:val="tx1"/>
            </w14:solidFill>
          </w14:textFill>
        </w:rPr>
      </w:pPr>
      <w:r>
        <w:rPr>
          <w:rFonts w:hint="eastAsia"/>
          <w:color w:val="000000" w:themeColor="text1"/>
          <w14:textFill>
            <w14:solidFill>
              <w14:schemeClr w14:val="tx1"/>
            </w14:solidFill>
          </w14:textFill>
        </w:rPr>
        <w:t>Q</w:t>
      </w:r>
      <w:r>
        <w:rPr>
          <w:rFonts w:hint="eastAsia"/>
          <w:color w:val="000000" w:themeColor="text1"/>
          <w:vertAlign w:val="subscript"/>
          <w14:textFill>
            <w14:solidFill>
              <w14:schemeClr w14:val="tx1"/>
            </w14:solidFill>
          </w14:textFill>
        </w:rPr>
        <w:t>6</w:t>
      </w:r>
      <w:r>
        <w:rPr>
          <w:rFonts w:hint="eastAsia"/>
          <w:color w:val="000000" w:themeColor="text1"/>
          <w14:textFill>
            <w14:solidFill>
              <w14:schemeClr w14:val="tx1"/>
            </w14:solidFill>
          </w14:textFill>
        </w:rPr>
        <w:t>——危险品货物运输车辆交通安全系数。</w:t>
      </w:r>
    </w:p>
    <w:p w14:paraId="7670043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（2）预测参数的确定</w:t>
      </w:r>
    </w:p>
    <w:p w14:paraId="2653AB0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①基年交通事故率：参照福建省相关交通事故调查统计资料取0.38次/百万车•km。</w:t>
      </w:r>
    </w:p>
    <w:p w14:paraId="66409F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②预测年的交通量：本项目特征年为202</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年、203</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年和20</w:t>
      </w:r>
      <w:r>
        <w:rPr>
          <w:color w:val="000000" w:themeColor="text1"/>
          <w14:textFill>
            <w14:solidFill>
              <w14:schemeClr w14:val="tx1"/>
            </w14:solidFill>
          </w14:textFill>
        </w:rPr>
        <w:t>41</w:t>
      </w:r>
      <w:r>
        <w:rPr>
          <w:rFonts w:hint="eastAsia"/>
          <w:color w:val="000000" w:themeColor="text1"/>
          <w14:textFill>
            <w14:solidFill>
              <w14:schemeClr w14:val="tx1"/>
            </w14:solidFill>
          </w14:textFill>
        </w:rPr>
        <w:t>年，其交通量见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_Ref140586589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表3.8-6</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6D46EF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③运输危险品车辆的比重类比其他相似项目，本项目运输危险品车辆在总车流量所占比重为0.05%。</w:t>
      </w:r>
    </w:p>
    <w:p w14:paraId="522BEBA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④公路建成通车可降低交通事故的比重在可比条件下，出于新建道路的建成可减少交通事故的比重，按50%估算。</w:t>
      </w:r>
    </w:p>
    <w:p w14:paraId="7E6D12A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⑤危险品货物运输车辆交通安全系数</w:t>
      </w:r>
    </w:p>
    <w:p w14:paraId="215B86A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该系数指由于从事危险货物的车辆，无论从驾驶员的安全意识，还是从车辆本身有特殊标志等，比一般运行车辆发生交通事故的可能来得小，但由于没有确切的统计资料，故采用经验系数1.5。</w:t>
      </w:r>
    </w:p>
    <w:p w14:paraId="07BE39E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（3）事故风险概率估算结果各特征年（预测年）危险货物车辆交通事故概率估算结果见表7.2-1。</w:t>
      </w:r>
    </w:p>
    <w:p w14:paraId="0AFA981E">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①</w:t>
      </w:r>
      <w:r>
        <w:rPr>
          <w:rFonts w:hint="eastAsia"/>
          <w:color w:val="000000" w:themeColor="text1"/>
          <w14:textFill>
            <w14:solidFill>
              <w14:schemeClr w14:val="tx1"/>
            </w14:solidFill>
          </w14:textFill>
        </w:rPr>
        <w:t>各</w:t>
      </w:r>
      <w:r>
        <w:rPr>
          <w:color w:val="000000" w:themeColor="text1"/>
          <w14:textFill>
            <w14:solidFill>
              <w14:schemeClr w14:val="tx1"/>
            </w14:solidFill>
          </w14:textFill>
        </w:rPr>
        <w:t>路段车辆交通事故概率</w:t>
      </w:r>
      <w:r>
        <w:rPr>
          <w:rFonts w:hint="eastAsia"/>
          <w:color w:val="000000" w:themeColor="text1"/>
          <w14:textFill>
            <w14:solidFill>
              <w14:schemeClr w14:val="tx1"/>
            </w14:solidFill>
          </w14:textFill>
        </w:rPr>
        <w:t>：全线各</w:t>
      </w:r>
      <w:r>
        <w:rPr>
          <w:color w:val="000000" w:themeColor="text1"/>
          <w14:textFill>
            <w14:solidFill>
              <w14:schemeClr w14:val="tx1"/>
            </w14:solidFill>
          </w14:textFill>
        </w:rPr>
        <w:t>路段交通事故概率估算结果见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_Ref148341475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表6.3-1</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2165B5F1">
      <w:pPr>
        <w:ind w:firstLine="480"/>
        <w:rPr>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②</w:t>
      </w:r>
      <w:r>
        <w:rPr>
          <w:color w:val="000000" w:themeColor="text1"/>
          <w14:textFill>
            <w14:solidFill>
              <w14:schemeClr w14:val="tx1"/>
            </w14:solidFill>
          </w14:textFill>
        </w:rPr>
        <w:t>主要桥梁</w:t>
      </w:r>
      <w:r>
        <w:rPr>
          <w:rFonts w:hint="eastAsia"/>
          <w:color w:val="000000" w:themeColor="text1"/>
          <w14:textFill>
            <w14:solidFill>
              <w14:schemeClr w14:val="tx1"/>
            </w14:solidFill>
          </w14:textFill>
        </w:rPr>
        <w:t>、临水</w:t>
      </w:r>
      <w:r>
        <w:rPr>
          <w:color w:val="000000" w:themeColor="text1"/>
          <w14:textFill>
            <w14:solidFill>
              <w14:schemeClr w14:val="tx1"/>
            </w14:solidFill>
          </w14:textFill>
        </w:rPr>
        <w:t>路段发生交通事故概率估算结果见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REF _Ref148341463 \r \h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表6.3-2</w:t>
      </w:r>
      <w:r>
        <w:rPr>
          <w:color w:val="000000" w:themeColor="text1"/>
          <w14:textFill>
            <w14:solidFill>
              <w14:schemeClr w14:val="tx1"/>
            </w14:solidFill>
          </w14:textFill>
        </w:rPr>
        <w:fldChar w:fldCharType="end"/>
      </w:r>
      <w:r>
        <w:rPr>
          <w:color w:val="000000" w:themeColor="text1"/>
          <w14:textFill>
            <w14:solidFill>
              <w14:schemeClr w14:val="tx1"/>
            </w14:solidFill>
          </w14:textFill>
        </w:rPr>
        <w:t>。</w:t>
      </w:r>
    </w:p>
    <w:p w14:paraId="690484B0">
      <w:pPr>
        <w:pStyle w:val="87"/>
        <w:spacing w:before="120"/>
        <w:rPr>
          <w:color w:val="000000" w:themeColor="text1"/>
          <w:sz w:val="21"/>
          <w:szCs w:val="21"/>
          <w14:textFill>
            <w14:solidFill>
              <w14:schemeClr w14:val="tx1"/>
            </w14:solidFill>
          </w14:textFill>
        </w:rPr>
      </w:pPr>
      <w:bookmarkStart w:id="779" w:name="_Ref148341475"/>
      <w:r>
        <w:rPr>
          <w:color w:val="000000" w:themeColor="text1"/>
          <w14:textFill>
            <w14:solidFill>
              <w14:schemeClr w14:val="tx1"/>
            </w14:solidFill>
          </w14:textFill>
        </w:rPr>
        <w:t>全路段危险货物车辆交通事故概率</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单位：次/年</w:t>
      </w:r>
      <w:bookmarkEnd w:id="779"/>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9"/>
        <w:gridCol w:w="990"/>
        <w:gridCol w:w="990"/>
        <w:gridCol w:w="990"/>
        <w:gridCol w:w="1150"/>
        <w:gridCol w:w="1336"/>
        <w:gridCol w:w="1336"/>
        <w:gridCol w:w="1329"/>
      </w:tblGrid>
      <w:tr w14:paraId="217844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 w:hRule="atLeast"/>
          <w:jc w:val="center"/>
        </w:trPr>
        <w:tc>
          <w:tcPr>
            <w:tcW w:w="629" w:type="pct"/>
            <w:vMerge w:val="restart"/>
            <w:tcBorders>
              <w:tl2br w:val="single" w:color="auto" w:sz="12" w:space="0"/>
            </w:tcBorders>
            <w:vAlign w:val="center"/>
          </w:tcPr>
          <w:p w14:paraId="1B9938B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 项目</w:t>
            </w:r>
          </w:p>
          <w:p w14:paraId="2D170D4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路段</w:t>
            </w:r>
          </w:p>
        </w:tc>
        <w:tc>
          <w:tcPr>
            <w:tcW w:w="1599" w:type="pct"/>
            <w:gridSpan w:val="3"/>
            <w:vAlign w:val="center"/>
          </w:tcPr>
          <w:p w14:paraId="74F38BD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交通量</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百万辆/年</w:t>
            </w:r>
            <w:r>
              <w:rPr>
                <w:rFonts w:hint="eastAsia"/>
                <w:color w:val="000000" w:themeColor="text1"/>
                <w14:textFill>
                  <w14:solidFill>
                    <w14:schemeClr w14:val="tx1"/>
                  </w14:solidFill>
                </w14:textFill>
              </w:rPr>
              <w:t>）</w:t>
            </w:r>
          </w:p>
        </w:tc>
        <w:tc>
          <w:tcPr>
            <w:tcW w:w="619" w:type="pct"/>
            <w:vMerge w:val="restart"/>
            <w:vAlign w:val="center"/>
          </w:tcPr>
          <w:p w14:paraId="413B633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长度（</w:t>
            </w:r>
            <w:r>
              <w:rPr>
                <w:color w:val="000000" w:themeColor="text1"/>
                <w14:textFill>
                  <w14:solidFill>
                    <w14:schemeClr w14:val="tx1"/>
                  </w14:solidFill>
                </w14:textFill>
              </w:rPr>
              <w:t>km</w:t>
            </w:r>
            <w:r>
              <w:rPr>
                <w:rFonts w:hint="eastAsia"/>
                <w:color w:val="000000" w:themeColor="text1"/>
                <w14:textFill>
                  <w14:solidFill>
                    <w14:schemeClr w14:val="tx1"/>
                  </w14:solidFill>
                </w14:textFill>
              </w:rPr>
              <w:t>）</w:t>
            </w:r>
          </w:p>
        </w:tc>
        <w:tc>
          <w:tcPr>
            <w:tcW w:w="2153" w:type="pct"/>
            <w:gridSpan w:val="3"/>
            <w:vAlign w:val="center"/>
          </w:tcPr>
          <w:p w14:paraId="65D175B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事故风险概率</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次/年</w:t>
            </w:r>
            <w:r>
              <w:rPr>
                <w:rFonts w:hint="eastAsia"/>
                <w:color w:val="000000" w:themeColor="text1"/>
                <w14:textFill>
                  <w14:solidFill>
                    <w14:schemeClr w14:val="tx1"/>
                  </w14:solidFill>
                </w14:textFill>
              </w:rPr>
              <w:t>）</w:t>
            </w:r>
          </w:p>
        </w:tc>
      </w:tr>
      <w:tr w14:paraId="1BB31C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 w:hRule="atLeast"/>
          <w:jc w:val="center"/>
        </w:trPr>
        <w:tc>
          <w:tcPr>
            <w:tcW w:w="629" w:type="pct"/>
            <w:vMerge w:val="continue"/>
            <w:vAlign w:val="center"/>
          </w:tcPr>
          <w:p w14:paraId="6B00357C">
            <w:pPr>
              <w:pStyle w:val="105"/>
              <w:jc w:val="center"/>
              <w:rPr>
                <w:color w:val="000000" w:themeColor="text1"/>
                <w14:textFill>
                  <w14:solidFill>
                    <w14:schemeClr w14:val="tx1"/>
                  </w14:solidFill>
                </w14:textFill>
              </w:rPr>
            </w:pPr>
          </w:p>
        </w:tc>
        <w:tc>
          <w:tcPr>
            <w:tcW w:w="533" w:type="pct"/>
            <w:vAlign w:val="center"/>
          </w:tcPr>
          <w:p w14:paraId="1DDD64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2027年</w:t>
            </w:r>
          </w:p>
        </w:tc>
        <w:tc>
          <w:tcPr>
            <w:tcW w:w="533" w:type="pct"/>
            <w:vAlign w:val="center"/>
          </w:tcPr>
          <w:p w14:paraId="0B0C9E0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2033年</w:t>
            </w:r>
          </w:p>
        </w:tc>
        <w:tc>
          <w:tcPr>
            <w:tcW w:w="533" w:type="pct"/>
            <w:vAlign w:val="center"/>
          </w:tcPr>
          <w:p w14:paraId="611E89B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2041年</w:t>
            </w:r>
          </w:p>
        </w:tc>
        <w:tc>
          <w:tcPr>
            <w:tcW w:w="619" w:type="pct"/>
            <w:vMerge w:val="continue"/>
            <w:vAlign w:val="center"/>
          </w:tcPr>
          <w:p w14:paraId="1C60681B">
            <w:pPr>
              <w:pStyle w:val="105"/>
              <w:jc w:val="center"/>
              <w:rPr>
                <w:color w:val="000000" w:themeColor="text1"/>
                <w14:textFill>
                  <w14:solidFill>
                    <w14:schemeClr w14:val="tx1"/>
                  </w14:solidFill>
                </w14:textFill>
              </w:rPr>
            </w:pPr>
          </w:p>
        </w:tc>
        <w:tc>
          <w:tcPr>
            <w:tcW w:w="719" w:type="pct"/>
            <w:vAlign w:val="center"/>
          </w:tcPr>
          <w:p w14:paraId="7665962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2027年</w:t>
            </w:r>
          </w:p>
        </w:tc>
        <w:tc>
          <w:tcPr>
            <w:tcW w:w="719" w:type="pct"/>
            <w:vAlign w:val="center"/>
          </w:tcPr>
          <w:p w14:paraId="13B2BFD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2033年</w:t>
            </w:r>
          </w:p>
        </w:tc>
        <w:tc>
          <w:tcPr>
            <w:tcW w:w="715" w:type="pct"/>
            <w:vAlign w:val="center"/>
          </w:tcPr>
          <w:p w14:paraId="6C77C3A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2041年</w:t>
            </w:r>
          </w:p>
        </w:tc>
      </w:tr>
      <w:tr w14:paraId="582B4C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629" w:type="pct"/>
            <w:vAlign w:val="center"/>
          </w:tcPr>
          <w:p w14:paraId="02D3F13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全线</w:t>
            </w:r>
          </w:p>
        </w:tc>
        <w:tc>
          <w:tcPr>
            <w:tcW w:w="533" w:type="pct"/>
            <w:vAlign w:val="center"/>
          </w:tcPr>
          <w:p w14:paraId="1BBDC921">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1.863</w:t>
            </w:r>
          </w:p>
        </w:tc>
        <w:tc>
          <w:tcPr>
            <w:tcW w:w="533" w:type="pct"/>
            <w:vAlign w:val="center"/>
          </w:tcPr>
          <w:p w14:paraId="33B37E1D">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2.175</w:t>
            </w:r>
          </w:p>
        </w:tc>
        <w:tc>
          <w:tcPr>
            <w:tcW w:w="533" w:type="pct"/>
            <w:vAlign w:val="center"/>
          </w:tcPr>
          <w:p w14:paraId="472FFD0D">
            <w:pPr>
              <w:pStyle w:val="105"/>
              <w:jc w:val="center"/>
              <w:rPr>
                <w:color w:val="000000" w:themeColor="text1"/>
                <w14:textFill>
                  <w14:solidFill>
                    <w14:schemeClr w14:val="tx1"/>
                  </w14:solidFill>
                </w14:textFill>
              </w:rPr>
            </w:pPr>
            <w:r>
              <w:rPr>
                <w:rFonts w:cs="Times New Roman"/>
                <w:color w:val="000000" w:themeColor="text1"/>
                <w:szCs w:val="21"/>
                <w14:textFill>
                  <w14:solidFill>
                    <w14:schemeClr w14:val="tx1"/>
                  </w14:solidFill>
                </w14:textFill>
              </w:rPr>
              <w:t>2.508</w:t>
            </w:r>
          </w:p>
        </w:tc>
        <w:tc>
          <w:tcPr>
            <w:tcW w:w="619" w:type="pct"/>
            <w:vAlign w:val="bottom"/>
          </w:tcPr>
          <w:p w14:paraId="10128DD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5.2</w:t>
            </w:r>
          </w:p>
        </w:tc>
        <w:tc>
          <w:tcPr>
            <w:tcW w:w="719" w:type="pct"/>
            <w:vAlign w:val="center"/>
          </w:tcPr>
          <w:p w14:paraId="24251499">
            <w:pPr>
              <w:pStyle w:val="105"/>
              <w:jc w:val="center"/>
              <w:rPr>
                <w:color w:val="000000" w:themeColor="text1"/>
                <w14:textFill>
                  <w14:solidFill>
                    <w14:schemeClr w14:val="tx1"/>
                  </w14:solidFill>
                </w14:textFill>
              </w:rPr>
            </w:pPr>
            <w:r>
              <w:rPr>
                <w:rFonts w:cs="Times New Roman"/>
                <w:b/>
                <w:bCs/>
                <w:color w:val="000000" w:themeColor="text1"/>
                <w:szCs w:val="21"/>
                <w14:textFill>
                  <w14:solidFill>
                    <w14:schemeClr w14:val="tx1"/>
                  </w14:solidFill>
                </w14:textFill>
              </w:rPr>
              <w:t>0.00061</w:t>
            </w:r>
          </w:p>
        </w:tc>
        <w:tc>
          <w:tcPr>
            <w:tcW w:w="719" w:type="pct"/>
            <w:vAlign w:val="center"/>
          </w:tcPr>
          <w:p w14:paraId="2029CB46">
            <w:pPr>
              <w:pStyle w:val="105"/>
              <w:jc w:val="center"/>
              <w:rPr>
                <w:color w:val="000000" w:themeColor="text1"/>
                <w14:textFill>
                  <w14:solidFill>
                    <w14:schemeClr w14:val="tx1"/>
                  </w14:solidFill>
                </w14:textFill>
              </w:rPr>
            </w:pPr>
            <w:r>
              <w:rPr>
                <w:rFonts w:cs="Times New Roman"/>
                <w:b/>
                <w:bCs/>
                <w:color w:val="000000" w:themeColor="text1"/>
                <w:szCs w:val="21"/>
                <w14:textFill>
                  <w14:solidFill>
                    <w14:schemeClr w14:val="tx1"/>
                  </w14:solidFill>
                </w14:textFill>
              </w:rPr>
              <w:t>0.00072</w:t>
            </w:r>
          </w:p>
        </w:tc>
        <w:tc>
          <w:tcPr>
            <w:tcW w:w="715" w:type="pct"/>
            <w:vAlign w:val="center"/>
          </w:tcPr>
          <w:p w14:paraId="3FDA797A">
            <w:pPr>
              <w:pStyle w:val="105"/>
              <w:jc w:val="center"/>
              <w:rPr>
                <w:color w:val="000000" w:themeColor="text1"/>
                <w14:textFill>
                  <w14:solidFill>
                    <w14:schemeClr w14:val="tx1"/>
                  </w14:solidFill>
                </w14:textFill>
              </w:rPr>
            </w:pPr>
            <w:bookmarkStart w:id="780" w:name="_Hlk192492083"/>
            <w:r>
              <w:rPr>
                <w:rFonts w:cs="Times New Roman"/>
                <w:b/>
                <w:bCs/>
                <w:color w:val="000000" w:themeColor="text1"/>
                <w:szCs w:val="21"/>
                <w14:textFill>
                  <w14:solidFill>
                    <w14:schemeClr w14:val="tx1"/>
                  </w14:solidFill>
                </w14:textFill>
              </w:rPr>
              <w:t>0.00083</w:t>
            </w:r>
            <w:bookmarkEnd w:id="780"/>
          </w:p>
        </w:tc>
      </w:tr>
    </w:tbl>
    <w:p w14:paraId="217B2BB5">
      <w:pPr>
        <w:pStyle w:val="87"/>
        <w:spacing w:before="120"/>
        <w:ind w:left="480" w:firstLine="480"/>
        <w:rPr>
          <w:color w:val="000000" w:themeColor="text1"/>
          <w14:textFill>
            <w14:solidFill>
              <w14:schemeClr w14:val="tx1"/>
            </w14:solidFill>
          </w14:textFill>
        </w:rPr>
      </w:pPr>
      <w:bookmarkStart w:id="781" w:name="_Ref148341463"/>
      <w:r>
        <w:rPr>
          <w:color w:val="000000" w:themeColor="text1"/>
          <w14:textFill>
            <w14:solidFill>
              <w14:schemeClr w14:val="tx1"/>
            </w14:solidFill>
          </w14:textFill>
        </w:rPr>
        <w:t>桥梁</w:t>
      </w:r>
      <w:r>
        <w:rPr>
          <w:rFonts w:hint="eastAsia"/>
          <w:color w:val="000000" w:themeColor="text1"/>
          <w14:textFill>
            <w14:solidFill>
              <w14:schemeClr w14:val="tx1"/>
            </w14:solidFill>
          </w14:textFill>
        </w:rPr>
        <w:t>、邻水</w:t>
      </w:r>
      <w:r>
        <w:rPr>
          <w:color w:val="000000" w:themeColor="text1"/>
          <w14:textFill>
            <w14:solidFill>
              <w14:schemeClr w14:val="tx1"/>
            </w14:solidFill>
          </w14:textFill>
        </w:rPr>
        <w:t>路段危险品运输事故估算表  单位：次/年</w:t>
      </w:r>
      <w:bookmarkEnd w:id="781"/>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7"/>
        <w:gridCol w:w="1925"/>
        <w:gridCol w:w="1596"/>
        <w:gridCol w:w="1713"/>
        <w:gridCol w:w="1122"/>
        <w:gridCol w:w="1124"/>
        <w:gridCol w:w="1123"/>
      </w:tblGrid>
      <w:tr w14:paraId="4BD68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70" w:type="pct"/>
            <w:shd w:val="clear" w:color="auto" w:fill="auto"/>
            <w:vAlign w:val="center"/>
          </w:tcPr>
          <w:p w14:paraId="4E5271E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1036" w:type="pct"/>
            <w:shd w:val="clear" w:color="auto" w:fill="auto"/>
            <w:vAlign w:val="center"/>
          </w:tcPr>
          <w:p w14:paraId="225621AC">
            <w:pPr>
              <w:pStyle w:val="105"/>
              <w:rPr>
                <w:color w:val="000000" w:themeColor="text1"/>
                <w14:textFill>
                  <w14:solidFill>
                    <w14:schemeClr w14:val="tx1"/>
                  </w14:solidFill>
                </w14:textFill>
              </w:rPr>
            </w:pPr>
            <w:r>
              <w:rPr>
                <w:color w:val="000000" w:themeColor="text1"/>
                <w14:textFill>
                  <w14:solidFill>
                    <w14:schemeClr w14:val="tx1"/>
                  </w14:solidFill>
                </w14:textFill>
              </w:rPr>
              <w:t>中心桩号</w:t>
            </w:r>
          </w:p>
        </w:tc>
        <w:tc>
          <w:tcPr>
            <w:tcW w:w="859" w:type="pct"/>
            <w:shd w:val="clear" w:color="auto" w:fill="auto"/>
            <w:vAlign w:val="center"/>
          </w:tcPr>
          <w:p w14:paraId="5F079814">
            <w:pPr>
              <w:pStyle w:val="105"/>
              <w:rPr>
                <w:color w:val="000000" w:themeColor="text1"/>
                <w14:textFill>
                  <w14:solidFill>
                    <w14:schemeClr w14:val="tx1"/>
                  </w14:solidFill>
                </w14:textFill>
              </w:rPr>
            </w:pPr>
            <w:r>
              <w:rPr>
                <w:color w:val="000000" w:themeColor="text1"/>
                <w14:textFill>
                  <w14:solidFill>
                    <w14:schemeClr w14:val="tx1"/>
                  </w14:solidFill>
                </w14:textFill>
              </w:rPr>
              <w:t>桥梁</w:t>
            </w:r>
            <w:r>
              <w:rPr>
                <w:rFonts w:hint="eastAsia"/>
                <w:color w:val="000000" w:themeColor="text1"/>
                <w14:textFill>
                  <w14:solidFill>
                    <w14:schemeClr w14:val="tx1"/>
                  </w14:solidFill>
                </w14:textFill>
              </w:rPr>
              <w:t>/隧道</w:t>
            </w:r>
            <w:r>
              <w:rPr>
                <w:color w:val="000000" w:themeColor="text1"/>
                <w14:textFill>
                  <w14:solidFill>
                    <w14:schemeClr w14:val="tx1"/>
                  </w14:solidFill>
                </w14:textFill>
              </w:rPr>
              <w:t>名称</w:t>
            </w:r>
          </w:p>
        </w:tc>
        <w:tc>
          <w:tcPr>
            <w:tcW w:w="922" w:type="pct"/>
            <w:shd w:val="clear" w:color="auto" w:fill="auto"/>
            <w:vAlign w:val="center"/>
          </w:tcPr>
          <w:p w14:paraId="1C1479F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平均</w:t>
            </w:r>
            <w:r>
              <w:rPr>
                <w:color w:val="000000" w:themeColor="text1"/>
                <w14:textFill>
                  <w14:solidFill>
                    <w14:schemeClr w14:val="tx1"/>
                  </w14:solidFill>
                </w14:textFill>
              </w:rPr>
              <w:t>长度（m）</w:t>
            </w:r>
          </w:p>
        </w:tc>
        <w:tc>
          <w:tcPr>
            <w:tcW w:w="604" w:type="pct"/>
            <w:shd w:val="clear" w:color="auto" w:fill="auto"/>
            <w:noWrap/>
            <w:vAlign w:val="center"/>
          </w:tcPr>
          <w:p w14:paraId="3E93C271">
            <w:pPr>
              <w:pStyle w:val="105"/>
              <w:rPr>
                <w:color w:val="000000" w:themeColor="text1"/>
                <w14:textFill>
                  <w14:solidFill>
                    <w14:schemeClr w14:val="tx1"/>
                  </w14:solidFill>
                </w14:textFill>
              </w:rPr>
            </w:pPr>
            <w:r>
              <w:rPr>
                <w:color w:val="000000" w:themeColor="text1"/>
                <w14:textFill>
                  <w14:solidFill>
                    <w14:schemeClr w14:val="tx1"/>
                  </w14:solidFill>
                </w14:textFill>
              </w:rPr>
              <w:t>2027年</w:t>
            </w:r>
          </w:p>
        </w:tc>
        <w:tc>
          <w:tcPr>
            <w:tcW w:w="605" w:type="pct"/>
            <w:shd w:val="clear" w:color="auto" w:fill="auto"/>
            <w:noWrap/>
            <w:vAlign w:val="center"/>
          </w:tcPr>
          <w:p w14:paraId="0838F657">
            <w:pPr>
              <w:pStyle w:val="105"/>
              <w:rPr>
                <w:color w:val="000000" w:themeColor="text1"/>
                <w14:textFill>
                  <w14:solidFill>
                    <w14:schemeClr w14:val="tx1"/>
                  </w14:solidFill>
                </w14:textFill>
              </w:rPr>
            </w:pPr>
            <w:r>
              <w:rPr>
                <w:color w:val="000000" w:themeColor="text1"/>
                <w14:textFill>
                  <w14:solidFill>
                    <w14:schemeClr w14:val="tx1"/>
                  </w14:solidFill>
                </w14:textFill>
              </w:rPr>
              <w:t>2033年</w:t>
            </w:r>
          </w:p>
        </w:tc>
        <w:tc>
          <w:tcPr>
            <w:tcW w:w="604" w:type="pct"/>
            <w:shd w:val="clear" w:color="auto" w:fill="auto"/>
            <w:noWrap/>
            <w:vAlign w:val="center"/>
          </w:tcPr>
          <w:p w14:paraId="768EFBD8">
            <w:pPr>
              <w:pStyle w:val="105"/>
              <w:rPr>
                <w:color w:val="000000" w:themeColor="text1"/>
                <w14:textFill>
                  <w14:solidFill>
                    <w14:schemeClr w14:val="tx1"/>
                  </w14:solidFill>
                </w14:textFill>
              </w:rPr>
            </w:pPr>
            <w:r>
              <w:rPr>
                <w:color w:val="000000" w:themeColor="text1"/>
                <w14:textFill>
                  <w14:solidFill>
                    <w14:schemeClr w14:val="tx1"/>
                  </w14:solidFill>
                </w14:textFill>
              </w:rPr>
              <w:t>2041年</w:t>
            </w:r>
          </w:p>
        </w:tc>
      </w:tr>
      <w:tr w14:paraId="3460A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shd w:val="clear" w:color="auto" w:fill="auto"/>
            <w:vAlign w:val="center"/>
          </w:tcPr>
          <w:p w14:paraId="7339143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1036" w:type="pct"/>
            <w:shd w:val="clear" w:color="auto" w:fill="auto"/>
            <w:vAlign w:val="center"/>
          </w:tcPr>
          <w:p w14:paraId="33FF29E4">
            <w:pPr>
              <w:pStyle w:val="105"/>
              <w:rPr>
                <w:color w:val="000000" w:themeColor="text1"/>
                <w14:textFill>
                  <w14:solidFill>
                    <w14:schemeClr w14:val="tx1"/>
                  </w14:solidFill>
                </w14:textFill>
              </w:rPr>
            </w:pPr>
            <w:r>
              <w:rPr>
                <w:color w:val="000000" w:themeColor="text1"/>
                <w14:textFill>
                  <w14:solidFill>
                    <w14:schemeClr w14:val="tx1"/>
                  </w14:solidFill>
                </w14:textFill>
              </w:rPr>
              <w:t>K2+250.25</w:t>
            </w:r>
          </w:p>
        </w:tc>
        <w:tc>
          <w:tcPr>
            <w:tcW w:w="859" w:type="pct"/>
            <w:shd w:val="clear" w:color="auto" w:fill="auto"/>
            <w:vAlign w:val="center"/>
          </w:tcPr>
          <w:p w14:paraId="0A0617CA">
            <w:pPr>
              <w:pStyle w:val="105"/>
              <w:rPr>
                <w:color w:val="000000" w:themeColor="text1"/>
                <w14:textFill>
                  <w14:solidFill>
                    <w14:schemeClr w14:val="tx1"/>
                  </w14:solidFill>
                </w14:textFill>
              </w:rPr>
            </w:pPr>
            <w:r>
              <w:rPr>
                <w:color w:val="000000" w:themeColor="text1"/>
                <w14:textFill>
                  <w14:solidFill>
                    <w14:schemeClr w14:val="tx1"/>
                  </w14:solidFill>
                </w14:textFill>
              </w:rPr>
              <w:t>大埔大桥</w:t>
            </w:r>
          </w:p>
        </w:tc>
        <w:tc>
          <w:tcPr>
            <w:tcW w:w="922" w:type="pct"/>
            <w:shd w:val="clear" w:color="auto" w:fill="auto"/>
            <w:vAlign w:val="center"/>
          </w:tcPr>
          <w:p w14:paraId="5C15F2C1">
            <w:pPr>
              <w:pStyle w:val="105"/>
              <w:rPr>
                <w:color w:val="000000" w:themeColor="text1"/>
                <w14:textFill>
                  <w14:solidFill>
                    <w14:schemeClr w14:val="tx1"/>
                  </w14:solidFill>
                </w14:textFill>
              </w:rPr>
            </w:pPr>
            <w:r>
              <w:rPr>
                <w:color w:val="000000" w:themeColor="text1"/>
                <w14:textFill>
                  <w14:solidFill>
                    <w14:schemeClr w14:val="tx1"/>
                  </w14:solidFill>
                </w14:textFill>
              </w:rPr>
              <w:t>552.5</w:t>
            </w:r>
          </w:p>
        </w:tc>
        <w:tc>
          <w:tcPr>
            <w:tcW w:w="604" w:type="pct"/>
            <w:shd w:val="clear" w:color="auto" w:fill="auto"/>
            <w:noWrap/>
            <w:vAlign w:val="center"/>
          </w:tcPr>
          <w:p w14:paraId="5C14FDFC">
            <w:pPr>
              <w:pStyle w:val="105"/>
              <w:rPr>
                <w:color w:val="000000" w:themeColor="text1"/>
                <w14:textFill>
                  <w14:solidFill>
                    <w14:schemeClr w14:val="tx1"/>
                  </w14:solidFill>
                </w14:textFill>
              </w:rPr>
            </w:pPr>
            <w:r>
              <w:rPr>
                <w:color w:val="000000" w:themeColor="text1"/>
                <w14:textFill>
                  <w14:solidFill>
                    <w14:schemeClr w14:val="tx1"/>
                  </w14:solidFill>
                </w14:textFill>
              </w:rPr>
              <w:t>0.000065</w:t>
            </w:r>
          </w:p>
        </w:tc>
        <w:tc>
          <w:tcPr>
            <w:tcW w:w="605" w:type="pct"/>
            <w:shd w:val="clear" w:color="auto" w:fill="auto"/>
            <w:noWrap/>
            <w:vAlign w:val="center"/>
          </w:tcPr>
          <w:p w14:paraId="5EF3DEBA">
            <w:pPr>
              <w:pStyle w:val="105"/>
              <w:rPr>
                <w:color w:val="000000" w:themeColor="text1"/>
                <w14:textFill>
                  <w14:solidFill>
                    <w14:schemeClr w14:val="tx1"/>
                  </w14:solidFill>
                </w14:textFill>
              </w:rPr>
            </w:pPr>
            <w:r>
              <w:rPr>
                <w:color w:val="000000" w:themeColor="text1"/>
                <w14:textFill>
                  <w14:solidFill>
                    <w14:schemeClr w14:val="tx1"/>
                  </w14:solidFill>
                </w14:textFill>
              </w:rPr>
              <w:t>0.000076</w:t>
            </w:r>
          </w:p>
        </w:tc>
        <w:tc>
          <w:tcPr>
            <w:tcW w:w="604" w:type="pct"/>
            <w:shd w:val="clear" w:color="auto" w:fill="auto"/>
            <w:noWrap/>
            <w:vAlign w:val="center"/>
          </w:tcPr>
          <w:p w14:paraId="5FCAD8AE">
            <w:pPr>
              <w:pStyle w:val="105"/>
              <w:rPr>
                <w:color w:val="000000" w:themeColor="text1"/>
                <w14:textFill>
                  <w14:solidFill>
                    <w14:schemeClr w14:val="tx1"/>
                  </w14:solidFill>
                </w14:textFill>
              </w:rPr>
            </w:pPr>
            <w:r>
              <w:rPr>
                <w:color w:val="000000" w:themeColor="text1"/>
                <w14:textFill>
                  <w14:solidFill>
                    <w14:schemeClr w14:val="tx1"/>
                  </w14:solidFill>
                </w14:textFill>
              </w:rPr>
              <w:t>0.000088</w:t>
            </w:r>
          </w:p>
        </w:tc>
      </w:tr>
      <w:tr w14:paraId="17E904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shd w:val="clear" w:color="auto" w:fill="auto"/>
            <w:vAlign w:val="center"/>
          </w:tcPr>
          <w:p w14:paraId="78F4C69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036" w:type="pct"/>
            <w:shd w:val="clear" w:color="auto" w:fill="auto"/>
            <w:vAlign w:val="center"/>
          </w:tcPr>
          <w:p w14:paraId="1E6D3DCA">
            <w:pPr>
              <w:pStyle w:val="105"/>
              <w:rPr>
                <w:color w:val="000000" w:themeColor="text1"/>
                <w14:textFill>
                  <w14:solidFill>
                    <w14:schemeClr w14:val="tx1"/>
                  </w14:solidFill>
                </w14:textFill>
              </w:rPr>
            </w:pPr>
            <w:r>
              <w:rPr>
                <w:color w:val="000000" w:themeColor="text1"/>
                <w14:textFill>
                  <w14:solidFill>
                    <w14:schemeClr w14:val="tx1"/>
                  </w14:solidFill>
                </w14:textFill>
              </w:rPr>
              <w:t>LK0+049.500</w:t>
            </w:r>
          </w:p>
        </w:tc>
        <w:tc>
          <w:tcPr>
            <w:tcW w:w="859" w:type="pct"/>
            <w:shd w:val="clear" w:color="auto" w:fill="auto"/>
            <w:vAlign w:val="center"/>
          </w:tcPr>
          <w:p w14:paraId="5D5046B6">
            <w:pPr>
              <w:pStyle w:val="105"/>
              <w:rPr>
                <w:color w:val="000000" w:themeColor="text1"/>
                <w14:textFill>
                  <w14:solidFill>
                    <w14:schemeClr w14:val="tx1"/>
                  </w14:solidFill>
                </w14:textFill>
              </w:rPr>
            </w:pPr>
            <w:r>
              <w:rPr>
                <w:color w:val="000000" w:themeColor="text1"/>
                <w14:textFill>
                  <w14:solidFill>
                    <w14:schemeClr w14:val="tx1"/>
                  </w14:solidFill>
                </w14:textFill>
              </w:rPr>
              <w:t>枝钟中桥</w:t>
            </w:r>
          </w:p>
        </w:tc>
        <w:tc>
          <w:tcPr>
            <w:tcW w:w="922" w:type="pct"/>
            <w:shd w:val="clear" w:color="auto" w:fill="auto"/>
            <w:vAlign w:val="center"/>
          </w:tcPr>
          <w:p w14:paraId="3F50669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7</w:t>
            </w:r>
          </w:p>
        </w:tc>
        <w:tc>
          <w:tcPr>
            <w:tcW w:w="604" w:type="pct"/>
            <w:shd w:val="clear" w:color="auto" w:fill="auto"/>
            <w:noWrap/>
            <w:vAlign w:val="center"/>
          </w:tcPr>
          <w:p w14:paraId="34708FA7">
            <w:pPr>
              <w:pStyle w:val="105"/>
              <w:rPr>
                <w:color w:val="000000" w:themeColor="text1"/>
                <w14:textFill>
                  <w14:solidFill>
                    <w14:schemeClr w14:val="tx1"/>
                  </w14:solidFill>
                </w14:textFill>
              </w:rPr>
            </w:pPr>
            <w:r>
              <w:rPr>
                <w:color w:val="000000" w:themeColor="text1"/>
                <w14:textFill>
                  <w14:solidFill>
                    <w14:schemeClr w14:val="tx1"/>
                  </w14:solidFill>
                </w14:textFill>
              </w:rPr>
              <w:t>0.000004</w:t>
            </w:r>
          </w:p>
        </w:tc>
        <w:tc>
          <w:tcPr>
            <w:tcW w:w="605" w:type="pct"/>
            <w:shd w:val="clear" w:color="auto" w:fill="auto"/>
            <w:noWrap/>
            <w:vAlign w:val="center"/>
          </w:tcPr>
          <w:p w14:paraId="30E49792">
            <w:pPr>
              <w:pStyle w:val="105"/>
              <w:rPr>
                <w:color w:val="000000" w:themeColor="text1"/>
                <w14:textFill>
                  <w14:solidFill>
                    <w14:schemeClr w14:val="tx1"/>
                  </w14:solidFill>
                </w14:textFill>
              </w:rPr>
            </w:pPr>
            <w:r>
              <w:rPr>
                <w:color w:val="000000" w:themeColor="text1"/>
                <w14:textFill>
                  <w14:solidFill>
                    <w14:schemeClr w14:val="tx1"/>
                  </w14:solidFill>
                </w14:textFill>
              </w:rPr>
              <w:t>0.000005</w:t>
            </w:r>
          </w:p>
        </w:tc>
        <w:tc>
          <w:tcPr>
            <w:tcW w:w="604" w:type="pct"/>
            <w:shd w:val="clear" w:color="auto" w:fill="auto"/>
            <w:noWrap/>
            <w:vAlign w:val="center"/>
          </w:tcPr>
          <w:p w14:paraId="3009E366">
            <w:pPr>
              <w:pStyle w:val="105"/>
              <w:rPr>
                <w:color w:val="000000" w:themeColor="text1"/>
                <w14:textFill>
                  <w14:solidFill>
                    <w14:schemeClr w14:val="tx1"/>
                  </w14:solidFill>
                </w14:textFill>
              </w:rPr>
            </w:pPr>
            <w:r>
              <w:rPr>
                <w:color w:val="000000" w:themeColor="text1"/>
                <w14:textFill>
                  <w14:solidFill>
                    <w14:schemeClr w14:val="tx1"/>
                  </w14:solidFill>
                </w14:textFill>
              </w:rPr>
              <w:t>0.000006</w:t>
            </w:r>
          </w:p>
        </w:tc>
      </w:tr>
      <w:tr w14:paraId="02A853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70" w:type="pct"/>
            <w:shd w:val="clear" w:color="auto" w:fill="auto"/>
            <w:vAlign w:val="center"/>
          </w:tcPr>
          <w:p w14:paraId="5F1E9CA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1036" w:type="pct"/>
            <w:shd w:val="clear" w:color="auto" w:fill="auto"/>
            <w:vAlign w:val="center"/>
          </w:tcPr>
          <w:p w14:paraId="24C808C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K</w:t>
            </w:r>
            <w:r>
              <w:rPr>
                <w:color w:val="000000" w:themeColor="text1"/>
                <w14:textFill>
                  <w14:solidFill>
                    <w14:schemeClr w14:val="tx1"/>
                  </w14:solidFill>
                </w14:textFill>
              </w:rPr>
              <w:t>1+400~</w:t>
            </w:r>
            <w:r>
              <w:rPr>
                <w:rFonts w:hint="eastAsia"/>
                <w:color w:val="000000" w:themeColor="text1"/>
                <w14:textFill>
                  <w14:solidFill>
                    <w14:schemeClr w14:val="tx1"/>
                  </w14:solidFill>
                </w14:textFill>
              </w:rPr>
              <w:t xml:space="preserve"> K</w:t>
            </w:r>
            <w:r>
              <w:rPr>
                <w:color w:val="000000" w:themeColor="text1"/>
                <w14:textFill>
                  <w14:solidFill>
                    <w14:schemeClr w14:val="tx1"/>
                  </w14:solidFill>
                </w14:textFill>
              </w:rPr>
              <w:t>1+860</w:t>
            </w:r>
          </w:p>
        </w:tc>
        <w:tc>
          <w:tcPr>
            <w:tcW w:w="859" w:type="pct"/>
            <w:shd w:val="clear" w:color="auto" w:fill="auto"/>
            <w:vAlign w:val="center"/>
          </w:tcPr>
          <w:p w14:paraId="0C61A76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邻水路段</w:t>
            </w:r>
          </w:p>
        </w:tc>
        <w:tc>
          <w:tcPr>
            <w:tcW w:w="922" w:type="pct"/>
            <w:shd w:val="clear" w:color="auto" w:fill="auto"/>
            <w:vAlign w:val="center"/>
          </w:tcPr>
          <w:p w14:paraId="08622FDF">
            <w:pPr>
              <w:pStyle w:val="105"/>
              <w:rPr>
                <w:color w:val="000000" w:themeColor="text1"/>
                <w14:textFill>
                  <w14:solidFill>
                    <w14:schemeClr w14:val="tx1"/>
                  </w14:solidFill>
                </w14:textFill>
              </w:rPr>
            </w:pPr>
            <w:r>
              <w:rPr>
                <w:color w:val="000000" w:themeColor="text1"/>
                <w14:textFill>
                  <w14:solidFill>
                    <w14:schemeClr w14:val="tx1"/>
                  </w14:solidFill>
                </w14:textFill>
              </w:rPr>
              <w:t>460</w:t>
            </w:r>
          </w:p>
        </w:tc>
        <w:tc>
          <w:tcPr>
            <w:tcW w:w="604" w:type="pct"/>
            <w:shd w:val="clear" w:color="auto" w:fill="auto"/>
            <w:noWrap/>
            <w:vAlign w:val="center"/>
          </w:tcPr>
          <w:p w14:paraId="69FACDC9">
            <w:pPr>
              <w:pStyle w:val="105"/>
              <w:rPr>
                <w:color w:val="000000" w:themeColor="text1"/>
                <w14:textFill>
                  <w14:solidFill>
                    <w14:schemeClr w14:val="tx1"/>
                  </w14:solidFill>
                </w14:textFill>
              </w:rPr>
            </w:pPr>
            <w:r>
              <w:rPr>
                <w:color w:val="000000" w:themeColor="text1"/>
                <w14:textFill>
                  <w14:solidFill>
                    <w14:schemeClr w14:val="tx1"/>
                  </w14:solidFill>
                </w14:textFill>
              </w:rPr>
              <w:t>0.000054</w:t>
            </w:r>
          </w:p>
        </w:tc>
        <w:tc>
          <w:tcPr>
            <w:tcW w:w="605" w:type="pct"/>
            <w:shd w:val="clear" w:color="auto" w:fill="auto"/>
            <w:noWrap/>
            <w:vAlign w:val="center"/>
          </w:tcPr>
          <w:p w14:paraId="68E84EC3">
            <w:pPr>
              <w:pStyle w:val="105"/>
              <w:rPr>
                <w:color w:val="000000" w:themeColor="text1"/>
                <w14:textFill>
                  <w14:solidFill>
                    <w14:schemeClr w14:val="tx1"/>
                  </w14:solidFill>
                </w14:textFill>
              </w:rPr>
            </w:pPr>
            <w:r>
              <w:rPr>
                <w:color w:val="000000" w:themeColor="text1"/>
                <w14:textFill>
                  <w14:solidFill>
                    <w14:schemeClr w14:val="tx1"/>
                  </w14:solidFill>
                </w14:textFill>
              </w:rPr>
              <w:t>0.000063</w:t>
            </w:r>
          </w:p>
        </w:tc>
        <w:tc>
          <w:tcPr>
            <w:tcW w:w="604" w:type="pct"/>
            <w:shd w:val="clear" w:color="auto" w:fill="auto"/>
            <w:noWrap/>
            <w:vAlign w:val="center"/>
          </w:tcPr>
          <w:p w14:paraId="5B83526B">
            <w:pPr>
              <w:pStyle w:val="105"/>
              <w:rPr>
                <w:color w:val="000000" w:themeColor="text1"/>
                <w14:textFill>
                  <w14:solidFill>
                    <w14:schemeClr w14:val="tx1"/>
                  </w14:solidFill>
                </w14:textFill>
              </w:rPr>
            </w:pPr>
            <w:r>
              <w:rPr>
                <w:color w:val="000000" w:themeColor="text1"/>
                <w14:textFill>
                  <w14:solidFill>
                    <w14:schemeClr w14:val="tx1"/>
                  </w14:solidFill>
                </w14:textFill>
              </w:rPr>
              <w:t>0.000073</w:t>
            </w:r>
          </w:p>
        </w:tc>
      </w:tr>
    </w:tbl>
    <w:p w14:paraId="3A85C129">
      <w:pPr>
        <w:pStyle w:val="134"/>
        <w:ind w:firstLine="300"/>
        <w:rPr>
          <w:color w:val="000000" w:themeColor="text1"/>
          <w14:textFill>
            <w14:solidFill>
              <w14:schemeClr w14:val="tx1"/>
            </w14:solidFill>
          </w14:textFill>
        </w:rPr>
      </w:pPr>
    </w:p>
    <w:p w14:paraId="0C8652C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事</w:t>
      </w:r>
      <w:r>
        <w:rPr>
          <w:color w:val="000000" w:themeColor="text1"/>
          <w14:textFill>
            <w14:solidFill>
              <w14:schemeClr w14:val="tx1"/>
            </w14:solidFill>
          </w14:textFill>
        </w:rPr>
        <w:t>故风险分析</w:t>
      </w:r>
    </w:p>
    <w:p w14:paraId="5FC7498E">
      <w:pPr>
        <w:ind w:firstLine="480"/>
        <w:rPr>
          <w:color w:val="000000" w:themeColor="text1"/>
          <w14:textFill>
            <w14:solidFill>
              <w14:schemeClr w14:val="tx1"/>
            </w14:solidFill>
          </w14:textFill>
        </w:rPr>
      </w:pPr>
      <w:r>
        <w:rPr>
          <w:color w:val="000000" w:themeColor="text1"/>
          <w:szCs w:val="24"/>
          <w14:textFill>
            <w14:solidFill>
              <w14:schemeClr w14:val="tx1"/>
            </w14:solidFill>
          </w14:textFill>
        </w:rPr>
        <w:t>由</w:t>
      </w:r>
      <w:bookmarkStart w:id="782" w:name="hmcheck_a869202ab30647f79329b44a2b832e2d"/>
      <w:r>
        <w:rPr>
          <w:rFonts w:hint="eastAsia"/>
          <w:color w:val="000000" w:themeColor="text1"/>
          <w:szCs w:val="24"/>
          <w:shd w:val="clear" w:fill="FFAFAA"/>
          <w14:textFill>
            <w14:solidFill>
              <w14:schemeClr w14:val="tx1"/>
            </w14:solidFill>
          </w14:textFill>
        </w:rPr>
        <w:t>~</w:t>
      </w:r>
      <w:bookmarkEnd w:id="782"/>
      <w:r>
        <w:rPr>
          <w:color w:val="000000" w:themeColor="text1"/>
          <w:szCs w:val="24"/>
          <w14:textFill>
            <w14:solidFill>
              <w14:schemeClr w14:val="tx1"/>
            </w14:solidFill>
          </w14:textFill>
        </w:rPr>
        <w:fldChar w:fldCharType="begin"/>
      </w:r>
      <w:r>
        <w:rPr>
          <w:color w:val="000000" w:themeColor="text1"/>
          <w:szCs w:val="24"/>
          <w14:textFill>
            <w14:solidFill>
              <w14:schemeClr w14:val="tx1"/>
            </w14:solidFill>
          </w14:textFill>
        </w:rPr>
        <w:instrText xml:space="preserve"> </w:instrText>
      </w:r>
      <w:r>
        <w:rPr>
          <w:rFonts w:hint="eastAsia"/>
          <w:color w:val="000000" w:themeColor="text1"/>
          <w:szCs w:val="24"/>
          <w14:textFill>
            <w14:solidFill>
              <w14:schemeClr w14:val="tx1"/>
            </w14:solidFill>
          </w14:textFill>
        </w:rPr>
        <w:instrText xml:space="preserve">REF _Ref148341463 \r \h</w:instrText>
      </w:r>
      <w:r>
        <w:rPr>
          <w:color w:val="000000" w:themeColor="text1"/>
          <w:szCs w:val="24"/>
          <w14:textFill>
            <w14:solidFill>
              <w14:schemeClr w14:val="tx1"/>
            </w14:solidFill>
          </w14:textFill>
        </w:rPr>
        <w:instrText xml:space="preserve"> </w:instrText>
      </w:r>
      <w:r>
        <w:rPr>
          <w:color w:val="000000" w:themeColor="text1"/>
          <w:szCs w:val="24"/>
          <w14:textFill>
            <w14:solidFill>
              <w14:schemeClr w14:val="tx1"/>
            </w14:solidFill>
          </w14:textFill>
        </w:rPr>
        <w:fldChar w:fldCharType="separate"/>
      </w:r>
      <w:r>
        <w:rPr>
          <w:rFonts w:hint="eastAsia"/>
          <w:color w:val="000000" w:themeColor="text1"/>
          <w:szCs w:val="24"/>
          <w14:textFill>
            <w14:solidFill>
              <w14:schemeClr w14:val="tx1"/>
            </w14:solidFill>
          </w14:textFill>
        </w:rPr>
        <w:t>表6.3-2</w:t>
      </w:r>
      <w:r>
        <w:rPr>
          <w:color w:val="000000" w:themeColor="text1"/>
          <w:szCs w:val="24"/>
          <w14:textFill>
            <w14:solidFill>
              <w14:schemeClr w14:val="tx1"/>
            </w14:solidFill>
          </w14:textFill>
        </w:rPr>
        <w:fldChar w:fldCharType="end"/>
      </w:r>
      <w:r>
        <w:rPr>
          <w:color w:val="000000" w:themeColor="text1"/>
          <w:szCs w:val="24"/>
          <w14:textFill>
            <w14:solidFill>
              <w14:schemeClr w14:val="tx1"/>
            </w14:solidFill>
          </w14:textFill>
        </w:rPr>
        <w:t>中的计算结果可以看出：本项目公路通车后，</w:t>
      </w:r>
      <w:r>
        <w:rPr>
          <w:rFonts w:hint="eastAsia"/>
          <w:color w:val="000000" w:themeColor="text1"/>
          <w:szCs w:val="24"/>
          <w14:textFill>
            <w14:solidFill>
              <w14:schemeClr w14:val="tx1"/>
            </w14:solidFill>
          </w14:textFill>
        </w:rPr>
        <w:t>全路段</w:t>
      </w:r>
      <w:r>
        <w:rPr>
          <w:color w:val="000000" w:themeColor="text1"/>
          <w:szCs w:val="24"/>
          <w14:textFill>
            <w14:solidFill>
              <w14:schemeClr w14:val="tx1"/>
            </w14:solidFill>
          </w14:textFill>
        </w:rPr>
        <w:t>最大事故发生率出</w:t>
      </w:r>
      <w:r>
        <w:rPr>
          <w:rFonts w:hint="eastAsia"/>
          <w:color w:val="000000" w:themeColor="text1"/>
          <w:szCs w:val="24"/>
          <w14:textFill>
            <w14:solidFill>
              <w14:schemeClr w14:val="tx1"/>
            </w14:solidFill>
          </w14:textFill>
        </w:rPr>
        <w:t>现在</w:t>
      </w:r>
      <w:r>
        <w:rPr>
          <w:color w:val="000000" w:themeColor="text1"/>
          <w:szCs w:val="24"/>
          <w14:textFill>
            <w14:solidFill>
              <w14:schemeClr w14:val="tx1"/>
            </w14:solidFill>
          </w14:textFill>
        </w:rPr>
        <w:t>远期，为0.00083次/年。各主要桥梁段事故发生率较低，最大在远期，为</w:t>
      </w:r>
      <w:r>
        <w:rPr>
          <w:rFonts w:hint="eastAsia"/>
          <w:color w:val="000000" w:themeColor="text1"/>
          <w14:textFill>
            <w14:solidFill>
              <w14:schemeClr w14:val="tx1"/>
            </w14:solidFill>
          </w14:textFill>
        </w:rPr>
        <w:t>大埔大桥（</w:t>
      </w:r>
      <w:r>
        <w:rPr>
          <w:color w:val="000000" w:themeColor="text1"/>
          <w14:textFill>
            <w14:solidFill>
              <w14:schemeClr w14:val="tx1"/>
            </w14:solidFill>
          </w14:textFill>
        </w:rPr>
        <w:t>0.000088次/年</w:t>
      </w:r>
      <w:r>
        <w:rPr>
          <w:rFonts w:hint="eastAsia"/>
          <w:color w:val="000000" w:themeColor="text1"/>
          <w14:textFill>
            <w14:solidFill>
              <w14:schemeClr w14:val="tx1"/>
            </w14:solidFill>
          </w14:textFill>
        </w:rPr>
        <w:t>）。</w:t>
      </w:r>
    </w:p>
    <w:p w14:paraId="5EA667B4">
      <w:pPr>
        <w:pStyle w:val="116"/>
        <w:rPr>
          <w:color w:val="000000" w:themeColor="text1"/>
          <w14:textFill>
            <w14:solidFill>
              <w14:schemeClr w14:val="tx1"/>
            </w14:solidFill>
          </w14:textFill>
        </w:rPr>
      </w:pPr>
      <w:bookmarkStart w:id="783" w:name="_Toc193912389"/>
      <w:bookmarkStart w:id="784" w:name="_Toc153957839"/>
      <w:bookmarkStart w:id="785" w:name="_Toc159405482"/>
      <w:r>
        <w:rPr>
          <w:rFonts w:hint="eastAsia"/>
          <w:color w:val="000000" w:themeColor="text1"/>
          <w14:textFill>
            <w14:solidFill>
              <w14:schemeClr w14:val="tx1"/>
            </w14:solidFill>
          </w14:textFill>
        </w:rPr>
        <w:t>环境风险防范措施及应急要求</w:t>
      </w:r>
      <w:bookmarkEnd w:id="783"/>
      <w:bookmarkEnd w:id="784"/>
      <w:bookmarkEnd w:id="785"/>
    </w:p>
    <w:p w14:paraId="0F11AE35">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管理措施</w:t>
      </w:r>
    </w:p>
    <w:p w14:paraId="5707C851">
      <w:pPr>
        <w:ind w:firstLine="480"/>
        <w:rPr>
          <w:color w:val="000000" w:themeColor="text1"/>
          <w14:textFill>
            <w14:solidFill>
              <w14:schemeClr w14:val="tx1"/>
            </w14:solidFill>
          </w14:textFill>
        </w:rPr>
      </w:pPr>
      <w:r>
        <w:rPr>
          <w:color w:val="000000" w:themeColor="text1"/>
          <w14:textFill>
            <w14:solidFill>
              <w14:schemeClr w14:val="tx1"/>
            </w14:solidFill>
          </w14:textFill>
        </w:rPr>
        <w:t>预防运输风险事故最主要和</w:t>
      </w:r>
      <w:r>
        <w:rPr>
          <w:rFonts w:hint="eastAsia"/>
          <w:color w:val="000000" w:themeColor="text1"/>
          <w14:textFill>
            <w14:solidFill>
              <w14:schemeClr w14:val="tx1"/>
            </w14:solidFill>
          </w14:textFill>
        </w:rPr>
        <w:t>有力的措施</w:t>
      </w:r>
      <w:r>
        <w:rPr>
          <w:color w:val="000000" w:themeColor="text1"/>
          <w14:textFill>
            <w14:solidFill>
              <w14:schemeClr w14:val="tx1"/>
            </w14:solidFill>
          </w14:textFill>
        </w:rPr>
        <w:t>是管理方面措施，结合</w:t>
      </w:r>
      <w:r>
        <w:rPr>
          <w:rFonts w:hint="eastAsia"/>
          <w:color w:val="000000" w:themeColor="text1"/>
          <w14:textFill>
            <w14:solidFill>
              <w14:schemeClr w14:val="tx1"/>
            </w14:solidFill>
          </w14:textFill>
        </w:rPr>
        <w:t>项目沿线</w:t>
      </w:r>
      <w:r>
        <w:rPr>
          <w:color w:val="000000" w:themeColor="text1"/>
          <w14:textFill>
            <w14:solidFill>
              <w14:schemeClr w14:val="tx1"/>
            </w14:solidFill>
          </w14:textFill>
        </w:rPr>
        <w:t>运输实际情况，具体措施如下：</w:t>
      </w:r>
    </w:p>
    <w:p w14:paraId="27E76B1B">
      <w:pPr>
        <w:ind w:firstLine="480"/>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加强交通工程设施，重点是完善交通标志标线和实施交通信号控制。完善标志标线、路灯照明、交通区划。应做畅通道路的视觉环境保护，对全线可能设置的广告牌进行控制性管理。尽量少设或不设广告牌。</w:t>
      </w:r>
    </w:p>
    <w:p w14:paraId="4F693B2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采用现代科学技术手段实现交通安全管理的现代化，减少交通事故。可以有选择地研究和应用智能交通系统（ITS）技术，以进一步减少交通死亡事故。在危险化学品运输车辆上安装GPS，对司机、运输的危险货物、车辆等进行动态监控。</w:t>
      </w:r>
    </w:p>
    <w:p w14:paraId="716054E8">
      <w:pPr>
        <w:ind w:firstLine="480"/>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施工期危险品管理：在施工期对易燃、易爆和有毒物品必须由专人存放、保管，详细登记取用时间、人员、数量和用途等，定期检查，并应对保管人员进行专业培训。</w:t>
      </w:r>
    </w:p>
    <w:p w14:paraId="4275030F">
      <w:pPr>
        <w:ind w:firstLine="480"/>
        <w:rPr>
          <w:color w:val="000000" w:themeColor="text1"/>
          <w14:textFill>
            <w14:solidFill>
              <w14:schemeClr w14:val="tx1"/>
            </w14:solidFill>
          </w14:textFill>
        </w:rPr>
      </w:pPr>
      <w:r>
        <w:rPr>
          <w:color w:val="000000" w:themeColor="text1"/>
          <w14:textFill>
            <w14:solidFill>
              <w14:schemeClr w14:val="tx1"/>
            </w14:solidFill>
          </w14:textFill>
        </w:rPr>
        <w:t>（4）应急硬件设施配备</w:t>
      </w:r>
    </w:p>
    <w:p w14:paraId="254E1078">
      <w:pPr>
        <w:ind w:firstLine="480"/>
        <w:rPr>
          <w:color w:val="000000" w:themeColor="text1"/>
          <w14:textFill>
            <w14:solidFill>
              <w14:schemeClr w14:val="tx1"/>
            </w14:solidFill>
          </w14:textFill>
        </w:rPr>
      </w:pPr>
      <w:r>
        <w:rPr>
          <w:color w:val="000000" w:themeColor="text1"/>
          <w14:textFill>
            <w14:solidFill>
              <w14:schemeClr w14:val="tx1"/>
            </w14:solidFill>
          </w14:textFill>
        </w:rPr>
        <w:t>确保发生突发事故可以得到及时处置，本项目公路管理部门应准备必要的硬件设施设备。公路管理部门应配备事故应急车，以便于</w:t>
      </w:r>
      <w:r>
        <w:rPr>
          <w:rFonts w:hint="eastAsia"/>
          <w:color w:val="000000" w:themeColor="text1"/>
          <w14:textFill>
            <w14:solidFill>
              <w14:schemeClr w14:val="tx1"/>
            </w14:solidFill>
          </w14:textFill>
        </w:rPr>
        <w:t>交通</w:t>
      </w:r>
      <w:r>
        <w:rPr>
          <w:color w:val="000000" w:themeColor="text1"/>
          <w14:textFill>
            <w14:solidFill>
              <w14:schemeClr w14:val="tx1"/>
            </w14:solidFill>
          </w14:textFill>
        </w:rPr>
        <w:t>运输事故发生后，尽快赶到现场进行处理。</w:t>
      </w:r>
    </w:p>
    <w:p w14:paraId="1E907359">
      <w:pPr>
        <w:ind w:firstLine="480"/>
        <w:rPr>
          <w:color w:val="000000" w:themeColor="text1"/>
          <w14:textFill>
            <w14:solidFill>
              <w14:schemeClr w14:val="tx1"/>
            </w14:solidFill>
          </w14:textFill>
        </w:rPr>
      </w:pPr>
      <w:r>
        <w:rPr>
          <w:color w:val="000000" w:themeColor="text1"/>
          <w14:textFill>
            <w14:solidFill>
              <w14:schemeClr w14:val="tx1"/>
            </w14:solidFill>
          </w14:textFill>
        </w:rPr>
        <w:t>（5）由项目管理公司的环保部门、路政部门、监控中心成立事故应急小组，并编制应急计划。</w:t>
      </w:r>
    </w:p>
    <w:p w14:paraId="55BDE68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工程防范措施</w:t>
      </w:r>
    </w:p>
    <w:p w14:paraId="57E758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）重要路段设置警示牌</w:t>
      </w:r>
    </w:p>
    <w:p w14:paraId="687989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在重要路段（临近居民区）和跨河桥梁（大埔大桥、枝钟中桥）及邻水路段等，应设置警示牌，提请司机小心驾驶，保持安全运输车距，严禁超车、超速。</w:t>
      </w:r>
    </w:p>
    <w:p w14:paraId="62B3D21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（2）大埔大桥、枝钟中桥及邻水路段设置防撞护栏，避免车辆翻入水中，影响水体环境。</w:t>
      </w:r>
    </w:p>
    <w:p w14:paraId="1B1A0C7C">
      <w:pPr>
        <w:widowControl/>
        <w:ind w:firstLine="480"/>
        <w:jc w:val="left"/>
        <w:rPr>
          <w:color w:val="000000" w:themeColor="text1"/>
          <w:kern w:val="0"/>
          <w:lang w:bidi="ar"/>
          <w14:textFill>
            <w14:solidFill>
              <w14:schemeClr w14:val="tx1"/>
            </w14:solidFill>
          </w14:textFill>
        </w:rPr>
      </w:pPr>
      <w:r>
        <w:rPr>
          <w:rFonts w:hint="eastAsia"/>
          <w:color w:val="000000" w:themeColor="text1"/>
          <w:kern w:val="0"/>
          <w:lang w:bidi="ar"/>
          <w14:textFill>
            <w14:solidFill>
              <w14:schemeClr w14:val="tx1"/>
            </w14:solidFill>
          </w14:textFill>
        </w:rPr>
        <w:t>（</w:t>
      </w:r>
      <w:r>
        <w:rPr>
          <w:color w:val="000000" w:themeColor="text1"/>
          <w:kern w:val="0"/>
          <w:lang w:bidi="ar"/>
          <w14:textFill>
            <w14:solidFill>
              <w14:schemeClr w14:val="tx1"/>
            </w14:solidFill>
          </w14:textFill>
        </w:rPr>
        <w:t>3</w:t>
      </w:r>
      <w:r>
        <w:rPr>
          <w:rFonts w:hint="eastAsia"/>
          <w:color w:val="000000" w:themeColor="text1"/>
          <w:kern w:val="0"/>
          <w:lang w:bidi="ar"/>
          <w14:textFill>
            <w14:solidFill>
              <w14:schemeClr w14:val="tx1"/>
            </w14:solidFill>
          </w14:textFill>
        </w:rPr>
        <w:t>）事故泄漏液围堵措施</w:t>
      </w:r>
    </w:p>
    <w:p w14:paraId="21E64A60">
      <w:pPr>
        <w:widowControl/>
        <w:ind w:firstLine="480"/>
        <w:jc w:val="left"/>
        <w:rPr>
          <w:color w:val="000000" w:themeColor="text1"/>
          <w:kern w:val="0"/>
          <w:lang w:bidi="ar"/>
          <w14:textFill>
            <w14:solidFill>
              <w14:schemeClr w14:val="tx1"/>
            </w14:solidFill>
          </w14:textFill>
        </w:rPr>
      </w:pPr>
      <w:r>
        <w:rPr>
          <w:rFonts w:hint="eastAsia"/>
          <w:color w:val="000000" w:themeColor="text1"/>
          <w:kern w:val="0"/>
          <w:lang w:bidi="ar"/>
          <w14:textFill>
            <w14:solidFill>
              <w14:schemeClr w14:val="tx1"/>
            </w14:solidFill>
          </w14:textFill>
        </w:rPr>
        <w:t>为减少桥</w:t>
      </w:r>
      <w:bookmarkStart w:id="786" w:name="hmcheck_459ee8763ecd4648afebb5b727e7e142"/>
      <w:r>
        <w:rPr>
          <w:rFonts w:hint="eastAsia"/>
          <w:color w:val="000000" w:themeColor="text1"/>
          <w:kern w:val="0"/>
          <w:shd w:val="clear" w:fill="FFAFAA"/>
          <w:lang w:bidi="ar"/>
          <w14:textFill>
            <w14:solidFill>
              <w14:schemeClr w14:val="tx1"/>
            </w14:solidFill>
          </w14:textFill>
        </w:rPr>
        <w:t>路面</w:t>
      </w:r>
      <w:bookmarkEnd w:id="786"/>
      <w:r>
        <w:rPr>
          <w:rFonts w:hint="eastAsia"/>
          <w:color w:val="000000" w:themeColor="text1"/>
          <w:kern w:val="0"/>
          <w:lang w:bidi="ar"/>
          <w14:textFill>
            <w14:solidFill>
              <w14:schemeClr w14:val="tx1"/>
            </w14:solidFill>
          </w14:textFill>
        </w:rPr>
        <w:t>径流尤其是事故时对迳江水体水质造成不利影响，</w:t>
      </w:r>
      <w:r>
        <w:rPr>
          <w:rFonts w:hint="eastAsia"/>
          <w:color w:val="000000" w:themeColor="text1"/>
          <w14:textFill>
            <w14:solidFill>
              <w14:schemeClr w14:val="tx1"/>
            </w14:solidFill>
          </w14:textFill>
        </w:rPr>
        <w:t>大埔大桥桥面雨水采用排水孔收集，经落水管就近排放。本次评价要求在大埔大桥、枝钟中桥</w:t>
      </w:r>
      <w:r>
        <w:rPr>
          <w:color w:val="000000" w:themeColor="text1"/>
          <w:kern w:val="0"/>
          <w:lang w:bidi="ar"/>
          <w14:textFill>
            <w14:solidFill>
              <w14:schemeClr w14:val="tx1"/>
            </w14:solidFill>
          </w14:textFill>
        </w:rPr>
        <w:t>桥面泄水孔</w:t>
      </w:r>
      <w:r>
        <w:rPr>
          <w:rFonts w:hint="eastAsia"/>
          <w:color w:val="000000" w:themeColor="text1"/>
          <w:kern w:val="0"/>
          <w:lang w:bidi="ar"/>
          <w14:textFill>
            <w14:solidFill>
              <w14:schemeClr w14:val="tx1"/>
            </w14:solidFill>
          </w14:textFill>
        </w:rPr>
        <w:t>位置</w:t>
      </w:r>
      <w:r>
        <w:rPr>
          <w:color w:val="000000" w:themeColor="text1"/>
          <w:kern w:val="0"/>
          <w:lang w:bidi="ar"/>
          <w14:textFill>
            <w14:solidFill>
              <w14:schemeClr w14:val="tx1"/>
            </w14:solidFill>
          </w14:textFill>
        </w:rPr>
        <w:t>，</w:t>
      </w:r>
      <w:r>
        <w:rPr>
          <w:rFonts w:hint="eastAsia"/>
          <w:color w:val="000000" w:themeColor="text1"/>
          <w:kern w:val="0"/>
          <w:lang w:bidi="ar"/>
          <w14:textFill>
            <w14:solidFill>
              <w14:schemeClr w14:val="tx1"/>
            </w14:solidFill>
          </w14:textFill>
        </w:rPr>
        <w:t>备有合适的材料（如沙袋）围堵泄漏源，将泄漏源控制在</w:t>
      </w:r>
      <w:r>
        <w:rPr>
          <w:color w:val="000000" w:themeColor="text1"/>
          <w:kern w:val="0"/>
          <w:lang w:bidi="ar"/>
          <w14:textFill>
            <w14:solidFill>
              <w14:schemeClr w14:val="tx1"/>
            </w14:solidFill>
          </w14:textFill>
        </w:rPr>
        <w:t>桥面</w:t>
      </w:r>
      <w:r>
        <w:rPr>
          <w:rFonts w:hint="eastAsia"/>
          <w:color w:val="000000" w:themeColor="text1"/>
          <w:kern w:val="0"/>
          <w:lang w:bidi="ar"/>
          <w14:textFill>
            <w14:solidFill>
              <w14:schemeClr w14:val="tx1"/>
            </w14:solidFill>
          </w14:textFill>
        </w:rPr>
        <w:t>范围内。</w:t>
      </w:r>
    </w:p>
    <w:p w14:paraId="3731AA2C">
      <w:pPr>
        <w:ind w:firstLine="480"/>
        <w:rPr>
          <w:color w:val="000000" w:themeColor="text1"/>
          <w:kern w:val="0"/>
          <w:lang w:bidi="ar"/>
          <w14:textFill>
            <w14:solidFill>
              <w14:schemeClr w14:val="tx1"/>
            </w14:solidFill>
          </w14:textFill>
        </w:rPr>
      </w:pPr>
      <w:r>
        <w:rPr>
          <w:color w:val="000000" w:themeColor="text1"/>
          <w:kern w:val="0"/>
          <w:lang w:bidi="ar"/>
          <w14:textFill>
            <w14:solidFill>
              <w14:schemeClr w14:val="tx1"/>
            </w14:solidFill>
          </w14:textFill>
        </w:rPr>
        <w:t>（4）桥梁需加强径流收集系统的日常维护和管理。加强桥梁工程安全检查、监控</w:t>
      </w:r>
      <w:r>
        <w:rPr>
          <w:rFonts w:hint="eastAsia"/>
          <w:color w:val="000000" w:themeColor="text1"/>
          <w:kern w:val="0"/>
          <w:lang w:bidi="ar"/>
          <w14:textFill>
            <w14:solidFill>
              <w14:schemeClr w14:val="tx1"/>
            </w14:solidFill>
          </w14:textFill>
        </w:rPr>
        <w:t>。</w:t>
      </w:r>
    </w:p>
    <w:p w14:paraId="1F148528">
      <w:pPr>
        <w:ind w:firstLine="480"/>
        <w:rPr>
          <w:color w:val="000000" w:themeColor="text1"/>
          <w:kern w:val="0"/>
          <w:lang w:bidi="ar"/>
          <w14:textFill>
            <w14:solidFill>
              <w14:schemeClr w14:val="tx1"/>
            </w14:solidFill>
          </w14:textFill>
        </w:rPr>
      </w:pPr>
      <w:r>
        <w:rPr>
          <w:rFonts w:hint="eastAsia"/>
          <w:color w:val="000000" w:themeColor="text1"/>
          <w:kern w:val="0"/>
          <w:lang w:bidi="ar"/>
          <w14:textFill>
            <w14:solidFill>
              <w14:schemeClr w14:val="tx1"/>
            </w14:solidFill>
          </w14:textFill>
        </w:rPr>
        <w:t>（5）使用可变情报板随时警示容易诱发交通事故的恶劣天气或危险路况，提前采取限制行车速度或封闭局部路段等积极主动的风险防范措施。</w:t>
      </w:r>
    </w:p>
    <w:p w14:paraId="2BC2962A">
      <w:pPr>
        <w:pStyle w:val="118"/>
        <w:rPr>
          <w:color w:val="000000" w:themeColor="text1"/>
          <w14:textFill>
            <w14:solidFill>
              <w14:schemeClr w14:val="tx1"/>
            </w14:solidFill>
          </w14:textFill>
        </w:rPr>
      </w:pPr>
      <w:bookmarkStart w:id="787" w:name="_Hlk152686708"/>
      <w:r>
        <w:rPr>
          <w:rFonts w:hint="eastAsia"/>
          <w:color w:val="000000" w:themeColor="text1"/>
          <w14:textFill>
            <w14:solidFill>
              <w14:schemeClr w14:val="tx1"/>
            </w14:solidFill>
          </w14:textFill>
        </w:rPr>
        <w:t>环境风险事故处置措施</w:t>
      </w:r>
      <w:bookmarkEnd w:id="787"/>
      <w:r>
        <w:rPr>
          <w:rFonts w:hint="eastAsia"/>
          <w:color w:val="000000" w:themeColor="text1"/>
          <w14:textFill>
            <w14:solidFill>
              <w14:schemeClr w14:val="tx1"/>
            </w14:solidFill>
          </w14:textFill>
        </w:rPr>
        <w:t xml:space="preserve"> </w:t>
      </w:r>
    </w:p>
    <w:p w14:paraId="420BACA4">
      <w:pPr>
        <w:ind w:firstLine="480"/>
        <w:rPr>
          <w:color w:val="000000" w:themeColor="text1"/>
          <w14:textFill>
            <w14:solidFill>
              <w14:schemeClr w14:val="tx1"/>
            </w14:solidFill>
          </w14:textFill>
        </w:rPr>
      </w:pPr>
      <w:bookmarkStart w:id="788" w:name="_Hlk152686766"/>
      <w:r>
        <w:rPr>
          <w:rFonts w:hint="eastAsia"/>
          <w:color w:val="000000" w:themeColor="text1"/>
          <w14:textFill>
            <w14:solidFill>
              <w14:schemeClr w14:val="tx1"/>
            </w14:solidFill>
          </w14:textFill>
        </w:rPr>
        <w:t>（1）油品泄漏事故及处置措施</w:t>
      </w:r>
      <w:bookmarkEnd w:id="788"/>
    </w:p>
    <w:p w14:paraId="042B41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①进入泄漏现场进行处理时，应注意安全防护。</w:t>
      </w:r>
    </w:p>
    <w:p w14:paraId="7023230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bookmarkStart w:id="789" w:name="_Hlk152686681"/>
      <w:r>
        <w:rPr>
          <w:rFonts w:hint="eastAsia"/>
          <w:color w:val="000000" w:themeColor="text1"/>
          <w14:textFill>
            <w14:solidFill>
              <w14:schemeClr w14:val="tx1"/>
            </w14:solidFill>
          </w14:textFill>
        </w:rPr>
        <w:t>泄漏源控制：采用合适的材料（如</w:t>
      </w:r>
      <w:bookmarkStart w:id="790" w:name="hmcheck_363d1c2756db4de090251ffe7cf9321f"/>
      <w:r>
        <w:rPr>
          <w:rFonts w:hint="eastAsia"/>
          <w:color w:val="000000" w:themeColor="text1"/>
          <w:shd w:val="clear" w:fill="FFAFAA"/>
          <w14:textFill>
            <w14:solidFill>
              <w14:schemeClr w14:val="tx1"/>
            </w14:solidFill>
          </w14:textFill>
        </w:rPr>
        <w:t>砂袋</w:t>
      </w:r>
      <w:bookmarkEnd w:id="790"/>
      <w:r>
        <w:rPr>
          <w:rFonts w:hint="eastAsia"/>
          <w:color w:val="000000" w:themeColor="text1"/>
          <w14:textFill>
            <w14:solidFill>
              <w14:schemeClr w14:val="tx1"/>
            </w14:solidFill>
          </w14:textFill>
        </w:rPr>
        <w:t>）围堵泄漏</w:t>
      </w:r>
      <w:bookmarkEnd w:id="789"/>
      <w:r>
        <w:rPr>
          <w:rFonts w:hint="eastAsia"/>
          <w:color w:val="000000" w:themeColor="text1"/>
          <w14:textFill>
            <w14:solidFill>
              <w14:schemeClr w14:val="tx1"/>
            </w14:solidFill>
          </w14:textFill>
        </w:rPr>
        <w:t>源，将泄漏源控制在道路边沟范围内。</w:t>
      </w:r>
    </w:p>
    <w:p w14:paraId="275BDE7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③泄漏物处置，通过围堤堵截控制泄漏液体的流向，同时应及时稀释并覆盖，将泄漏物料收容至相应的容器或槽车内，最后将收集的泄漏物运至废物</w:t>
      </w:r>
      <w:bookmarkStart w:id="791" w:name="hmcheck_15b8fdfbf8784742a9c7484006e6cb06"/>
      <w:r>
        <w:rPr>
          <w:rFonts w:hint="eastAsia"/>
          <w:color w:val="000000" w:themeColor="text1"/>
          <w:shd w:val="clear" w:fill="FFAFAA"/>
          <w14:textFill>
            <w14:solidFill>
              <w14:schemeClr w14:val="tx1"/>
            </w14:solidFill>
          </w14:textFill>
        </w:rPr>
        <w:t>处理场</w:t>
      </w:r>
      <w:bookmarkEnd w:id="791"/>
      <w:r>
        <w:rPr>
          <w:rFonts w:hint="eastAsia"/>
          <w:color w:val="000000" w:themeColor="text1"/>
          <w14:textFill>
            <w14:solidFill>
              <w14:schemeClr w14:val="tx1"/>
            </w14:solidFill>
          </w14:textFill>
        </w:rPr>
        <w:t>处置。</w:t>
      </w:r>
    </w:p>
    <w:p w14:paraId="57ECE087">
      <w:pPr>
        <w:ind w:firstLine="480"/>
        <w:rPr>
          <w:color w:val="000000" w:themeColor="text1"/>
          <w14:textFill>
            <w14:solidFill>
              <w14:schemeClr w14:val="tx1"/>
            </w14:solidFill>
          </w14:textFill>
        </w:rPr>
      </w:pPr>
      <w:bookmarkStart w:id="792" w:name="_Hlk152686743"/>
      <w:r>
        <w:rPr>
          <w:rFonts w:hint="eastAsia"/>
          <w:color w:val="000000" w:themeColor="text1"/>
          <w14:textFill>
            <w14:solidFill>
              <w14:schemeClr w14:val="tx1"/>
            </w14:solidFill>
          </w14:textFill>
        </w:rPr>
        <w:t>（2）火灾事故及处置措施</w:t>
      </w:r>
    </w:p>
    <w:p w14:paraId="28609A7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先控制，后消灭。针对火灾的火势发展中蔓延快和燃烧面积大的特点，积极采取统一指挥、以快制快；堵截火势、防止蔓延；重点突破、排除险情；分割包围、速战速决的灭火战术。扑救人员应占领上风或侧风阵地；进行火情侦察、火灾扑救、火场疏散人员应有针对性地采取自我防护措施；应迅速查明燃烧物品及其周围物品的品名和主要危险特性、火势蔓延的主要途径，燃烧的物品及燃烧产物是否有毒；正确选择最适合的灭火剂和灭火方法；对有可能发生爆炸、爆裂、喷溅的特别危险需紧急撤离的情况，应按照统一的撤退信号和撤退方法及时撤退；火灾扑灭后，仍要组织人员监护现场，消灭余火。</w:t>
      </w:r>
      <w:bookmarkEnd w:id="792"/>
    </w:p>
    <w:p w14:paraId="009B9AF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（3）压缩气体和液化气体火灾事故及处置措施</w:t>
      </w:r>
    </w:p>
    <w:p w14:paraId="44899E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扑救气体火灾切忌盲目灭火，即便在扑救周围火势以及冷却过程中不小心把泄漏处的火焰扑灭了，在没有采取堵漏措施的情况下，也必须立即再次将其点燃使之恢复稳定燃烧，否则大量可燃气体与空气混合后如再遇火源就会爆炸，后果严重。</w:t>
      </w:r>
    </w:p>
    <w:p w14:paraId="6751575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②应首先扑灭外围被火源引燃的可燃物火势，切断火势蔓延途径，控制燃烧范围，并积极抢救受伤被困人员。</w:t>
      </w:r>
    </w:p>
    <w:p w14:paraId="22270D0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③堵漏工作准备就绪后，即可用水扑救火势，也可用干粉或二氧化碳灭火，但同时仍需用水冷却烧烫的</w:t>
      </w:r>
      <w:bookmarkStart w:id="793" w:name="hmcheck_3a87241eb5a348818e7500fa848ea327"/>
      <w:r>
        <w:rPr>
          <w:rFonts w:hint="eastAsia"/>
          <w:color w:val="000000" w:themeColor="text1"/>
          <w:shd w:val="clear" w:fill="FFAFAA"/>
          <w14:textFill>
            <w14:solidFill>
              <w14:schemeClr w14:val="tx1"/>
            </w14:solidFill>
          </w14:textFill>
        </w:rPr>
        <w:t>罐源</w:t>
      </w:r>
      <w:bookmarkEnd w:id="793"/>
      <w:r>
        <w:rPr>
          <w:rFonts w:hint="eastAsia"/>
          <w:color w:val="000000" w:themeColor="text1"/>
          <w14:textFill>
            <w14:solidFill>
              <w14:schemeClr w14:val="tx1"/>
            </w14:solidFill>
          </w14:textFill>
        </w:rPr>
        <w:t>。火势扑灭后应立即堵漏，同时用雾状水稀释和驱散泄漏气体。</w:t>
      </w:r>
    </w:p>
    <w:p w14:paraId="3B8ACEA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④如泄漏口很大无法堵漏，则需冷却着火容器及周围容器和可燃物品，控制着火范围直至燃气燃尽，火势自动熄灭。</w:t>
      </w:r>
    </w:p>
    <w:p w14:paraId="4BA6DADD">
      <w:pPr>
        <w:ind w:firstLine="480"/>
        <w:rPr>
          <w:color w:val="000000" w:themeColor="text1"/>
          <w14:textFill>
            <w14:solidFill>
              <w14:schemeClr w14:val="tx1"/>
            </w14:solidFill>
          </w14:textFill>
        </w:rPr>
      </w:pPr>
      <w:bookmarkStart w:id="794" w:name="_Hlk152686805"/>
      <w:r>
        <w:rPr>
          <w:rFonts w:hint="eastAsia"/>
          <w:color w:val="000000" w:themeColor="text1"/>
          <w14:textFill>
            <w14:solidFill>
              <w14:schemeClr w14:val="tx1"/>
            </w14:solidFill>
          </w14:textFill>
        </w:rPr>
        <w:t>（4）易燃液体火灾事故及处置措施</w:t>
      </w:r>
    </w:p>
    <w:p w14:paraId="780999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易燃液体无论是否着火，如果发生泄漏或溢出，都将顺着地面流淌或水面</w:t>
      </w:r>
      <w:bookmarkStart w:id="795" w:name="hmcheck_e9018d3aa47f4164bd59b4b43a49edab"/>
      <w:r>
        <w:rPr>
          <w:rFonts w:hint="eastAsia"/>
          <w:color w:val="000000" w:themeColor="text1"/>
          <w:shd w:val="clear" w:fill="FFAFAA"/>
          <w14:textFill>
            <w14:solidFill>
              <w14:schemeClr w14:val="tx1"/>
            </w14:solidFill>
          </w14:textFill>
        </w:rPr>
        <w:t>漂散</w:t>
      </w:r>
      <w:bookmarkEnd w:id="795"/>
      <w:r>
        <w:rPr>
          <w:rFonts w:hint="eastAsia"/>
          <w:color w:val="000000" w:themeColor="text1"/>
          <w14:textFill>
            <w14:solidFill>
              <w14:schemeClr w14:val="tx1"/>
            </w14:solidFill>
          </w14:textFill>
        </w:rPr>
        <w:t>，同时易燃液体还存在着比重和水溶性影响水和普通泡沫灭火剂扑救的问题，还可能造成沸溢和喷溅。</w:t>
      </w:r>
    </w:p>
    <w:p w14:paraId="215057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①首先应切断火势蔓延的途径，冷却和疏散受火势威胁的密闭容器和可燃物，控制燃烧范围，并积极抢救受伤与被困人员。如有液体流淌时，应筑堤（或用</w:t>
      </w:r>
      <w:bookmarkStart w:id="796" w:name="hmcheck_a152a249af904fb5a152e6f8fba16bc4"/>
      <w:r>
        <w:rPr>
          <w:rFonts w:hint="eastAsia"/>
          <w:color w:val="000000" w:themeColor="text1"/>
          <w:shd w:val="clear" w:fill="FFAFAA"/>
          <w14:textFill>
            <w14:solidFill>
              <w14:schemeClr w14:val="tx1"/>
            </w14:solidFill>
          </w14:textFill>
        </w:rPr>
        <w:t>围油</w:t>
      </w:r>
      <w:bookmarkEnd w:id="796"/>
      <w:r>
        <w:rPr>
          <w:rFonts w:hint="eastAsia"/>
          <w:color w:val="000000" w:themeColor="text1"/>
          <w14:textFill>
            <w14:solidFill>
              <w14:schemeClr w14:val="tx1"/>
            </w14:solidFill>
          </w14:textFill>
        </w:rPr>
        <w:t>栏）拦截</w:t>
      </w:r>
      <w:bookmarkStart w:id="797" w:name="hmcheck_dd5aeb7c330944cc892a150a03a2b8d6"/>
      <w:r>
        <w:rPr>
          <w:rFonts w:hint="eastAsia"/>
          <w:color w:val="000000" w:themeColor="text1"/>
          <w:shd w:val="clear" w:fill="FFAFAA"/>
          <w14:textFill>
            <w14:solidFill>
              <w14:schemeClr w14:val="tx1"/>
            </w14:solidFill>
          </w14:textFill>
        </w:rPr>
        <w:t>漂散</w:t>
      </w:r>
      <w:bookmarkEnd w:id="797"/>
      <w:r>
        <w:rPr>
          <w:rFonts w:hint="eastAsia"/>
          <w:color w:val="000000" w:themeColor="text1"/>
          <w14:textFill>
            <w14:solidFill>
              <w14:schemeClr w14:val="tx1"/>
            </w14:solidFill>
          </w14:textFill>
        </w:rPr>
        <w:t>流淌的易燃液体或挖沟导流。</w:t>
      </w:r>
    </w:p>
    <w:p w14:paraId="3B28C6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②及时了解和掌握着火液体的品名、比重、水溶性以及有无毒害、腐蚀、沸溢、喷溅等危险性，以便采取相应的灭火和防护措施。</w:t>
      </w:r>
    </w:p>
    <w:p w14:paraId="56A2A94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扑救毒害性、腐蚀性或燃烧产物毒性较强的易燃液体火灾，扑救人员须配置防护面具，采取防护措施。对特殊物品的火灾，应使用专用防护服。考虑到过滤式防毒面具的局限性，在扑救毒害品火灾时应尽量使用隔绝式空气面具。</w:t>
      </w:r>
      <w:bookmarkEnd w:id="794"/>
    </w:p>
    <w:p w14:paraId="39F6E060">
      <w:pPr>
        <w:pStyle w:val="116"/>
        <w:rPr>
          <w:color w:val="000000" w:themeColor="text1"/>
          <w14:textFill>
            <w14:solidFill>
              <w14:schemeClr w14:val="tx1"/>
            </w14:solidFill>
          </w14:textFill>
        </w:rPr>
      </w:pPr>
      <w:bookmarkStart w:id="798" w:name="5.4小结"/>
      <w:bookmarkEnd w:id="798"/>
      <w:bookmarkStart w:id="799" w:name="_Toc27061"/>
      <w:bookmarkStart w:id="800" w:name="_Toc193912390"/>
      <w:bookmarkStart w:id="801" w:name="_Toc159405483"/>
      <w:r>
        <w:rPr>
          <w:color w:val="000000" w:themeColor="text1"/>
          <w14:textFill>
            <w14:solidFill>
              <w14:schemeClr w14:val="tx1"/>
            </w14:solidFill>
          </w14:textFill>
        </w:rPr>
        <w:t>小结</w:t>
      </w:r>
      <w:bookmarkEnd w:id="799"/>
      <w:bookmarkEnd w:id="800"/>
      <w:bookmarkEnd w:id="801"/>
    </w:p>
    <w:p w14:paraId="3FAE56EE">
      <w:pPr>
        <w:spacing w:before="120" w:beforeLines="50"/>
        <w:ind w:firstLine="480"/>
        <w:rPr>
          <w:color w:val="000000" w:themeColor="text1"/>
          <w14:textFill>
            <w14:solidFill>
              <w14:schemeClr w14:val="tx1"/>
            </w14:solidFill>
          </w14:textFill>
        </w:rPr>
      </w:pPr>
      <w:r>
        <w:rPr>
          <w:color w:val="000000" w:themeColor="text1"/>
          <w14:textFill>
            <w14:solidFill>
              <w14:schemeClr w14:val="tx1"/>
            </w14:solidFill>
          </w14:textFill>
        </w:rPr>
        <w:t>本项目在</w:t>
      </w:r>
      <w:r>
        <w:rPr>
          <w:rFonts w:hint="eastAsia"/>
          <w:color w:val="000000" w:themeColor="text1"/>
          <w14:textFill>
            <w14:solidFill>
              <w14:schemeClr w14:val="tx1"/>
            </w14:solidFill>
          </w14:textFill>
        </w:rPr>
        <w:t>运营</w:t>
      </w:r>
      <w:r>
        <w:rPr>
          <w:color w:val="000000" w:themeColor="text1"/>
          <w14:textFill>
            <w14:solidFill>
              <w14:schemeClr w14:val="tx1"/>
            </w14:solidFill>
          </w14:textFill>
        </w:rPr>
        <w:t>过程中，由</w:t>
      </w:r>
      <w:r>
        <w:rPr>
          <w:rFonts w:hint="eastAsia"/>
          <w:color w:val="000000" w:themeColor="text1"/>
          <w14:textFill>
            <w14:solidFill>
              <w14:schemeClr w14:val="tx1"/>
            </w14:solidFill>
          </w14:textFill>
        </w:rPr>
        <w:t>交通事故</w:t>
      </w:r>
      <w:r>
        <w:rPr>
          <w:color w:val="000000" w:themeColor="text1"/>
          <w14:textFill>
            <w14:solidFill>
              <w14:schemeClr w14:val="tx1"/>
            </w14:solidFill>
          </w14:textFill>
        </w:rPr>
        <w:t>造成的各种风险具有一定的潜在危险性。根据模拟预测，</w:t>
      </w:r>
      <w:r>
        <w:rPr>
          <w:rFonts w:hint="eastAsia"/>
          <w:color w:val="000000" w:themeColor="text1"/>
          <w14:textFill>
            <w14:solidFill>
              <w14:schemeClr w14:val="tx1"/>
            </w14:solidFill>
          </w14:textFill>
        </w:rPr>
        <w:t>交通事故</w:t>
      </w:r>
      <w:r>
        <w:rPr>
          <w:color w:val="000000" w:themeColor="text1"/>
          <w14:textFill>
            <w14:solidFill>
              <w14:schemeClr w14:val="tx1"/>
            </w14:solidFill>
          </w14:textFill>
        </w:rPr>
        <w:t>的概率是很小的。</w:t>
      </w:r>
      <w:r>
        <w:rPr>
          <w:rFonts w:hint="eastAsia"/>
          <w:color w:val="000000" w:themeColor="text1"/>
          <w14:textFill>
            <w14:solidFill>
              <w14:schemeClr w14:val="tx1"/>
            </w14:solidFill>
          </w14:textFill>
        </w:rPr>
        <w:t>但这种小概率事件是有可能发生的，一旦发生事故，则会对桥址区的迳江水环境产生影响。因此，应积极采取措施减少交通事故风险，制定交通事故污染风险减缓措施及应急措施，为将交通事故风险性降低到最小，建议从运营期上路检查、途中运输、停车，直到事故处理等各个环节，加强管理，以预防运输事故的发生和控制突发性环境污染事故事态的扩大。公路管理部门必须做好应急计划和措施，通过加强管理，使污染影响降到最低，对周边环境的影响在可接受范围内。</w:t>
      </w:r>
    </w:p>
    <w:p w14:paraId="442DF27E">
      <w:pPr>
        <w:ind w:firstLine="480"/>
        <w:rPr>
          <w:rFonts w:cs="Times New Roman"/>
          <w:iCs/>
          <w:color w:val="000000" w:themeColor="text1"/>
          <w:szCs w:val="24"/>
          <w14:textFill>
            <w14:solidFill>
              <w14:schemeClr w14:val="tx1"/>
            </w14:solidFill>
          </w14:textFill>
        </w:rPr>
        <w:sectPr>
          <w:pgSz w:w="11910" w:h="16840"/>
          <w:pgMar w:top="1418" w:right="1418" w:bottom="1418" w:left="1418" w:header="851" w:footer="851" w:gutter="0"/>
          <w:cols w:space="720" w:num="1"/>
        </w:sectPr>
      </w:pPr>
    </w:p>
    <w:p w14:paraId="14ABDCF1">
      <w:pPr>
        <w:pStyle w:val="114"/>
        <w:rPr>
          <w:color w:val="000000" w:themeColor="text1"/>
          <w14:textFill>
            <w14:solidFill>
              <w14:schemeClr w14:val="tx1"/>
            </w14:solidFill>
          </w14:textFill>
        </w:rPr>
      </w:pPr>
      <w:bookmarkStart w:id="802" w:name="6环境保护措施及其可行性论证"/>
      <w:bookmarkEnd w:id="802"/>
      <w:bookmarkStart w:id="803" w:name="_Toc193912391"/>
      <w:bookmarkStart w:id="804" w:name="_Toc1206"/>
      <w:bookmarkStart w:id="805" w:name="_Toc159405484"/>
      <w:r>
        <w:rPr>
          <w:color w:val="000000" w:themeColor="text1"/>
          <w14:textFill>
            <w14:solidFill>
              <w14:schemeClr w14:val="tx1"/>
            </w14:solidFill>
          </w14:textFill>
        </w:rPr>
        <w:t>环境保护措施及其可行性论证</w:t>
      </w:r>
      <w:bookmarkEnd w:id="803"/>
      <w:bookmarkEnd w:id="804"/>
      <w:bookmarkEnd w:id="805"/>
    </w:p>
    <w:p w14:paraId="38E391D4">
      <w:pPr>
        <w:pStyle w:val="116"/>
        <w:rPr>
          <w:color w:val="000000" w:themeColor="text1"/>
          <w14:textFill>
            <w14:solidFill>
              <w14:schemeClr w14:val="tx1"/>
            </w14:solidFill>
          </w14:textFill>
        </w:rPr>
      </w:pPr>
      <w:bookmarkStart w:id="806" w:name="6.1设计阶段环境保护措施分析及建议"/>
      <w:bookmarkEnd w:id="806"/>
      <w:bookmarkStart w:id="807" w:name="_Toc159405486"/>
      <w:bookmarkStart w:id="808" w:name="_Toc193912392"/>
      <w:r>
        <w:rPr>
          <w:rFonts w:hint="eastAsia"/>
          <w:color w:val="000000" w:themeColor="text1"/>
          <w14:textFill>
            <w14:solidFill>
              <w14:schemeClr w14:val="tx1"/>
            </w14:solidFill>
          </w14:textFill>
        </w:rPr>
        <w:t>生态环境影响减缓措施</w:t>
      </w:r>
      <w:bookmarkEnd w:id="807"/>
      <w:bookmarkEnd w:id="808"/>
    </w:p>
    <w:p w14:paraId="09368C7D">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施工期生态环境影响减缓措施</w:t>
      </w:r>
    </w:p>
    <w:p w14:paraId="12C9D697">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管理措施</w:t>
      </w:r>
    </w:p>
    <w:p w14:paraId="6B14104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（1）强化施工阶段的环境管理</w:t>
      </w:r>
    </w:p>
    <w:p w14:paraId="65549B0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在施工期间，应建立环境监督制度，</w:t>
      </w:r>
      <w:r>
        <w:rPr>
          <w:rFonts w:ascii="Segoe UI" w:hAnsi="Segoe UI" w:cs="Segoe UI"/>
          <w:color w:val="404040"/>
        </w:rPr>
        <w:t>监督指导施工方落实生态保护措施</w:t>
      </w:r>
      <w:r>
        <w:rPr>
          <w:rFonts w:hint="eastAsia"/>
          <w:color w:val="000000" w:themeColor="text1"/>
          <w14:textFill>
            <w14:solidFill>
              <w14:schemeClr w14:val="tx1"/>
            </w14:solidFill>
          </w14:textFill>
        </w:rPr>
        <w:t>。</w:t>
      </w:r>
    </w:p>
    <w:p w14:paraId="2B795F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加强施工队伍职工环境保护培训，规范施工人员行为，约束其在非施工期间的活动范围。加大宣传力度，采取各种方式，如宣传栏、挂牌等，让施工人员了解植物的显著的特征，能够识别分布在此地的国家重点保护植物。工程单位与林业主管部门要合作，建立完善的管理体系，确保国家及省重点保护植物资源的安全。</w:t>
      </w:r>
    </w:p>
    <w:p w14:paraId="0083C3C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（3）严格划定施工作业范围</w:t>
      </w:r>
    </w:p>
    <w:p w14:paraId="26D991F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严格按照设计文件确定征占土地范围，进行地表植被的清理工作。开工前对施工临时设施的规划要进行严格的审查，以达到既少占农田、林地，又方便施工的目的。</w:t>
      </w:r>
    </w:p>
    <w:p w14:paraId="59F17F9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）做好施工的组织安排工作，减轻损失</w:t>
      </w:r>
    </w:p>
    <w:p w14:paraId="32AD18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应根据当地农业活动特点组织施工，减轻对农业生产破坏造成的损失。在改河、涵洞、涉水桥墩等基础施工时，应避开雨季施工，选择枯水期进行。</w:t>
      </w:r>
    </w:p>
    <w:p w14:paraId="516AC41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（5）提高工程施工效率，缩短施工时间</w:t>
      </w:r>
    </w:p>
    <w:p w14:paraId="0D7B2C8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施工中要做到分段施工，随挖、随运、随铺、随压，减少裸地的暴露时间，不留疏松地面。</w:t>
      </w:r>
    </w:p>
    <w:p w14:paraId="74549F9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（6）施工期临时设施用地尽量选择在征地范围内，施工驻地租用当地民房和场地。</w:t>
      </w:r>
    </w:p>
    <w:p w14:paraId="3E2E32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7</w:t>
      </w:r>
      <w:r>
        <w:rPr>
          <w:rFonts w:hint="eastAsia"/>
          <w:color w:val="000000" w:themeColor="text1"/>
          <w14:textFill>
            <w14:solidFill>
              <w14:schemeClr w14:val="tx1"/>
            </w14:solidFill>
          </w14:textFill>
        </w:rPr>
        <w:t>）减少夜间作业，避免灯光、噪声对夜间动物活动的惊扰。高噪声施工要在白天施工，减少夜间施工对野生动物的影响。</w:t>
      </w:r>
    </w:p>
    <w:p w14:paraId="724081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）严格控制路基开挖施工作业面，避免超挖破坏周围植被。路线经过优良耕地路段，应尽量收缩路基边坡，以减少占用耕地。</w:t>
      </w:r>
    </w:p>
    <w:p w14:paraId="2F0632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9</w:t>
      </w:r>
      <w:r>
        <w:rPr>
          <w:rFonts w:hint="eastAsia"/>
          <w:color w:val="000000" w:themeColor="text1"/>
          <w14:textFill>
            <w14:solidFill>
              <w14:schemeClr w14:val="tx1"/>
            </w14:solidFill>
          </w14:textFill>
        </w:rPr>
        <w:t>）凡因公路施工破坏植被而裸露的土地（包括路界内外）均应在施工结束后立即整治利用，恢复植被或造田还耕。对于坡面工程应及时采取工程措施或植物措施加以防护以减少水土流失。</w:t>
      </w:r>
    </w:p>
    <w:p w14:paraId="29C7EF32">
      <w:pPr>
        <w:pStyle w:val="118"/>
        <w:rPr>
          <w:color w:val="000000" w:themeColor="text1"/>
          <w14:textFill>
            <w14:solidFill>
              <w14:schemeClr w14:val="tx1"/>
            </w14:solidFill>
          </w14:textFill>
        </w:rPr>
      </w:pPr>
      <w:r>
        <w:rPr>
          <w:color w:val="000000" w:themeColor="text1"/>
          <w14:textFill>
            <w14:solidFill>
              <w14:schemeClr w14:val="tx1"/>
            </w14:solidFill>
          </w14:textFill>
        </w:rPr>
        <w:t>植物保护与恢复措施</w:t>
      </w:r>
    </w:p>
    <w:p w14:paraId="655A6E4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①施工前认真核查施工区内有无珍稀保护植物，对工程施工中无法避让的需保护物种，要进行异地移栽保护。</w:t>
      </w:r>
    </w:p>
    <w:p w14:paraId="5A5DA53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②合理安排工程用地，节约土地资源，合理设计、尽量缩小用地规模；施工临时用地尽可能选择工程永久占地区域内；严格按照设计文件确定征占土地范围，进行地表植被的清理工作。</w:t>
      </w:r>
    </w:p>
    <w:p w14:paraId="53C57A2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③路线布设尽量避开大片的林地，无法避让的情况下，应收缩路基宽度，减少占用林地数量，项目开工之前应办理林地征用手续，必须按照相关规定，进行异地补偿。</w:t>
      </w:r>
    </w:p>
    <w:p w14:paraId="14C6331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④合理安排施工时序，减少裸露地块面积，强化裸露地块水土流失防治等。</w:t>
      </w:r>
    </w:p>
    <w:p w14:paraId="1F5989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⑤路基施工、临时施工场地施工前，应将占用农用地的表土层剥离，并在临时表土堆场进行集中堆放，并采取临时拦挡和覆盖措施，防止雨淋造成养分流失，以便用于后期的绿化和土地复垦。</w:t>
      </w:r>
    </w:p>
    <w:p w14:paraId="462558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⑥涉及林区路段施工时，施工单位应加强防火知识教育，防止人为原因导致森林火灾的发生。</w:t>
      </w:r>
    </w:p>
    <w:p w14:paraId="27AC6C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⑦</w:t>
      </w:r>
      <w:r>
        <w:rPr>
          <w:color w:val="000000" w:themeColor="text1"/>
          <w14:textFill>
            <w14:solidFill>
              <w14:schemeClr w14:val="tx1"/>
            </w14:solidFill>
          </w14:textFill>
        </w:rPr>
        <w:t>施工结束后按占地类型恢复为原有使用类型，根据项目区植被分布及植被类型，尽量选用当地乡土树种或适生树种作为本工程的生态恢复树种</w:t>
      </w:r>
      <w:r>
        <w:rPr>
          <w:rFonts w:hint="eastAsia"/>
          <w:color w:val="000000" w:themeColor="text1"/>
          <w14:textFill>
            <w14:solidFill>
              <w14:schemeClr w14:val="tx1"/>
            </w14:solidFill>
          </w14:textFill>
        </w:rPr>
        <w:t>。</w:t>
      </w:r>
    </w:p>
    <w:p w14:paraId="10C72ED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⑧施工结束后，施工单位应负责清理现场。凡因公路施工破坏植被而裸露的土地（包括路界内外）应在施工结束后立即整治利用，恢复植被或造田还耕。</w:t>
      </w:r>
    </w:p>
    <w:p w14:paraId="7CF82152">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临时占地恢复措施</w:t>
      </w:r>
    </w:p>
    <w:p w14:paraId="4C672AB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①优化临时占地选址，严禁在生态敏感区范围内设置施工场地、</w:t>
      </w:r>
      <w:bookmarkStart w:id="809" w:name="hmcheck_598a617df5b340a98aa44755378fc325"/>
      <w:r>
        <w:rPr>
          <w:rFonts w:hint="eastAsia"/>
          <w:color w:val="000000" w:themeColor="text1"/>
          <w:shd w:val="clear" w:fill="FFAFAA"/>
          <w14:textFill>
            <w14:solidFill>
              <w14:schemeClr w14:val="tx1"/>
            </w14:solidFill>
          </w14:textFill>
        </w:rPr>
        <w:t>水稳拌和站</w:t>
      </w:r>
      <w:bookmarkEnd w:id="809"/>
      <w:r>
        <w:rPr>
          <w:rFonts w:hint="eastAsia"/>
          <w:color w:val="000000" w:themeColor="text1"/>
          <w14:textFill>
            <w14:solidFill>
              <w14:schemeClr w14:val="tx1"/>
            </w14:solidFill>
          </w14:textFill>
        </w:rPr>
        <w:t>等临时工程。施工期间，加强临时占地的用地监督管理。控制施工作业范围，严禁进入生态敏感区内施工作业。加强管理，树立标识，避免施工人员、施工车辆及施工机械设备进入生态敏感区。</w:t>
      </w:r>
    </w:p>
    <w:p w14:paraId="3E3826C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②应严格控制各类临时工程施工边界，严禁随意压占、扰动和破坏地表。</w:t>
      </w:r>
    </w:p>
    <w:p w14:paraId="496119F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③临时占地表土保护，临时占地应对</w:t>
      </w:r>
      <w:r>
        <w:rPr>
          <w:color w:val="000000" w:themeColor="text1"/>
          <w14:textFill>
            <w14:solidFill>
              <w14:schemeClr w14:val="tx1"/>
            </w14:solidFill>
          </w14:textFill>
        </w:rPr>
        <w:t>表层熟土剥离，</w:t>
      </w:r>
      <w:r>
        <w:rPr>
          <w:rFonts w:hint="eastAsia"/>
          <w:color w:val="000000" w:themeColor="text1"/>
          <w14:textFill>
            <w14:solidFill>
              <w14:schemeClr w14:val="tx1"/>
            </w14:solidFill>
          </w14:textFill>
        </w:rPr>
        <w:t>临时堆存</w:t>
      </w:r>
      <w:r>
        <w:rPr>
          <w:color w:val="000000" w:themeColor="text1"/>
          <w14:textFill>
            <w14:solidFill>
              <w14:schemeClr w14:val="tx1"/>
            </w14:solidFill>
          </w14:textFill>
        </w:rPr>
        <w:t>，并采取临时拦挡和覆盖措施。</w:t>
      </w:r>
      <w:r>
        <w:rPr>
          <w:rFonts w:hint="eastAsia"/>
          <w:color w:val="000000" w:themeColor="text1"/>
          <w14:textFill>
            <w14:solidFill>
              <w14:schemeClr w14:val="tx1"/>
            </w14:solidFill>
          </w14:textFill>
        </w:rPr>
        <w:t>涉及农用地的，应将原有土地表层耕作的熟土推在一旁堆放，待施工完毕将这些熟土再推平，恢复原土地表层。施工场地及临时堆场水保措施详见章节</w:t>
      </w:r>
      <w:r>
        <w:rPr>
          <w:color w:val="000000" w:themeColor="text1"/>
          <w14:textFill>
            <w14:solidFill>
              <w14:schemeClr w14:val="tx1"/>
            </w14:solidFill>
          </w14:textFill>
        </w:rPr>
        <w:t>7.1.1.8</w:t>
      </w:r>
      <w:r>
        <w:rPr>
          <w:rFonts w:hint="eastAsia"/>
          <w:color w:val="000000" w:themeColor="text1"/>
          <w14:textFill>
            <w14:solidFill>
              <w14:schemeClr w14:val="tx1"/>
            </w14:solidFill>
          </w14:textFill>
        </w:rPr>
        <w:t>。</w:t>
      </w:r>
    </w:p>
    <w:p w14:paraId="06081C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rFonts w:hint="eastAsia" w:ascii="宋体" w:hAnsi="宋体"/>
          <w:color w:val="000000" w:themeColor="text1"/>
          <w:szCs w:val="24"/>
          <w14:textFill>
            <w14:solidFill>
              <w14:schemeClr w14:val="tx1"/>
            </w14:solidFill>
          </w14:textFill>
        </w:rPr>
        <w:t>施工便道：应充分利用已有的交通道路，对现有道路进行扩建满足施工要求，同时建设完善排水系统。</w:t>
      </w:r>
    </w:p>
    <w:p w14:paraId="362200C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⑤施工完毕后，必须对临时占地采取土地整治、生态恢复和复垦工程措施。</w:t>
      </w:r>
    </w:p>
    <w:p w14:paraId="1823E3A0">
      <w:pPr>
        <w:pStyle w:val="118"/>
        <w:rPr>
          <w:color w:val="000000" w:themeColor="text1"/>
          <w14:textFill>
            <w14:solidFill>
              <w14:schemeClr w14:val="tx1"/>
            </w14:solidFill>
          </w14:textFill>
        </w:rPr>
      </w:pPr>
      <w:r>
        <w:rPr>
          <w:color w:val="000000" w:themeColor="text1"/>
          <w14:textFill>
            <w14:solidFill>
              <w14:schemeClr w14:val="tx1"/>
            </w14:solidFill>
          </w14:textFill>
        </w:rPr>
        <w:t>野生动物保护措施</w:t>
      </w:r>
    </w:p>
    <w:p w14:paraId="718109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（1）管理措施</w:t>
      </w:r>
    </w:p>
    <w:p w14:paraId="7B10A8A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施工单位应对施工人员进行环保教育，让施工人员了解《中华人民共和国野生动物保护法》，增强施工人员的环保意识，严禁捕杀野生动物，特别是国家重点保护野生动物。</w:t>
      </w:r>
    </w:p>
    <w:p w14:paraId="2207CA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（2）避免措施</w:t>
      </w:r>
    </w:p>
    <w:p w14:paraId="390406A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从保护生态环境的角度出发，施工期尽量做好施工规划前期工作。合理安排施工时间，避开野生动物活动的高峰时段。早晨、黄昏和晚上是野生动物活动、繁殖和觅食的高峰时段，应禁止在早晨、黄昏和晚上进行打桩等高噪作业。</w:t>
      </w:r>
    </w:p>
    <w:p w14:paraId="054DB39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②严格限制施工范围，不得随意扩大工程占地范围。</w:t>
      </w:r>
    </w:p>
    <w:p w14:paraId="1F66FF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）削减措施</w:t>
      </w:r>
    </w:p>
    <w:p w14:paraId="48AA0AE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①施工期间遇见野生动物应进行避让或保护性驱赶，禁止捕猎。</w:t>
      </w:r>
    </w:p>
    <w:p w14:paraId="6175000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②在林地较密集路段（K</w:t>
      </w:r>
      <w:r>
        <w:rPr>
          <w:color w:val="000000" w:themeColor="text1"/>
          <w14:textFill>
            <w14:solidFill>
              <w14:schemeClr w14:val="tx1"/>
            </w14:solidFill>
          </w14:textFill>
        </w:rPr>
        <w:t>0+150~440</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4+</w:t>
      </w:r>
      <w:bookmarkStart w:id="810" w:name="hmcheck_f50365b8413e4fc0bf3545092f094b57"/>
      <w:r>
        <w:rPr>
          <w:color w:val="000000" w:themeColor="text1"/>
          <w:shd w:val="clear" w:fill="FFAFAA"/>
          <w14:textFill>
            <w14:solidFill>
              <w14:schemeClr w14:val="tx1"/>
            </w14:solidFill>
          </w14:textFill>
        </w:rPr>
        <w:t>000~</w:t>
      </w:r>
      <w:bookmarkEnd w:id="810"/>
      <w:r>
        <w:rPr>
          <w:color w:val="000000" w:themeColor="text1"/>
          <w14:textFill>
            <w14:solidFill>
              <w14:schemeClr w14:val="tx1"/>
            </w14:solidFill>
          </w14:textFill>
        </w:rPr>
        <w:t>140</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4+780~K5+110</w:t>
      </w:r>
      <w:r>
        <w:rPr>
          <w:rFonts w:hint="eastAsia"/>
          <w:color w:val="000000" w:themeColor="text1"/>
          <w14:textFill>
            <w14:solidFill>
              <w14:schemeClr w14:val="tx1"/>
            </w14:solidFill>
          </w14:textFill>
        </w:rPr>
        <w:t>）施工应优化施工方案，缩短工期，尽量避免夜间施工作业，减少对野生动物的惊扰。</w:t>
      </w:r>
    </w:p>
    <w:p w14:paraId="6E91B3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③施工单位应加强施工管理，加强施工区、临时堆场的堆置和防护，加强生活区施工人员生活卫生管理，避免生活污水的直接排放，减少水体污染，保护野生动物生境。</w:t>
      </w:r>
    </w:p>
    <w:p w14:paraId="5A9B82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加强野生动物监测措施。在施工期间加强野生动物的动态监测，随时留意和观察野生动物的活动情况和生境影响，若发现野生动物特殊的生境或需要特别保护的野生动物遭到工程施工的严重影响，必须停止施工，同时采取妥善的保护措施，并向生态保护主管部门汇报。</w:t>
      </w:r>
    </w:p>
    <w:p w14:paraId="7631657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（4）恢复与补偿措施</w:t>
      </w:r>
    </w:p>
    <w:p w14:paraId="71D6811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①尽量保护跨越沟谷的桥梁下方地形和植被，损坏的应及时进行地貌和植被原貌恢复，以恢复原有的野生动物通道和生境。</w:t>
      </w:r>
    </w:p>
    <w:p w14:paraId="41F8953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②公路林区段采用加密绿化带的措施，减少灯光和噪声对野生动物造成的不利影响；加强桥涵植被的恢复，促进动物适应新的生境。</w:t>
      </w:r>
    </w:p>
    <w:p w14:paraId="1DD3752C">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对水生生态保护措施</w:t>
      </w:r>
    </w:p>
    <w:p w14:paraId="571AFDFF">
      <w:pPr>
        <w:ind w:firstLine="480"/>
        <w:rPr>
          <w:color w:val="000000" w:themeColor="text1"/>
          <w14:textFill>
            <w14:solidFill>
              <w14:schemeClr w14:val="tx1"/>
            </w14:solidFill>
          </w14:textFill>
        </w:rPr>
      </w:pPr>
      <w:r>
        <w:rPr>
          <w:rFonts w:hint="eastAsia" w:ascii="Wingdings" w:hAnsi="Wingdings"/>
          <w:color w:val="000000" w:themeColor="text1"/>
          <w14:textFill>
            <w14:solidFill>
              <w14:schemeClr w14:val="tx1"/>
            </w14:solidFill>
          </w14:textFill>
        </w:rPr>
        <w:t>①</w:t>
      </w:r>
      <w:r>
        <w:rPr>
          <w:rFonts w:hint="eastAsia"/>
          <w:color w:val="000000" w:themeColor="text1"/>
          <w14:textFill>
            <w14:solidFill>
              <w14:schemeClr w14:val="tx1"/>
            </w14:solidFill>
          </w14:textFill>
        </w:rPr>
        <w:t>桥梁桩基施工时做好钻渣泥浆的处理，禁止将含泥沙、油污、生活污水、垃圾、废弃物排入水域，有毒有害、油料等化学品应远离岸边储存并采取防渗防漏的措施，防止污染水体水质，从而影响水生生物的生境。</w:t>
      </w:r>
    </w:p>
    <w:p w14:paraId="682BA7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②开挖涉水路段应选择枯水期进行施工、避开雨季。根据当地气象统计，枯水期主要为</w:t>
      </w:r>
      <w:r>
        <w:rPr>
          <w:color w:val="000000" w:themeColor="text1"/>
          <w14:textFill>
            <w14:solidFill>
              <w14:schemeClr w14:val="tx1"/>
            </w14:solidFill>
          </w14:textFill>
        </w:rPr>
        <w:t>10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月份，施工前，应详细查询地方多年降雨量情况。</w:t>
      </w:r>
    </w:p>
    <w:p w14:paraId="5E98F5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③桥梁桩基、改河、涉水涵洞施工过程中，要求设置施工围堰、导流，尽量减小对水体的扰动，施工结束后对河道进行清淤，清除围堰等临时建筑，保证水流畅通。</w:t>
      </w:r>
    </w:p>
    <w:p w14:paraId="4DB54D7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④选用低噪声施工机械设备，合理安排，缩短施工时间，减少施工噪声及振动对附近水域水生生物正常生理活动的影响。</w:t>
      </w:r>
    </w:p>
    <w:p w14:paraId="1D833AE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⑤做好施工管理，严禁土石方等任意丢弃于河流、沟渠中。</w:t>
      </w:r>
    </w:p>
    <w:p w14:paraId="2FB45531">
      <w:pPr>
        <w:pStyle w:val="118"/>
        <w:rPr>
          <w:color w:val="000000" w:themeColor="text1"/>
          <w14:textFill>
            <w14:solidFill>
              <w14:schemeClr w14:val="tx1"/>
            </w14:solidFill>
          </w14:textFill>
        </w:rPr>
      </w:pPr>
      <w:bookmarkStart w:id="811" w:name="_Hlk84628426"/>
      <w:r>
        <w:rPr>
          <w:rFonts w:hint="eastAsia"/>
          <w:color w:val="000000" w:themeColor="text1"/>
          <w14:textFill>
            <w14:solidFill>
              <w14:schemeClr w14:val="tx1"/>
            </w14:solidFill>
          </w14:textFill>
        </w:rPr>
        <w:t>生态敏感区路段防护措施</w:t>
      </w:r>
    </w:p>
    <w:p w14:paraId="0D67B175">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1、生态公益林保护措施</w:t>
      </w:r>
      <w:bookmarkEnd w:id="811"/>
    </w:p>
    <w:p w14:paraId="1BACABE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w:t>
      </w:r>
      <w:bookmarkStart w:id="812" w:name="_Hlk84628435"/>
      <w:r>
        <w:rPr>
          <w:rFonts w:hint="eastAsia"/>
          <w:color w:val="000000" w:themeColor="text1"/>
          <w14:textFill>
            <w14:solidFill>
              <w14:schemeClr w14:val="tx1"/>
            </w14:solidFill>
          </w14:textFill>
        </w:rPr>
        <w:t>在设计阶段选线尽量避绕公益林、施工作业时</w:t>
      </w:r>
      <w:bookmarkStart w:id="813" w:name="_Hlk152943762"/>
      <w:r>
        <w:rPr>
          <w:rFonts w:hint="eastAsia"/>
          <w:color w:val="000000" w:themeColor="text1"/>
          <w14:textFill>
            <w14:solidFill>
              <w14:schemeClr w14:val="tx1"/>
            </w14:solidFill>
          </w14:textFill>
        </w:rPr>
        <w:t>施工材料</w:t>
      </w:r>
      <w:bookmarkEnd w:id="813"/>
      <w:r>
        <w:rPr>
          <w:rFonts w:hint="eastAsia"/>
          <w:color w:val="000000" w:themeColor="text1"/>
          <w14:textFill>
            <w14:solidFill>
              <w14:schemeClr w14:val="tx1"/>
            </w14:solidFill>
          </w14:textFill>
        </w:rPr>
        <w:t>堆放场地尽量避开林区，</w:t>
      </w:r>
      <w:bookmarkEnd w:id="812"/>
      <w:r>
        <w:rPr>
          <w:rFonts w:hint="eastAsia"/>
          <w:color w:val="000000" w:themeColor="text1"/>
          <w14:textFill>
            <w14:solidFill>
              <w14:schemeClr w14:val="tx1"/>
            </w14:solidFill>
          </w14:textFill>
        </w:rPr>
        <w:t>在条件允许时，减少砍伐林木的数量，最大程度地保护沿线的林业生态环境。</w:t>
      </w:r>
    </w:p>
    <w:p w14:paraId="3F83911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w:t>
      </w:r>
      <w:bookmarkStart w:id="814" w:name="_Hlk84628446"/>
      <w:r>
        <w:rPr>
          <w:rFonts w:hint="eastAsia"/>
          <w:color w:val="000000" w:themeColor="text1"/>
          <w14:textFill>
            <w14:solidFill>
              <w14:schemeClr w14:val="tx1"/>
            </w14:solidFill>
          </w14:textFill>
        </w:rPr>
        <w:t>在生态公益林线路段施工时（</w:t>
      </w:r>
      <w:r>
        <w:rPr>
          <w:color w:val="000000" w:themeColor="text1"/>
          <w14:textFill>
            <w14:solidFill>
              <w14:schemeClr w14:val="tx1"/>
            </w14:solidFill>
          </w14:textFill>
        </w:rPr>
        <w:t>K0+263~K0+340</w:t>
      </w:r>
      <w:r>
        <w:rPr>
          <w:rFonts w:hint="eastAsia"/>
          <w:color w:val="000000" w:themeColor="text1"/>
          <w14:textFill>
            <w14:solidFill>
              <w14:schemeClr w14:val="tx1"/>
            </w14:solidFill>
          </w14:textFill>
        </w:rPr>
        <w:t>），严格控制施工边界，严格按照项目征地红线边界进行施工，在施工边界设置施工警戒线，避免在施工警戒线以外进行各类施工等破坏生态环境的活动。</w:t>
      </w:r>
      <w:bookmarkEnd w:id="814"/>
    </w:p>
    <w:p w14:paraId="0C8715E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（3）严禁在公益林区范围内设置临时占地。</w:t>
      </w:r>
    </w:p>
    <w:p w14:paraId="45ABB2C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）加强施工人员的环保教育，不在公益林区内乱丢垃圾，排放施工废水等。</w:t>
      </w:r>
    </w:p>
    <w:p w14:paraId="38C3E0A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）工程开工前需明确公益林的占用范围，须按有关规定办理林地审核、林木采伐审批手续，并按照《中华人民共和国森林法》《建设项目使用林地审核审批管理办法》（</w:t>
      </w:r>
      <w:bookmarkStart w:id="815" w:name="hmcheck_de80b6ca644b499eb5d7be8251ae4582"/>
      <w:r>
        <w:rPr>
          <w:rFonts w:hint="eastAsia"/>
          <w:color w:val="000000" w:themeColor="text1"/>
          <w:shd w:val="clear" w:fill="B2E9BC"/>
          <w:lang w:eastAsia="zh-CN"/>
          <w14:textFill>
            <w14:solidFill>
              <w14:schemeClr w14:val="tx1"/>
            </w14:solidFill>
          </w14:textFill>
        </w:rPr>
        <w:t>国家林业和草原局</w:t>
      </w:r>
      <w:bookmarkEnd w:id="815"/>
      <w:r>
        <w:rPr>
          <w:rFonts w:hint="eastAsia"/>
          <w:color w:val="000000" w:themeColor="text1"/>
          <w14:textFill>
            <w14:solidFill>
              <w14:schemeClr w14:val="tx1"/>
            </w14:solidFill>
          </w14:textFill>
        </w:rPr>
        <w:t>第35号令）、《国家级公益林管理办法》《福建省生态公益林条例》等有关规定进行补偿。</w:t>
      </w:r>
    </w:p>
    <w:p w14:paraId="7C2DB45E">
      <w:pPr>
        <w:pStyle w:val="118"/>
        <w:numPr>
          <w:ilvl w:val="0"/>
          <w:numId w:val="0"/>
        </w:numPr>
        <w:rPr>
          <w:color w:val="000000" w:themeColor="text1"/>
          <w14:textFill>
            <w14:solidFill>
              <w14:schemeClr w14:val="tx1"/>
            </w14:solidFill>
          </w14:textFill>
        </w:rPr>
      </w:pPr>
      <w:r>
        <w:rPr>
          <w:rFonts w:hint="eastAsia"/>
          <w:color w:val="000000" w:themeColor="text1"/>
          <w14:textFill>
            <w14:solidFill>
              <w14:schemeClr w14:val="tx1"/>
            </w14:solidFill>
          </w14:textFill>
        </w:rPr>
        <w:t>2、涉及一般湿地路段的保护措施</w:t>
      </w:r>
    </w:p>
    <w:p w14:paraId="10B6D4D4">
      <w:pPr>
        <w:ind w:firstLine="480"/>
        <w:rPr>
          <w:color w:val="000000" w:themeColor="text1"/>
          <w14:textFill>
            <w14:solidFill>
              <w14:schemeClr w14:val="tx1"/>
            </w14:solidFill>
          </w14:textFill>
        </w:rPr>
      </w:pPr>
      <w:bookmarkStart w:id="816" w:name="_Hlk155627967"/>
      <w:bookmarkStart w:id="817" w:name="_Hlk155628012"/>
      <w:r>
        <w:rPr>
          <w:rFonts w:hint="eastAsia" w:cs="Times New Roman"/>
          <w:color w:val="000000" w:themeColor="text1"/>
          <w:kern w:val="0"/>
          <w:szCs w:val="24"/>
          <w:lang w:val="zh-CN"/>
          <w14:textFill>
            <w14:solidFill>
              <w14:schemeClr w14:val="tx1"/>
            </w14:solidFill>
          </w14:textFill>
        </w:rPr>
        <w:t>本项目</w:t>
      </w:r>
      <w:r>
        <w:rPr>
          <w:rFonts w:cs="Times New Roman"/>
          <w:color w:val="000000" w:themeColor="text1"/>
          <w:kern w:val="0"/>
          <w:szCs w:val="24"/>
          <w:lang w:val="zh-CN"/>
          <w14:textFill>
            <w14:solidFill>
              <w14:schemeClr w14:val="tx1"/>
            </w14:solidFill>
          </w14:textFill>
        </w:rPr>
        <w:t>涉及占用一般湿地面积9060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（其中：一般湿地名录面积697</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），类型为沟渠、河流水面、坑塘水面和内陆滩涂</w:t>
      </w:r>
      <w:r>
        <w:rPr>
          <w:rFonts w:hint="eastAsia" w:cs="Times New Roman"/>
          <w:color w:val="000000" w:themeColor="text1"/>
          <w:kern w:val="0"/>
          <w:szCs w:val="24"/>
          <w:lang w:val="zh-CN"/>
          <w14:textFill>
            <w14:solidFill>
              <w14:schemeClr w14:val="tx1"/>
            </w14:solidFill>
          </w14:textFill>
        </w:rPr>
        <w:t>；</w:t>
      </w:r>
      <w:r>
        <w:rPr>
          <w:rFonts w:hint="eastAsia"/>
          <w:color w:val="000000" w:themeColor="text1"/>
          <w14:textFill>
            <w14:solidFill>
              <w14:schemeClr w14:val="tx1"/>
            </w14:solidFill>
          </w14:textFill>
        </w:rPr>
        <w:t>项目与一般湿</w:t>
      </w:r>
      <w:bookmarkStart w:id="818" w:name="hmcheck_9db411d842ff4b93893211899d41bacd"/>
      <w:r>
        <w:rPr>
          <w:rFonts w:hint="eastAsia"/>
          <w:color w:val="000000" w:themeColor="text1"/>
          <w:shd w:val="clear" w:fill="FFAFAA"/>
          <w14:textFill>
            <w14:solidFill>
              <w14:schemeClr w14:val="tx1"/>
            </w14:solidFill>
          </w14:textFill>
        </w:rPr>
        <w:t>地位置</w:t>
      </w:r>
      <w:bookmarkEnd w:id="818"/>
      <w:r>
        <w:rPr>
          <w:rFonts w:hint="eastAsia"/>
          <w:color w:val="000000" w:themeColor="text1"/>
          <w14:textFill>
            <w14:solidFill>
              <w14:schemeClr w14:val="tx1"/>
            </w14:solidFill>
          </w14:textFill>
        </w:rPr>
        <w:t>关系详见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_Ref192516652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b/>
          <w:bCs/>
          <w:color w:val="000000" w:themeColor="text1"/>
          <w14:textFill>
            <w14:solidFill>
              <w14:schemeClr w14:val="tx1"/>
            </w14:solidFill>
          </w14:textFill>
        </w:rPr>
        <w:t>错误!未找到引用源。</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bookmarkEnd w:id="816"/>
      <w:bookmarkStart w:id="819" w:name="_Hlk151715638"/>
      <w:r>
        <w:rPr>
          <w:rFonts w:hint="eastAsia"/>
          <w:color w:val="000000" w:themeColor="text1"/>
          <w14:textFill>
            <w14:solidFill>
              <w14:schemeClr w14:val="tx1"/>
            </w14:solidFill>
          </w14:textFill>
        </w:rPr>
        <w:t>施工单位应加强组织管理，在施工期间加强湿地保护宣传，提高广大建设参与人员的湿地保护意识，有效降低建设工程对河道一般湿地生态的影响。</w:t>
      </w:r>
      <w:bookmarkEnd w:id="819"/>
    </w:p>
    <w:p w14:paraId="6C377A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工程开工前需明确</w:t>
      </w:r>
      <w:r>
        <w:rPr>
          <w:rFonts w:hint="eastAsia"/>
          <w:color w:val="000000" w:themeColor="text1"/>
          <w14:textFill>
            <w14:solidFill>
              <w14:schemeClr w14:val="tx1"/>
            </w14:solidFill>
          </w14:textFill>
        </w:rPr>
        <w:t>一般湿地</w:t>
      </w:r>
      <w:r>
        <w:rPr>
          <w:color w:val="000000" w:themeColor="text1"/>
          <w14:textFill>
            <w14:solidFill>
              <w14:schemeClr w14:val="tx1"/>
            </w14:solidFill>
          </w14:textFill>
        </w:rPr>
        <w:t>的占用范围，须按有关规定办理用地审批手续</w:t>
      </w:r>
      <w:r>
        <w:rPr>
          <w:rFonts w:hint="eastAsia"/>
          <w:color w:val="000000" w:themeColor="text1"/>
          <w14:textFill>
            <w14:solidFill>
              <w14:schemeClr w14:val="tx1"/>
            </w14:solidFill>
          </w14:textFill>
        </w:rPr>
        <w:t>。施工必须严格控制在红线范围之内进行，最大限度地维护湿地完整性和生物多样性，保持湿地生态功能。</w:t>
      </w:r>
    </w:p>
    <w:p w14:paraId="13F72A9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场地、临时表土堆场等临时用地严禁设置在一般湿地范围内，工程建设所需的砂、石应在湿地外指定的料场采集，禁止私自乱采、乱挖，防止破坏湿地生态系统和自然景观，尽可能维持湿地生态系统的完整性和生物多样性。</w:t>
      </w:r>
    </w:p>
    <w:p w14:paraId="16D6BF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③由于考虑到项目区的水鸟以冬候鸟为主，高噪声的施工活动尽量不要安排在冬季（10  月～3  月），在冬季施工时要注意对冬候鸟的保护，可以降低废水污染、噪声污染、碰撞风险等对当地鸟类的影响。</w:t>
      </w:r>
    </w:p>
    <w:p w14:paraId="02B95AD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施工废水分质处理后，尽量回用于工地洒水、绿化等，严禁施工废水排污迳江河道。桥墩施工采用钻孔灌注桩，钻孔灌注桩基础施工时，每个桩基在不漏水的钢护筒围堰中进行，先钻孔，后灌注混凝土，钻孔产生的泥浆均在护筒内，泥浆泵至岸边的沉淀池和泥浆池内，部分泥浆回用，无法回用的泥浆经沉淀后上清液回用，严禁将泥浆直接排入河道。采取以上措施后，本项目施工期对地表水环境的影响将大大减小。</w:t>
      </w:r>
    </w:p>
    <w:p w14:paraId="79D0641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⑤桥梁桩基、改河、涉水涵洞等施工尽量选在枯水期进行；施工过程中要求设置施工围堰，尽量减小对水体的扰动，施工结束后对河道进行清淤，清除围堰等临时建筑，保证湿地连通。</w:t>
      </w:r>
    </w:p>
    <w:p w14:paraId="2D1C38F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强化水土流失防治措施，并与施工措施相互配套。合理安排施工时间，尽量避开雨季，以减少施工中的水土流失；应及时清理钻孔的弃土、弃渣，坚持先挡后弃，同时部分弃土、弃渣可结合实际需要作为材料用于平整场地，并开展相应的植物防护工程。</w:t>
      </w:r>
    </w:p>
    <w:p w14:paraId="67528A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⑦施工期间，施工单位应加强施工管理，严格落实施工相应的污染防治措施，</w:t>
      </w:r>
      <w:bookmarkStart w:id="820" w:name="_Hlk151715611"/>
      <w:r>
        <w:rPr>
          <w:rFonts w:hint="eastAsia"/>
          <w:color w:val="000000" w:themeColor="text1"/>
          <w14:textFill>
            <w14:solidFill>
              <w14:schemeClr w14:val="tx1"/>
            </w14:solidFill>
          </w14:textFill>
        </w:rPr>
        <w:t>禁止向河道内倾倒弃渣、生活垃圾等</w:t>
      </w:r>
      <w:bookmarkEnd w:id="820"/>
      <w:r>
        <w:rPr>
          <w:rFonts w:hint="eastAsia"/>
          <w:color w:val="000000" w:themeColor="text1"/>
          <w14:textFill>
            <w14:solidFill>
              <w14:schemeClr w14:val="tx1"/>
            </w14:solidFill>
          </w14:textFill>
        </w:rPr>
        <w:t>；</w:t>
      </w:r>
    </w:p>
    <w:p w14:paraId="4FE344D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⑧对施工期人员进行宣传教育，严禁进入周边水体捕鱼，禁止借机采河砂，加强施工巡查。</w:t>
      </w:r>
      <w:bookmarkEnd w:id="817"/>
    </w:p>
    <w:p w14:paraId="1BA6BD61">
      <w:pPr>
        <w:pStyle w:val="118"/>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t>3</w:t>
      </w:r>
      <w:r>
        <w:rPr>
          <w:rFonts w:hint="eastAsia"/>
          <w:color w:val="000000" w:themeColor="text1"/>
          <w14:textFill>
            <w14:solidFill>
              <w14:schemeClr w14:val="tx1"/>
            </w14:solidFill>
          </w14:textFill>
        </w:rPr>
        <w:t>、名木古树和保护植被</w:t>
      </w:r>
    </w:p>
    <w:p w14:paraId="477007D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①项目占地红线范围内没有名木古树和野生珍贵树木，也无</w:t>
      </w:r>
      <w:bookmarkStart w:id="821" w:name="hmcheck_9cfd3c8b86b54571923f38406db70ca8"/>
      <w:r>
        <w:rPr>
          <w:rFonts w:hint="eastAsia"/>
          <w:color w:val="000000" w:themeColor="text1"/>
          <w:shd w:val="clear" w:fill="FFAFAA"/>
          <w14:textFill>
            <w14:solidFill>
              <w14:schemeClr w14:val="tx1"/>
            </w14:solidFill>
          </w14:textFill>
        </w:rPr>
        <w:t>其它国家和</w:t>
      </w:r>
      <w:bookmarkEnd w:id="821"/>
      <w:r>
        <w:rPr>
          <w:rFonts w:hint="eastAsia"/>
          <w:color w:val="000000" w:themeColor="text1"/>
          <w14:textFill>
            <w14:solidFill>
              <w14:schemeClr w14:val="tx1"/>
            </w14:solidFill>
          </w14:textFill>
        </w:rPr>
        <w:t>省级重点保护的野生植物，评价范围</w:t>
      </w:r>
      <w:r>
        <w:rPr>
          <w:color w:val="000000" w:themeColor="text1"/>
          <w14:textFill>
            <w14:solidFill>
              <w14:schemeClr w14:val="tx1"/>
            </w14:solidFill>
          </w14:textFill>
        </w:rPr>
        <w:t>调查发现的</w:t>
      </w:r>
      <w:r>
        <w:rPr>
          <w:rFonts w:hint="eastAsia"/>
          <w:color w:val="000000" w:themeColor="text1"/>
          <w14:textFill>
            <w14:solidFill>
              <w14:schemeClr w14:val="tx1"/>
            </w14:solidFill>
          </w14:textFill>
        </w:rPr>
        <w:t>保护</w:t>
      </w:r>
      <w:r>
        <w:rPr>
          <w:color w:val="000000" w:themeColor="text1"/>
          <w14:textFill>
            <w14:solidFill>
              <w14:schemeClr w14:val="tx1"/>
            </w14:solidFill>
          </w14:textFill>
        </w:rPr>
        <w:t>古树8株。</w:t>
      </w:r>
      <w:r>
        <w:rPr>
          <w:rFonts w:hint="eastAsia"/>
          <w:color w:val="000000" w:themeColor="text1"/>
          <w14:textFill>
            <w14:solidFill>
              <w14:schemeClr w14:val="tx1"/>
            </w14:solidFill>
          </w14:textFill>
        </w:rPr>
        <w:t>距离相对较远（最近9</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w:t>
      </w:r>
      <w:r>
        <w:rPr>
          <w:color w:val="000000" w:themeColor="text1"/>
          <w14:textFill>
            <w14:solidFill>
              <w14:schemeClr w14:val="tx1"/>
            </w14:solidFill>
          </w14:textFill>
        </w:rPr>
        <w:t>工程在该处附近不设临时施工用地，工程建设不会对保护古树产生不利影响。</w:t>
      </w:r>
    </w:p>
    <w:p w14:paraId="52A2FFC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②在路基清表作业过程中，若发现珍稀濒危野生植物，应立即向地方林业主管部门报告，采取移植等保护措施。</w:t>
      </w:r>
    </w:p>
    <w:p w14:paraId="00C4A48A">
      <w:pPr>
        <w:pStyle w:val="118"/>
        <w:numPr>
          <w:ilvl w:val="0"/>
          <w:numId w:val="0"/>
        </w:numPr>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、临近基本农田路段的保护措施</w:t>
      </w:r>
    </w:p>
    <w:p w14:paraId="3ACEF4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项目用地不涉及占用永久基本农田，不涉及一般湿地，但线路两侧分布有较大面积的基本农田，部分路段距离较近。因此施工单位应加强组织管理，在施工期间</w:t>
      </w:r>
      <w:bookmarkStart w:id="822" w:name="_Hlk163545523"/>
      <w:r>
        <w:rPr>
          <w:rFonts w:hint="eastAsia"/>
          <w:color w:val="000000" w:themeColor="text1"/>
          <w14:textFill>
            <w14:solidFill>
              <w14:schemeClr w14:val="tx1"/>
            </w14:solidFill>
          </w14:textFill>
        </w:rPr>
        <w:t>加强基本农田的保护宣传</w:t>
      </w:r>
      <w:bookmarkEnd w:id="822"/>
      <w:r>
        <w:rPr>
          <w:rFonts w:hint="eastAsia"/>
          <w:color w:val="000000" w:themeColor="text1"/>
          <w14:textFill>
            <w14:solidFill>
              <w14:schemeClr w14:val="tx1"/>
            </w14:solidFill>
          </w14:textFill>
        </w:rPr>
        <w:t>，</w:t>
      </w:r>
      <w:bookmarkStart w:id="823" w:name="_Hlk163545533"/>
      <w:r>
        <w:rPr>
          <w:rFonts w:hint="eastAsia"/>
          <w:color w:val="000000" w:themeColor="text1"/>
          <w14:textFill>
            <w14:solidFill>
              <w14:schemeClr w14:val="tx1"/>
            </w14:solidFill>
          </w14:textFill>
        </w:rPr>
        <w:t>提高广大建设参与人员的基本农田保护意识</w:t>
      </w:r>
      <w:bookmarkEnd w:id="823"/>
      <w:r>
        <w:rPr>
          <w:rFonts w:hint="eastAsia"/>
          <w:color w:val="000000" w:themeColor="text1"/>
          <w14:textFill>
            <w14:solidFill>
              <w14:schemeClr w14:val="tx1"/>
            </w14:solidFill>
          </w14:textFill>
        </w:rPr>
        <w:t>，有效降低建设工程对基本农田的影响。</w:t>
      </w:r>
    </w:p>
    <w:p w14:paraId="54DFF1F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bookmarkStart w:id="824" w:name="_Hlk163545547"/>
      <w:r>
        <w:rPr>
          <w:rFonts w:hint="eastAsia"/>
          <w:color w:val="000000" w:themeColor="text1"/>
          <w14:textFill>
            <w14:solidFill>
              <w14:schemeClr w14:val="tx1"/>
            </w14:solidFill>
          </w14:textFill>
        </w:rPr>
        <w:t>严格控制施工边界，</w:t>
      </w:r>
      <w:bookmarkEnd w:id="824"/>
      <w:bookmarkStart w:id="825" w:name="_Hlk163545556"/>
      <w:r>
        <w:rPr>
          <w:rFonts w:hint="eastAsia"/>
          <w:color w:val="000000" w:themeColor="text1"/>
          <w14:textFill>
            <w14:solidFill>
              <w14:schemeClr w14:val="tx1"/>
            </w14:solidFill>
          </w14:textFill>
        </w:rPr>
        <w:t>部分路基及</w:t>
      </w:r>
      <w:r>
        <w:rPr>
          <w:rFonts w:hint="eastAsia"/>
          <w:snapToGrid w:val="0"/>
          <w:color w:val="000000" w:themeColor="text1"/>
          <w14:textFill>
            <w14:solidFill>
              <w14:schemeClr w14:val="tx1"/>
            </w14:solidFill>
          </w14:textFill>
        </w:rPr>
        <w:t>1</w:t>
      </w:r>
      <w:r>
        <w:rPr>
          <w:snapToGrid w:val="0"/>
          <w:color w:val="000000" w:themeColor="text1"/>
          <w14:textFill>
            <w14:solidFill>
              <w14:schemeClr w14:val="tx1"/>
            </w14:solidFill>
          </w14:textFill>
        </w:rPr>
        <w:t>#</w:t>
      </w:r>
      <w:r>
        <w:rPr>
          <w:rFonts w:hint="eastAsia"/>
          <w:snapToGrid w:val="0"/>
          <w:color w:val="000000" w:themeColor="text1"/>
          <w14:textFill>
            <w14:solidFill>
              <w14:schemeClr w14:val="tx1"/>
            </w14:solidFill>
          </w14:textFill>
        </w:rPr>
        <w:t>施工场地临近基本农田</w:t>
      </w:r>
      <w:r>
        <w:rPr>
          <w:rFonts w:hint="eastAsia"/>
          <w:color w:val="000000" w:themeColor="text1"/>
          <w14:textFill>
            <w14:solidFill>
              <w14:schemeClr w14:val="tx1"/>
            </w14:solidFill>
          </w14:textFill>
        </w:rPr>
        <w:t>一侧施工期间应设置围挡</w:t>
      </w:r>
      <w:bookmarkEnd w:id="825"/>
      <w:r>
        <w:rPr>
          <w:rFonts w:hint="eastAsia"/>
          <w:color w:val="000000" w:themeColor="text1"/>
          <w14:textFill>
            <w14:solidFill>
              <w14:schemeClr w14:val="tx1"/>
            </w14:solidFill>
          </w14:textFill>
        </w:rPr>
        <w:t>，避免路基平整土石方水土流失冲刷、施工废水、废渣等进入农田。</w:t>
      </w:r>
    </w:p>
    <w:p w14:paraId="5660F8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②合理</w:t>
      </w:r>
      <w:bookmarkStart w:id="826" w:name="_Hlk163545572"/>
      <w:r>
        <w:rPr>
          <w:rFonts w:hint="eastAsia"/>
          <w:color w:val="000000" w:themeColor="text1"/>
          <w14:textFill>
            <w14:solidFill>
              <w14:schemeClr w14:val="tx1"/>
            </w14:solidFill>
          </w14:textFill>
        </w:rPr>
        <w:t>安排施工时间，尽量避开雨季，以减少施工中的水土流失</w:t>
      </w:r>
      <w:bookmarkEnd w:id="826"/>
      <w:r>
        <w:rPr>
          <w:rFonts w:hint="eastAsia"/>
          <w:color w:val="000000" w:themeColor="text1"/>
          <w14:textFill>
            <w14:solidFill>
              <w14:schemeClr w14:val="tx1"/>
            </w14:solidFill>
          </w14:textFill>
        </w:rPr>
        <w:t>。</w:t>
      </w:r>
    </w:p>
    <w:p w14:paraId="36D5A0B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③施工期间，施工单位应加强施工管理，</w:t>
      </w:r>
      <w:bookmarkStart w:id="827" w:name="_Hlk163545630"/>
      <w:r>
        <w:rPr>
          <w:rFonts w:hint="eastAsia"/>
          <w:color w:val="000000" w:themeColor="text1"/>
          <w14:textFill>
            <w14:solidFill>
              <w14:schemeClr w14:val="tx1"/>
            </w14:solidFill>
          </w14:textFill>
        </w:rPr>
        <w:t>严格落实施工相应的污染防治措施和水土保持措施</w:t>
      </w:r>
      <w:bookmarkEnd w:id="827"/>
      <w:r>
        <w:rPr>
          <w:rFonts w:hint="eastAsia"/>
          <w:color w:val="000000" w:themeColor="text1"/>
          <w14:textFill>
            <w14:solidFill>
              <w14:schemeClr w14:val="tx1"/>
            </w14:solidFill>
          </w14:textFill>
        </w:rPr>
        <w:t>，</w:t>
      </w:r>
      <w:bookmarkStart w:id="828" w:name="_Hlk163545595"/>
      <w:r>
        <w:rPr>
          <w:rFonts w:hint="eastAsia"/>
          <w:color w:val="000000" w:themeColor="text1"/>
          <w14:textFill>
            <w14:solidFill>
              <w14:schemeClr w14:val="tx1"/>
            </w14:solidFill>
          </w14:textFill>
        </w:rPr>
        <w:t>禁止向基本农田内倾倒弃渣、生活垃圾，排放生活废水等</w:t>
      </w:r>
      <w:bookmarkEnd w:id="828"/>
      <w:r>
        <w:rPr>
          <w:rFonts w:hint="eastAsia"/>
          <w:color w:val="000000" w:themeColor="text1"/>
          <w14:textFill>
            <w14:solidFill>
              <w14:schemeClr w14:val="tx1"/>
            </w14:solidFill>
          </w14:textFill>
        </w:rPr>
        <w:t>。</w:t>
      </w:r>
    </w:p>
    <w:p w14:paraId="00C86FA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④对施工人员进行宣传教育，加强施工巡查。</w:t>
      </w:r>
    </w:p>
    <w:p w14:paraId="1FE2738B">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水土保持措施</w:t>
      </w:r>
    </w:p>
    <w:p w14:paraId="39CED032">
      <w:pPr>
        <w:ind w:firstLine="480"/>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根据项目水土保持方案，项目</w:t>
      </w:r>
      <w:r>
        <w:rPr>
          <w:color w:val="000000" w:themeColor="text1"/>
          <w14:textFill>
            <w14:solidFill>
              <w14:schemeClr w14:val="tx1"/>
            </w14:solidFill>
          </w14:textFill>
        </w:rPr>
        <w:t>划分为</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路基工程防治区、边坡工程防治区、桥梁工程防治区、施工场地防治区、施工便道防治区、表土临时堆场防治区</w:t>
      </w:r>
      <w:r>
        <w:rPr>
          <w:rFonts w:hint="eastAsia"/>
          <w:color w:val="000000" w:themeColor="text1"/>
          <w14:textFill>
            <w14:solidFill>
              <w14:schemeClr w14:val="tx1"/>
            </w14:solidFill>
          </w14:textFill>
        </w:rPr>
        <w:t>等</w:t>
      </w:r>
      <w:r>
        <w:rPr>
          <w:color w:val="000000" w:themeColor="text1"/>
          <w14:textFill>
            <w14:solidFill>
              <w14:schemeClr w14:val="tx1"/>
            </w14:solidFill>
          </w14:textFill>
        </w:rPr>
        <w:t>。</w:t>
      </w:r>
    </w:p>
    <w:p w14:paraId="6B2D3BC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路基工程防治区：主体设计中水土保持工程的措施有：排水沟。水保方案新增措施有：在路基开挖前，对区内可剥离的表土进行剥离，堆放于表土临时堆场内；施工期间在道路适宜位置布设临时排水沟，排水沟沿线及末端布设沉沙池；遇到降雨时，对区内裸露区域采取密目网临时苫盖；主体工程完工后对区内绿化用地进行土地整治、覆土绿化。</w:t>
      </w:r>
    </w:p>
    <w:p w14:paraId="551260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边坡防护工程防治区：主体设计中水土保持工程的措施有：截（排）水沟、急流槽、拱形骨架护坡、TBS植被护坡、液压喷播植草护坡、骨架内植草护坡。水保方案新增措施有：在边坡开挖前，对区内可剥离的表土进行剥离，堆放于表土临时堆场内；遇到降雨时，对区内裸露边坡采取密目网临时苫盖；主体工程完工后对区内绿化用地进行土地整治、覆土绿化。</w:t>
      </w:r>
    </w:p>
    <w:p w14:paraId="5312905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桥梁工程防治区：在施工前对区内可利用的表土进行剥离；在基础周边布设临时排水沟，收集桥梁基础产生的钻渣（浆），理顺区内水系，临时排水沟末端增设泥浆沉淀池，经沉沙池沉淀后，排入临近沟道内；遇到降雨时，对区内桥台两侧裸露区域采取密目网临时苫盖。</w:t>
      </w:r>
    </w:p>
    <w:p w14:paraId="3E739E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施工场地防治区：在施工前对区内可利用的表土进行剥离；在场地周边布设临时排水沟；在排水沟末端增设沉沙池，经沉沙池沉淀后，排入临近溪流沟道内；施工结束后，施工场地及时拆除清理后，对其进行覆土、土地整治和植被恢复后，交还当地使用。</w:t>
      </w:r>
    </w:p>
    <w:p w14:paraId="1619B63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施工便道防治区：在路基开挖前，对区内可剥离的表土进行剥离，堆放于表土临时堆场内；在场地周边布设临时排水沟；在排水沟末端增设沉沙池，经沉沙池沉淀后，排入临近溪流沟道内；施工结束后，施工便道及时拆除清理后，对其进行覆土、土地整治和植被恢复后，交还当地使用。</w:t>
      </w:r>
    </w:p>
    <w:p w14:paraId="2C0326B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表土临时堆场防治区：表土临时堆场周边采取编织袋装土挡墙进行临时拦挡；挡墙外围布设临时排水沟，排水沟末端布设沉沙池；在临时堆土体表面撒播狗牙根草籽，进行临时绿化；遇到降雨时，对临时堆土体表面采取密目网进行临时苫盖；施工结束后，对场区及时拆除，土地整治、复园和植被恢复后，交还当地使用。</w:t>
      </w:r>
    </w:p>
    <w:p w14:paraId="53BB313D">
      <w:pPr>
        <w:pStyle w:val="87"/>
        <w:spacing w:before="163"/>
        <w:rPr>
          <w:color w:val="000000" w:themeColor="text1"/>
          <w14:textFill>
            <w14:solidFill>
              <w14:schemeClr w14:val="tx1"/>
            </w14:solidFill>
          </w14:textFill>
        </w:rPr>
      </w:pPr>
      <w:r>
        <w:rPr>
          <w:color w:val="000000" w:themeColor="text1"/>
          <w14:textFill>
            <w14:solidFill>
              <w14:schemeClr w14:val="tx1"/>
            </w14:solidFill>
          </w14:textFill>
        </w:rPr>
        <w:t>水土流失防治措施布局表</w:t>
      </w:r>
    </w:p>
    <w:tbl>
      <w:tblPr>
        <w:tblStyle w:val="39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28" w:type="dxa"/>
          <w:left w:w="108" w:type="dxa"/>
          <w:bottom w:w="28" w:type="dxa"/>
          <w:right w:w="108" w:type="dxa"/>
        </w:tblCellMar>
      </w:tblPr>
      <w:tblGrid>
        <w:gridCol w:w="1162"/>
        <w:gridCol w:w="1454"/>
        <w:gridCol w:w="3191"/>
        <w:gridCol w:w="3479"/>
      </w:tblGrid>
      <w:tr w14:paraId="410C6EC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tcBorders>
              <w:top w:val="single" w:color="auto" w:sz="12" w:space="0"/>
              <w:left w:val="nil"/>
              <w:bottom w:val="nil"/>
              <w:right w:val="single" w:color="auto" w:sz="6" w:space="0"/>
              <w:insideH w:val="nil"/>
              <w:insideV w:val="single" w:sz="6" w:space="0"/>
              <w:tl2br w:val="nil"/>
              <w:tr2bl w:val="nil"/>
            </w:tcBorders>
            <w:vAlign w:val="center"/>
          </w:tcPr>
          <w:p w14:paraId="7A135804">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4"/>
                <w14:textFill>
                  <w14:solidFill>
                    <w14:schemeClr w14:val="tx1"/>
                  </w14:solidFill>
                </w14:textFill>
              </w:rPr>
              <w:t>分区</w:t>
            </w:r>
          </w:p>
        </w:tc>
        <w:tc>
          <w:tcPr>
            <w:tcW w:w="783" w:type="pct"/>
            <w:tcBorders>
              <w:top w:val="single" w:color="auto" w:sz="12" w:space="0"/>
              <w:bottom w:val="nil"/>
              <w:right w:val="single" w:color="auto" w:sz="6" w:space="0"/>
              <w:insideH w:val="nil"/>
              <w:insideV w:val="single" w:sz="6" w:space="0"/>
              <w:tl2br w:val="nil"/>
              <w:tr2bl w:val="nil"/>
            </w:tcBorders>
            <w:vAlign w:val="center"/>
          </w:tcPr>
          <w:p w14:paraId="22673CCA">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2"/>
                <w14:textFill>
                  <w14:solidFill>
                    <w14:schemeClr w14:val="tx1"/>
                  </w14:solidFill>
                </w14:textFill>
              </w:rPr>
              <w:t>措施名称</w:t>
            </w:r>
          </w:p>
        </w:tc>
        <w:tc>
          <w:tcPr>
            <w:tcW w:w="1718" w:type="pct"/>
            <w:tcBorders>
              <w:top w:val="single" w:color="auto" w:sz="12" w:space="0"/>
              <w:bottom w:val="nil"/>
              <w:right w:val="single" w:color="auto" w:sz="6" w:space="0"/>
              <w:insideH w:val="nil"/>
              <w:insideV w:val="single" w:sz="6" w:space="0"/>
              <w:tl2br w:val="nil"/>
              <w:tr2bl w:val="nil"/>
            </w:tcBorders>
            <w:vAlign w:val="center"/>
          </w:tcPr>
          <w:p w14:paraId="62913A7D">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1"/>
                <w14:textFill>
                  <w14:solidFill>
                    <w14:schemeClr w14:val="tx1"/>
                  </w14:solidFill>
                </w14:textFill>
              </w:rPr>
              <w:t>主体设计水土保持工程的措施</w:t>
            </w:r>
          </w:p>
        </w:tc>
        <w:tc>
          <w:tcPr>
            <w:tcW w:w="1874" w:type="pct"/>
            <w:tcBorders>
              <w:top w:val="single" w:color="auto" w:sz="12" w:space="0"/>
              <w:bottom w:val="nil"/>
              <w:right w:val="nil"/>
              <w:insideH w:val="nil"/>
              <w:insideV w:val="single" w:sz="6" w:space="0"/>
              <w:tl2br w:val="nil"/>
              <w:tr2bl w:val="nil"/>
            </w:tcBorders>
            <w:vAlign w:val="center"/>
          </w:tcPr>
          <w:p w14:paraId="2F777480">
            <w:pPr>
              <w:pStyle w:val="105"/>
              <w:widowControl w:val="0"/>
              <w:jc w:val="center"/>
              <w:rPr>
                <w:rFonts w:eastAsia="New York"/>
                <w:color w:val="000000" w:themeColor="text1"/>
                <w14:textFill>
                  <w14:solidFill>
                    <w14:schemeClr w14:val="tx1"/>
                  </w14:solidFill>
                </w14:textFill>
              </w:rPr>
            </w:pPr>
            <w:r>
              <w:rPr>
                <w:rFonts w:hint="eastAsia" w:ascii="宋体" w:hAnsi="宋体" w:eastAsia="宋体"/>
                <w:color w:val="000000" w:themeColor="text1"/>
                <w:spacing w:val="-1"/>
                <w14:textFill>
                  <w14:solidFill>
                    <w14:schemeClr w14:val="tx1"/>
                  </w14:solidFill>
                </w14:textFill>
              </w:rPr>
              <w:t>水保方案新增的水土保持措</w:t>
            </w:r>
            <w:r>
              <w:rPr>
                <w:rFonts w:eastAsia="New York"/>
                <w:color w:val="000000" w:themeColor="text1"/>
                <w:spacing w:val="5"/>
                <w14:textFill>
                  <w14:solidFill>
                    <w14:schemeClr w14:val="tx1"/>
                  </w14:solidFill>
                </w14:textFill>
              </w:rPr>
              <w:t xml:space="preserve"> </w:t>
            </w:r>
            <w:r>
              <w:rPr>
                <w:rFonts w:hint="eastAsia" w:ascii="宋体" w:hAnsi="宋体" w:eastAsia="宋体"/>
                <w:color w:val="000000" w:themeColor="text1"/>
                <w14:textFill>
                  <w14:solidFill>
                    <w14:schemeClr w14:val="tx1"/>
                  </w14:solidFill>
                </w14:textFill>
              </w:rPr>
              <w:t>施</w:t>
            </w:r>
          </w:p>
        </w:tc>
      </w:tr>
      <w:tr w14:paraId="4084C7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restart"/>
            <w:vAlign w:val="center"/>
          </w:tcPr>
          <w:p w14:paraId="45ADC1A0">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路基工程</w:t>
            </w:r>
          </w:p>
          <w:p w14:paraId="1ECA79FB">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防治</w:t>
            </w:r>
          </w:p>
          <w:p w14:paraId="24FA3F5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区</w:t>
            </w:r>
          </w:p>
        </w:tc>
        <w:tc>
          <w:tcPr>
            <w:tcW w:w="783" w:type="pct"/>
            <w:vAlign w:val="center"/>
          </w:tcPr>
          <w:p w14:paraId="43DA01DC">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工程措施</w:t>
            </w:r>
          </w:p>
        </w:tc>
        <w:tc>
          <w:tcPr>
            <w:tcW w:w="1718" w:type="pct"/>
            <w:vAlign w:val="center"/>
          </w:tcPr>
          <w:p w14:paraId="7F3B6590">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排水沟</w:t>
            </w:r>
          </w:p>
        </w:tc>
        <w:tc>
          <w:tcPr>
            <w:tcW w:w="1874" w:type="pct"/>
            <w:vAlign w:val="center"/>
          </w:tcPr>
          <w:p w14:paraId="13548D33">
            <w:pPr>
              <w:pStyle w:val="105"/>
              <w:widowControl w:val="0"/>
              <w:jc w:val="center"/>
              <w:rPr>
                <w:color w:val="000000" w:themeColor="text1"/>
                <w14:textFill>
                  <w14:solidFill>
                    <w14:schemeClr w14:val="tx1"/>
                  </w14:solidFill>
                </w14:textFill>
              </w:rPr>
            </w:pPr>
            <w:r>
              <w:rPr>
                <w:color w:val="000000" w:themeColor="text1"/>
                <w:spacing w:val="-18"/>
                <w14:textFill>
                  <w14:solidFill>
                    <w14:schemeClr w14:val="tx1"/>
                  </w14:solidFill>
                </w14:textFill>
              </w:rPr>
              <w:t>表土剥离、覆土、土地整治、</w:t>
            </w:r>
            <w:r>
              <w:rPr>
                <w:color w:val="000000" w:themeColor="text1"/>
                <w:spacing w:val="8"/>
                <w14:textFill>
                  <w14:solidFill>
                    <w14:schemeClr w14:val="tx1"/>
                  </w14:solidFill>
                </w14:textFill>
              </w:rPr>
              <w:t xml:space="preserve"> </w:t>
            </w:r>
            <w:r>
              <w:rPr>
                <w:color w:val="000000" w:themeColor="text1"/>
                <w:spacing w:val="-3"/>
                <w14:textFill>
                  <w14:solidFill>
                    <w14:schemeClr w14:val="tx1"/>
                  </w14:solidFill>
                </w14:textFill>
              </w:rPr>
              <w:t>沉沙池</w:t>
            </w:r>
          </w:p>
        </w:tc>
      </w:tr>
      <w:tr w14:paraId="446BCA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1F00AB3D">
            <w:pPr>
              <w:pStyle w:val="105"/>
              <w:widowControl w:val="0"/>
              <w:jc w:val="center"/>
              <w:rPr>
                <w:color w:val="000000" w:themeColor="text1"/>
                <w14:textFill>
                  <w14:solidFill>
                    <w14:schemeClr w14:val="tx1"/>
                  </w14:solidFill>
                </w14:textFill>
              </w:rPr>
            </w:pPr>
          </w:p>
        </w:tc>
        <w:tc>
          <w:tcPr>
            <w:tcW w:w="783" w:type="pct"/>
            <w:vAlign w:val="center"/>
          </w:tcPr>
          <w:p w14:paraId="45BF6818">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718" w:type="pct"/>
            <w:vAlign w:val="center"/>
          </w:tcPr>
          <w:p w14:paraId="36646FA4">
            <w:pPr>
              <w:pStyle w:val="105"/>
              <w:widowControl w:val="0"/>
              <w:jc w:val="center"/>
              <w:rPr>
                <w:color w:val="000000" w:themeColor="text1"/>
                <w14:textFill>
                  <w14:solidFill>
                    <w14:schemeClr w14:val="tx1"/>
                  </w14:solidFill>
                </w14:textFill>
              </w:rPr>
            </w:pPr>
            <w:r>
              <w:rPr>
                <w:color w:val="000000" w:themeColor="text1"/>
                <w:spacing w:val="-4"/>
                <w14:textFill>
                  <w14:solidFill>
                    <w14:schemeClr w14:val="tx1"/>
                  </w14:solidFill>
                </w14:textFill>
              </w:rPr>
              <w:t>景观绿化</w:t>
            </w:r>
          </w:p>
        </w:tc>
        <w:tc>
          <w:tcPr>
            <w:tcW w:w="1874" w:type="pct"/>
            <w:vAlign w:val="center"/>
          </w:tcPr>
          <w:p w14:paraId="08B33A24">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r w14:paraId="4D4522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2B3E45A0">
            <w:pPr>
              <w:pStyle w:val="105"/>
              <w:widowControl w:val="0"/>
              <w:jc w:val="center"/>
              <w:rPr>
                <w:color w:val="000000" w:themeColor="text1"/>
                <w14:textFill>
                  <w14:solidFill>
                    <w14:schemeClr w14:val="tx1"/>
                  </w14:solidFill>
                </w14:textFill>
              </w:rPr>
            </w:pPr>
          </w:p>
        </w:tc>
        <w:tc>
          <w:tcPr>
            <w:tcW w:w="783" w:type="pct"/>
            <w:vAlign w:val="center"/>
          </w:tcPr>
          <w:p w14:paraId="70A67A3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718" w:type="pct"/>
            <w:vAlign w:val="center"/>
          </w:tcPr>
          <w:p w14:paraId="44C5E0E5">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40C9C75C">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排水沟、</w:t>
            </w:r>
            <w:bookmarkStart w:id="829" w:name="hmcheck_5b7778299e944d2fac9b7bc20c4d3432"/>
            <w:r>
              <w:rPr>
                <w:rFonts w:hint="eastAsia"/>
                <w:color w:val="000000" w:themeColor="text1"/>
                <w:spacing w:val="-8"/>
                <w:shd w:val="clear" w:fill="FFAFAA"/>
                <w14:textFill>
                  <w14:solidFill>
                    <w14:schemeClr w14:val="tx1"/>
                  </w14:solidFill>
                </w14:textFill>
              </w:rPr>
              <w:t>沉砂池</w:t>
            </w:r>
            <w:bookmarkEnd w:id="829"/>
            <w:r>
              <w:rPr>
                <w:color w:val="000000" w:themeColor="text1"/>
                <w:spacing w:val="-8"/>
                <w14:textFill>
                  <w14:solidFill>
                    <w14:schemeClr w14:val="tx1"/>
                  </w14:solidFill>
                </w14:textFill>
              </w:rPr>
              <w:t>、密目网苫</w:t>
            </w:r>
            <w:r>
              <w:rPr>
                <w:color w:val="000000" w:themeColor="text1"/>
                <w:spacing w:val="9"/>
                <w14:textFill>
                  <w14:solidFill>
                    <w14:schemeClr w14:val="tx1"/>
                  </w14:solidFill>
                </w14:textFill>
              </w:rPr>
              <w:t xml:space="preserve"> </w:t>
            </w:r>
            <w:r>
              <w:rPr>
                <w:color w:val="000000" w:themeColor="text1"/>
                <w14:textFill>
                  <w14:solidFill>
                    <w14:schemeClr w14:val="tx1"/>
                  </w14:solidFill>
                </w14:textFill>
              </w:rPr>
              <w:t>盖</w:t>
            </w:r>
          </w:p>
        </w:tc>
      </w:tr>
      <w:tr w14:paraId="768E09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restart"/>
            <w:vAlign w:val="center"/>
          </w:tcPr>
          <w:p w14:paraId="4A975C9A">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边坡</w:t>
            </w:r>
            <w:r>
              <w:rPr>
                <w:color w:val="000000" w:themeColor="text1"/>
                <w:spacing w:val="-7"/>
                <w14:textFill>
                  <w14:solidFill>
                    <w14:schemeClr w14:val="tx1"/>
                  </w14:solidFill>
                </w14:textFill>
              </w:rPr>
              <w:t>防护</w:t>
            </w:r>
            <w:r>
              <w:rPr>
                <w:color w:val="000000" w:themeColor="text1"/>
                <w:spacing w:val="-3"/>
                <w14:textFill>
                  <w14:solidFill>
                    <w14:schemeClr w14:val="tx1"/>
                  </w14:solidFill>
                </w14:textFill>
              </w:rPr>
              <w:t>工程</w:t>
            </w:r>
            <w:r>
              <w:rPr>
                <w:color w:val="000000" w:themeColor="text1"/>
                <w:spacing w:val="-7"/>
                <w14:textFill>
                  <w14:solidFill>
                    <w14:schemeClr w14:val="tx1"/>
                  </w14:solidFill>
                </w14:textFill>
              </w:rPr>
              <w:t>防治</w:t>
            </w:r>
            <w:r>
              <w:rPr>
                <w:color w:val="000000" w:themeColor="text1"/>
                <w14:textFill>
                  <w14:solidFill>
                    <w14:schemeClr w14:val="tx1"/>
                  </w14:solidFill>
                </w14:textFill>
              </w:rPr>
              <w:t>区</w:t>
            </w:r>
          </w:p>
        </w:tc>
        <w:tc>
          <w:tcPr>
            <w:tcW w:w="783" w:type="pct"/>
            <w:vAlign w:val="center"/>
          </w:tcPr>
          <w:p w14:paraId="17F25338">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工程措施</w:t>
            </w:r>
          </w:p>
        </w:tc>
        <w:tc>
          <w:tcPr>
            <w:tcW w:w="1718" w:type="pct"/>
            <w:vAlign w:val="center"/>
          </w:tcPr>
          <w:p w14:paraId="0D9BD6ED">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截（排）水沟、急流槽、拱形骨架护坡</w:t>
            </w:r>
          </w:p>
        </w:tc>
        <w:tc>
          <w:tcPr>
            <w:tcW w:w="1874" w:type="pct"/>
            <w:vAlign w:val="center"/>
          </w:tcPr>
          <w:p w14:paraId="4B5D7777">
            <w:pPr>
              <w:pStyle w:val="105"/>
              <w:widowControl w:val="0"/>
              <w:jc w:val="center"/>
              <w:rPr>
                <w:color w:val="000000" w:themeColor="text1"/>
                <w14:textFill>
                  <w14:solidFill>
                    <w14:schemeClr w14:val="tx1"/>
                  </w14:solidFill>
                </w14:textFill>
              </w:rPr>
            </w:pPr>
            <w:r>
              <w:rPr>
                <w:color w:val="000000" w:themeColor="text1"/>
                <w:spacing w:val="-18"/>
                <w14:textFill>
                  <w14:solidFill>
                    <w14:schemeClr w14:val="tx1"/>
                  </w14:solidFill>
                </w14:textFill>
              </w:rPr>
              <w:t>表土剥离、覆土、土地整治、</w:t>
            </w:r>
            <w:r>
              <w:rPr>
                <w:color w:val="000000" w:themeColor="text1"/>
                <w:spacing w:val="8"/>
                <w14:textFill>
                  <w14:solidFill>
                    <w14:schemeClr w14:val="tx1"/>
                  </w14:solidFill>
                </w14:textFill>
              </w:rPr>
              <w:t xml:space="preserve"> </w:t>
            </w:r>
            <w:r>
              <w:rPr>
                <w:color w:val="000000" w:themeColor="text1"/>
                <w:spacing w:val="-3"/>
                <w14:textFill>
                  <w14:solidFill>
                    <w14:schemeClr w14:val="tx1"/>
                  </w14:solidFill>
                </w14:textFill>
              </w:rPr>
              <w:t>沉沙池</w:t>
            </w:r>
          </w:p>
        </w:tc>
      </w:tr>
      <w:tr w14:paraId="7BBA55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09F7D18F">
            <w:pPr>
              <w:pStyle w:val="105"/>
              <w:widowControl w:val="0"/>
              <w:jc w:val="center"/>
              <w:rPr>
                <w:color w:val="000000" w:themeColor="text1"/>
                <w14:textFill>
                  <w14:solidFill>
                    <w14:schemeClr w14:val="tx1"/>
                  </w14:solidFill>
                </w14:textFill>
              </w:rPr>
            </w:pPr>
          </w:p>
        </w:tc>
        <w:tc>
          <w:tcPr>
            <w:tcW w:w="783" w:type="pct"/>
            <w:vAlign w:val="center"/>
          </w:tcPr>
          <w:p w14:paraId="7012CCC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718" w:type="pct"/>
            <w:vAlign w:val="center"/>
          </w:tcPr>
          <w:p w14:paraId="05348FE4">
            <w:pPr>
              <w:pStyle w:val="105"/>
              <w:widowControl w:val="0"/>
              <w:jc w:val="center"/>
              <w:rPr>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 xml:space="preserve">TBS </w:t>
            </w:r>
            <w:r>
              <w:rPr>
                <w:color w:val="000000" w:themeColor="text1"/>
                <w14:textFill>
                  <w14:solidFill>
                    <w14:schemeClr w14:val="tx1"/>
                  </w14:solidFill>
                </w14:textFill>
              </w:rPr>
              <w:t>植被护坡、液压喷播植草护坡、骨</w:t>
            </w:r>
            <w:r>
              <w:rPr>
                <w:color w:val="000000" w:themeColor="text1"/>
                <w:spacing w:val="-1"/>
                <w14:textFill>
                  <w14:solidFill>
                    <w14:schemeClr w14:val="tx1"/>
                  </w14:solidFill>
                </w14:textFill>
              </w:rPr>
              <w:t>架内植</w:t>
            </w:r>
            <w:r>
              <w:rPr>
                <w:color w:val="000000" w:themeColor="text1"/>
                <w14:textFill>
                  <w14:solidFill>
                    <w14:schemeClr w14:val="tx1"/>
                  </w14:solidFill>
                </w14:textFill>
              </w:rPr>
              <w:t xml:space="preserve"> </w:t>
            </w:r>
            <w:r>
              <w:rPr>
                <w:color w:val="000000" w:themeColor="text1"/>
                <w:spacing w:val="-3"/>
                <w14:textFill>
                  <w14:solidFill>
                    <w14:schemeClr w14:val="tx1"/>
                  </w14:solidFill>
                </w14:textFill>
              </w:rPr>
              <w:t>草护坡</w:t>
            </w:r>
          </w:p>
        </w:tc>
        <w:tc>
          <w:tcPr>
            <w:tcW w:w="1874" w:type="pct"/>
            <w:vAlign w:val="center"/>
          </w:tcPr>
          <w:p w14:paraId="479B9507">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r w14:paraId="3C62F4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06A8CB61">
            <w:pPr>
              <w:pStyle w:val="105"/>
              <w:widowControl w:val="0"/>
              <w:jc w:val="center"/>
              <w:rPr>
                <w:color w:val="000000" w:themeColor="text1"/>
                <w14:textFill>
                  <w14:solidFill>
                    <w14:schemeClr w14:val="tx1"/>
                  </w14:solidFill>
                </w14:textFill>
              </w:rPr>
            </w:pPr>
          </w:p>
        </w:tc>
        <w:tc>
          <w:tcPr>
            <w:tcW w:w="783" w:type="pct"/>
            <w:vAlign w:val="center"/>
          </w:tcPr>
          <w:p w14:paraId="134A8FE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718" w:type="pct"/>
            <w:vAlign w:val="center"/>
          </w:tcPr>
          <w:p w14:paraId="30A6A821">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231B054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密目网苫盖</w:t>
            </w:r>
          </w:p>
        </w:tc>
      </w:tr>
      <w:tr w14:paraId="4D39D1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restart"/>
            <w:vAlign w:val="center"/>
          </w:tcPr>
          <w:p w14:paraId="0FFD8608">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桥梁</w:t>
            </w:r>
            <w:r>
              <w:rPr>
                <w:color w:val="000000" w:themeColor="text1"/>
                <w:spacing w:val="-3"/>
                <w14:textFill>
                  <w14:solidFill>
                    <w14:schemeClr w14:val="tx1"/>
                  </w14:solidFill>
                </w14:textFill>
              </w:rPr>
              <w:t>工程</w:t>
            </w:r>
            <w:r>
              <w:rPr>
                <w:color w:val="000000" w:themeColor="text1"/>
                <w:spacing w:val="-7"/>
                <w14:textFill>
                  <w14:solidFill>
                    <w14:schemeClr w14:val="tx1"/>
                  </w14:solidFill>
                </w14:textFill>
              </w:rPr>
              <w:t>防治</w:t>
            </w:r>
            <w:r>
              <w:rPr>
                <w:color w:val="000000" w:themeColor="text1"/>
                <w14:textFill>
                  <w14:solidFill>
                    <w14:schemeClr w14:val="tx1"/>
                  </w14:solidFill>
                </w14:textFill>
              </w:rPr>
              <w:t>区</w:t>
            </w:r>
          </w:p>
        </w:tc>
        <w:tc>
          <w:tcPr>
            <w:tcW w:w="783" w:type="pct"/>
            <w:vAlign w:val="center"/>
          </w:tcPr>
          <w:p w14:paraId="25F85355">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工程措施</w:t>
            </w:r>
          </w:p>
        </w:tc>
        <w:tc>
          <w:tcPr>
            <w:tcW w:w="1718" w:type="pct"/>
            <w:vAlign w:val="center"/>
          </w:tcPr>
          <w:p w14:paraId="42732123">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535DCB2D">
            <w:pPr>
              <w:pStyle w:val="105"/>
              <w:widowControl w:val="0"/>
              <w:jc w:val="center"/>
              <w:rPr>
                <w:color w:val="000000" w:themeColor="text1"/>
                <w14:textFill>
                  <w14:solidFill>
                    <w14:schemeClr w14:val="tx1"/>
                  </w14:solidFill>
                </w14:textFill>
              </w:rPr>
            </w:pPr>
            <w:r>
              <w:rPr>
                <w:color w:val="000000" w:themeColor="text1"/>
                <w:spacing w:val="-1"/>
                <w14:textFill>
                  <w14:solidFill>
                    <w14:schemeClr w14:val="tx1"/>
                  </w14:solidFill>
                </w14:textFill>
              </w:rPr>
              <w:t>表土剥离</w:t>
            </w:r>
          </w:p>
        </w:tc>
      </w:tr>
      <w:tr w14:paraId="2B2B88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76C97253">
            <w:pPr>
              <w:pStyle w:val="105"/>
              <w:widowControl w:val="0"/>
              <w:jc w:val="center"/>
              <w:rPr>
                <w:color w:val="000000" w:themeColor="text1"/>
                <w14:textFill>
                  <w14:solidFill>
                    <w14:schemeClr w14:val="tx1"/>
                  </w14:solidFill>
                </w14:textFill>
              </w:rPr>
            </w:pPr>
          </w:p>
        </w:tc>
        <w:tc>
          <w:tcPr>
            <w:tcW w:w="783" w:type="pct"/>
            <w:vAlign w:val="center"/>
          </w:tcPr>
          <w:p w14:paraId="1FF7840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718" w:type="pct"/>
            <w:vAlign w:val="center"/>
          </w:tcPr>
          <w:p w14:paraId="7359FD53">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7CA83F25">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r>
      <w:tr w14:paraId="5848BA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46A3AF54">
            <w:pPr>
              <w:pStyle w:val="105"/>
              <w:widowControl w:val="0"/>
              <w:jc w:val="center"/>
              <w:rPr>
                <w:color w:val="000000" w:themeColor="text1"/>
                <w14:textFill>
                  <w14:solidFill>
                    <w14:schemeClr w14:val="tx1"/>
                  </w14:solidFill>
                </w14:textFill>
              </w:rPr>
            </w:pPr>
          </w:p>
        </w:tc>
        <w:tc>
          <w:tcPr>
            <w:tcW w:w="783" w:type="pct"/>
            <w:vAlign w:val="center"/>
          </w:tcPr>
          <w:p w14:paraId="6160CD8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718" w:type="pct"/>
            <w:vAlign w:val="center"/>
          </w:tcPr>
          <w:p w14:paraId="1AB65DEA">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366BD036">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排水沟、泥浆沉淀池、密目</w:t>
            </w:r>
            <w:r>
              <w:rPr>
                <w:color w:val="000000" w:themeColor="text1"/>
                <w:spacing w:val="9"/>
                <w14:textFill>
                  <w14:solidFill>
                    <w14:schemeClr w14:val="tx1"/>
                  </w14:solidFill>
                </w14:textFill>
              </w:rPr>
              <w:t xml:space="preserve"> </w:t>
            </w:r>
            <w:r>
              <w:rPr>
                <w:color w:val="000000" w:themeColor="text1"/>
                <w:spacing w:val="-7"/>
                <w14:textFill>
                  <w14:solidFill>
                    <w14:schemeClr w14:val="tx1"/>
                  </w14:solidFill>
                </w14:textFill>
              </w:rPr>
              <w:t>网苫盖</w:t>
            </w:r>
          </w:p>
        </w:tc>
      </w:tr>
      <w:tr w14:paraId="02FE52A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restart"/>
            <w:vAlign w:val="center"/>
          </w:tcPr>
          <w:p w14:paraId="65568982">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施工场地</w:t>
            </w:r>
            <w:r>
              <w:rPr>
                <w:color w:val="000000" w:themeColor="text1"/>
                <w:spacing w:val="-7"/>
                <w14:textFill>
                  <w14:solidFill>
                    <w14:schemeClr w14:val="tx1"/>
                  </w14:solidFill>
                </w14:textFill>
              </w:rPr>
              <w:t>防治</w:t>
            </w:r>
            <w:r>
              <w:rPr>
                <w:color w:val="000000" w:themeColor="text1"/>
                <w14:textFill>
                  <w14:solidFill>
                    <w14:schemeClr w14:val="tx1"/>
                  </w14:solidFill>
                </w14:textFill>
              </w:rPr>
              <w:t>区</w:t>
            </w:r>
          </w:p>
        </w:tc>
        <w:tc>
          <w:tcPr>
            <w:tcW w:w="783" w:type="pct"/>
            <w:vAlign w:val="center"/>
          </w:tcPr>
          <w:p w14:paraId="31FEA4D6">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工程措施</w:t>
            </w:r>
          </w:p>
        </w:tc>
        <w:tc>
          <w:tcPr>
            <w:tcW w:w="1718" w:type="pct"/>
            <w:vAlign w:val="center"/>
          </w:tcPr>
          <w:p w14:paraId="60EBA4D9">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0740E742">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表土剥离、覆土、土地整治</w:t>
            </w:r>
          </w:p>
        </w:tc>
      </w:tr>
      <w:tr w14:paraId="758237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7F696304">
            <w:pPr>
              <w:pStyle w:val="105"/>
              <w:widowControl w:val="0"/>
              <w:jc w:val="center"/>
              <w:rPr>
                <w:color w:val="000000" w:themeColor="text1"/>
                <w14:textFill>
                  <w14:solidFill>
                    <w14:schemeClr w14:val="tx1"/>
                  </w14:solidFill>
                </w14:textFill>
              </w:rPr>
            </w:pPr>
          </w:p>
        </w:tc>
        <w:tc>
          <w:tcPr>
            <w:tcW w:w="783" w:type="pct"/>
            <w:vAlign w:val="center"/>
          </w:tcPr>
          <w:p w14:paraId="3D86423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718" w:type="pct"/>
            <w:vAlign w:val="center"/>
          </w:tcPr>
          <w:p w14:paraId="59EB6D1A">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21DF7EBF">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撒播狗牙根草籽</w:t>
            </w:r>
          </w:p>
        </w:tc>
      </w:tr>
      <w:tr w14:paraId="57CA27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4416C4F5">
            <w:pPr>
              <w:pStyle w:val="105"/>
              <w:widowControl w:val="0"/>
              <w:jc w:val="center"/>
              <w:rPr>
                <w:color w:val="000000" w:themeColor="text1"/>
                <w14:textFill>
                  <w14:solidFill>
                    <w14:schemeClr w14:val="tx1"/>
                  </w14:solidFill>
                </w14:textFill>
              </w:rPr>
            </w:pPr>
          </w:p>
        </w:tc>
        <w:tc>
          <w:tcPr>
            <w:tcW w:w="783" w:type="pct"/>
            <w:vAlign w:val="center"/>
          </w:tcPr>
          <w:p w14:paraId="0AD5C8A9">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718" w:type="pct"/>
            <w:vAlign w:val="center"/>
          </w:tcPr>
          <w:p w14:paraId="286F00AA">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49E68397">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排水沟、沉沙池</w:t>
            </w:r>
          </w:p>
        </w:tc>
      </w:tr>
      <w:tr w14:paraId="0D533C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restart"/>
            <w:vAlign w:val="center"/>
          </w:tcPr>
          <w:p w14:paraId="21F81EFA">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施工便道</w:t>
            </w:r>
            <w:r>
              <w:rPr>
                <w:color w:val="000000" w:themeColor="text1"/>
                <w:spacing w:val="-7"/>
                <w14:textFill>
                  <w14:solidFill>
                    <w14:schemeClr w14:val="tx1"/>
                  </w14:solidFill>
                </w14:textFill>
              </w:rPr>
              <w:t>防治</w:t>
            </w:r>
            <w:r>
              <w:rPr>
                <w:color w:val="000000" w:themeColor="text1"/>
                <w14:textFill>
                  <w14:solidFill>
                    <w14:schemeClr w14:val="tx1"/>
                  </w14:solidFill>
                </w14:textFill>
              </w:rPr>
              <w:t>区</w:t>
            </w:r>
          </w:p>
        </w:tc>
        <w:tc>
          <w:tcPr>
            <w:tcW w:w="783" w:type="pct"/>
            <w:vAlign w:val="center"/>
          </w:tcPr>
          <w:p w14:paraId="6007A8EE">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工程措施</w:t>
            </w:r>
          </w:p>
        </w:tc>
        <w:tc>
          <w:tcPr>
            <w:tcW w:w="1718" w:type="pct"/>
            <w:vAlign w:val="center"/>
          </w:tcPr>
          <w:p w14:paraId="5B33FFB7">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78EA317E">
            <w:pPr>
              <w:pStyle w:val="105"/>
              <w:widowControl w:val="0"/>
              <w:jc w:val="center"/>
              <w:rPr>
                <w:color w:val="000000" w:themeColor="text1"/>
                <w14:textFill>
                  <w14:solidFill>
                    <w14:schemeClr w14:val="tx1"/>
                  </w14:solidFill>
                </w14:textFill>
              </w:rPr>
            </w:pPr>
            <w:r>
              <w:rPr>
                <w:color w:val="000000" w:themeColor="text1"/>
                <w:spacing w:val="-7"/>
                <w14:textFill>
                  <w14:solidFill>
                    <w14:schemeClr w14:val="tx1"/>
                  </w14:solidFill>
                </w14:textFill>
              </w:rPr>
              <w:t>表土剥离、覆土、土地整治</w:t>
            </w:r>
          </w:p>
        </w:tc>
      </w:tr>
      <w:tr w14:paraId="2DB918E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3EA7619D">
            <w:pPr>
              <w:pStyle w:val="105"/>
              <w:widowControl w:val="0"/>
              <w:jc w:val="center"/>
              <w:rPr>
                <w:color w:val="000000" w:themeColor="text1"/>
                <w14:textFill>
                  <w14:solidFill>
                    <w14:schemeClr w14:val="tx1"/>
                  </w14:solidFill>
                </w14:textFill>
              </w:rPr>
            </w:pPr>
          </w:p>
        </w:tc>
        <w:tc>
          <w:tcPr>
            <w:tcW w:w="783" w:type="pct"/>
            <w:vAlign w:val="center"/>
          </w:tcPr>
          <w:p w14:paraId="17E7372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718" w:type="pct"/>
            <w:vAlign w:val="center"/>
          </w:tcPr>
          <w:p w14:paraId="2C38DBEA">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55BD34F6">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撒播狗牙根草籽</w:t>
            </w:r>
          </w:p>
        </w:tc>
      </w:tr>
      <w:tr w14:paraId="4058899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0D15A425">
            <w:pPr>
              <w:pStyle w:val="105"/>
              <w:widowControl w:val="0"/>
              <w:jc w:val="center"/>
              <w:rPr>
                <w:color w:val="000000" w:themeColor="text1"/>
                <w14:textFill>
                  <w14:solidFill>
                    <w14:schemeClr w14:val="tx1"/>
                  </w14:solidFill>
                </w14:textFill>
              </w:rPr>
            </w:pPr>
          </w:p>
        </w:tc>
        <w:tc>
          <w:tcPr>
            <w:tcW w:w="783" w:type="pct"/>
            <w:vAlign w:val="center"/>
          </w:tcPr>
          <w:p w14:paraId="032BF972">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718" w:type="pct"/>
            <w:vAlign w:val="center"/>
          </w:tcPr>
          <w:p w14:paraId="374FCAF1">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7DE43528">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排水沟、沉沙池</w:t>
            </w:r>
          </w:p>
        </w:tc>
      </w:tr>
      <w:tr w14:paraId="2FC6A6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restart"/>
            <w:vAlign w:val="center"/>
          </w:tcPr>
          <w:p w14:paraId="6E75F8E7">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表土</w:t>
            </w:r>
            <w:r>
              <w:rPr>
                <w:color w:val="000000" w:themeColor="text1"/>
                <w14:textFill>
                  <w14:solidFill>
                    <w14:schemeClr w14:val="tx1"/>
                  </w14:solidFill>
                </w14:textFill>
              </w:rPr>
              <w:t>临时</w:t>
            </w:r>
            <w:r>
              <w:rPr>
                <w:color w:val="000000" w:themeColor="text1"/>
                <w:spacing w:val="-3"/>
                <w14:textFill>
                  <w14:solidFill>
                    <w14:schemeClr w14:val="tx1"/>
                  </w14:solidFill>
                </w14:textFill>
              </w:rPr>
              <w:t>堆场</w:t>
            </w:r>
            <w:r>
              <w:rPr>
                <w:color w:val="000000" w:themeColor="text1"/>
                <w:spacing w:val="-7"/>
                <w14:textFill>
                  <w14:solidFill>
                    <w14:schemeClr w14:val="tx1"/>
                  </w14:solidFill>
                </w14:textFill>
              </w:rPr>
              <w:t>防治</w:t>
            </w:r>
            <w:r>
              <w:rPr>
                <w:color w:val="000000" w:themeColor="text1"/>
                <w14:textFill>
                  <w14:solidFill>
                    <w14:schemeClr w14:val="tx1"/>
                  </w14:solidFill>
                </w14:textFill>
              </w:rPr>
              <w:t>区</w:t>
            </w:r>
          </w:p>
        </w:tc>
        <w:tc>
          <w:tcPr>
            <w:tcW w:w="783" w:type="pct"/>
            <w:vAlign w:val="center"/>
          </w:tcPr>
          <w:p w14:paraId="70C3071F">
            <w:pPr>
              <w:pStyle w:val="105"/>
              <w:widowControl w:val="0"/>
              <w:jc w:val="center"/>
              <w:rPr>
                <w:color w:val="000000" w:themeColor="text1"/>
                <w14:textFill>
                  <w14:solidFill>
                    <w14:schemeClr w14:val="tx1"/>
                  </w14:solidFill>
                </w14:textFill>
              </w:rPr>
            </w:pPr>
            <w:r>
              <w:rPr>
                <w:color w:val="000000" w:themeColor="text1"/>
                <w:spacing w:val="-3"/>
                <w14:textFill>
                  <w14:solidFill>
                    <w14:schemeClr w14:val="tx1"/>
                  </w14:solidFill>
                </w14:textFill>
              </w:rPr>
              <w:t>工程措施</w:t>
            </w:r>
          </w:p>
        </w:tc>
        <w:tc>
          <w:tcPr>
            <w:tcW w:w="1718" w:type="pct"/>
            <w:vAlign w:val="center"/>
          </w:tcPr>
          <w:p w14:paraId="390659D8">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063EF2E4">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土地整治</w:t>
            </w:r>
          </w:p>
        </w:tc>
      </w:tr>
      <w:tr w14:paraId="13952B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1C27047F">
            <w:pPr>
              <w:pStyle w:val="105"/>
              <w:widowControl w:val="0"/>
              <w:jc w:val="center"/>
              <w:rPr>
                <w:color w:val="000000" w:themeColor="text1"/>
                <w14:textFill>
                  <w14:solidFill>
                    <w14:schemeClr w14:val="tx1"/>
                  </w14:solidFill>
                </w14:textFill>
              </w:rPr>
            </w:pPr>
          </w:p>
        </w:tc>
        <w:tc>
          <w:tcPr>
            <w:tcW w:w="783" w:type="pct"/>
            <w:vAlign w:val="center"/>
          </w:tcPr>
          <w:p w14:paraId="5E8C49B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植物措施</w:t>
            </w:r>
          </w:p>
        </w:tc>
        <w:tc>
          <w:tcPr>
            <w:tcW w:w="1718" w:type="pct"/>
            <w:vAlign w:val="center"/>
          </w:tcPr>
          <w:p w14:paraId="3D5B88D6">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75CEA660">
            <w:pPr>
              <w:pStyle w:val="105"/>
              <w:widowControl w:val="0"/>
              <w:jc w:val="center"/>
              <w:rPr>
                <w:color w:val="000000" w:themeColor="text1"/>
                <w14:textFill>
                  <w14:solidFill>
                    <w14:schemeClr w14:val="tx1"/>
                  </w14:solidFill>
                </w14:textFill>
              </w:rPr>
            </w:pPr>
            <w:r>
              <w:rPr>
                <w:color w:val="000000" w:themeColor="text1"/>
                <w:spacing w:val="-2"/>
                <w14:textFill>
                  <w14:solidFill>
                    <w14:schemeClr w14:val="tx1"/>
                  </w14:solidFill>
                </w14:textFill>
              </w:rPr>
              <w:t>撒播狗牙根草籽</w:t>
            </w:r>
          </w:p>
        </w:tc>
      </w:tr>
      <w:tr w14:paraId="24ADAD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28" w:type="dxa"/>
            <w:left w:w="108" w:type="dxa"/>
            <w:bottom w:w="28" w:type="dxa"/>
            <w:right w:w="108" w:type="dxa"/>
          </w:tblCellMar>
        </w:tblPrEx>
        <w:trPr>
          <w:trHeight w:val="284" w:hRule="atLeast"/>
        </w:trPr>
        <w:tc>
          <w:tcPr>
            <w:tcW w:w="626" w:type="pct"/>
            <w:vMerge w:val="continue"/>
            <w:vAlign w:val="center"/>
          </w:tcPr>
          <w:p w14:paraId="24D3B89A">
            <w:pPr>
              <w:pStyle w:val="105"/>
              <w:widowControl w:val="0"/>
              <w:jc w:val="center"/>
              <w:rPr>
                <w:color w:val="000000" w:themeColor="text1"/>
                <w14:textFill>
                  <w14:solidFill>
                    <w14:schemeClr w14:val="tx1"/>
                  </w14:solidFill>
                </w14:textFill>
              </w:rPr>
            </w:pPr>
          </w:p>
        </w:tc>
        <w:tc>
          <w:tcPr>
            <w:tcW w:w="783" w:type="pct"/>
            <w:vAlign w:val="center"/>
          </w:tcPr>
          <w:p w14:paraId="22ED9EC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临时措施</w:t>
            </w:r>
          </w:p>
        </w:tc>
        <w:tc>
          <w:tcPr>
            <w:tcW w:w="1718" w:type="pct"/>
            <w:vAlign w:val="center"/>
          </w:tcPr>
          <w:p w14:paraId="6ED0A7F4">
            <w:pPr>
              <w:pStyle w:val="105"/>
              <w:widowControl w:val="0"/>
              <w:jc w:val="center"/>
              <w:rPr>
                <w:rFonts w:eastAsia="Times New Roman" w:cs="Times New Roman"/>
                <w:color w:val="000000" w:themeColor="text1"/>
                <w14:textFill>
                  <w14:solidFill>
                    <w14:schemeClr w14:val="tx1"/>
                  </w14:solidFill>
                </w14:textFill>
              </w:rPr>
            </w:pPr>
            <w:r>
              <w:rPr>
                <w:rFonts w:eastAsia="Times New Roman" w:cs="Times New Roman"/>
                <w:color w:val="000000" w:themeColor="text1"/>
                <w14:textFill>
                  <w14:solidFill>
                    <w14:schemeClr w14:val="tx1"/>
                  </w14:solidFill>
                </w14:textFill>
              </w:rPr>
              <w:t>/</w:t>
            </w:r>
          </w:p>
        </w:tc>
        <w:tc>
          <w:tcPr>
            <w:tcW w:w="1874" w:type="pct"/>
            <w:vAlign w:val="center"/>
          </w:tcPr>
          <w:p w14:paraId="1A6B8718">
            <w:pPr>
              <w:pStyle w:val="105"/>
              <w:widowControl w:val="0"/>
              <w:jc w:val="center"/>
              <w:rPr>
                <w:color w:val="000000" w:themeColor="text1"/>
                <w14:textFill>
                  <w14:solidFill>
                    <w14:schemeClr w14:val="tx1"/>
                  </w14:solidFill>
                </w14:textFill>
              </w:rPr>
            </w:pPr>
            <w:r>
              <w:rPr>
                <w:color w:val="000000" w:themeColor="text1"/>
                <w:spacing w:val="-8"/>
                <w14:textFill>
                  <w14:solidFill>
                    <w14:schemeClr w14:val="tx1"/>
                  </w14:solidFill>
                </w14:textFill>
              </w:rPr>
              <w:t>排水沟、沉沙池、编织袋装</w:t>
            </w:r>
            <w:r>
              <w:rPr>
                <w:color w:val="000000" w:themeColor="text1"/>
                <w:spacing w:val="9"/>
                <w14:textFill>
                  <w14:solidFill>
                    <w14:schemeClr w14:val="tx1"/>
                  </w14:solidFill>
                </w14:textFill>
              </w:rPr>
              <w:t xml:space="preserve"> </w:t>
            </w:r>
            <w:r>
              <w:rPr>
                <w:color w:val="000000" w:themeColor="text1"/>
                <w:spacing w:val="-1"/>
                <w14:textFill>
                  <w14:solidFill>
                    <w14:schemeClr w14:val="tx1"/>
                  </w14:solidFill>
                </w14:textFill>
              </w:rPr>
              <w:t>土挡墙、密目网苫盖</w:t>
            </w:r>
          </w:p>
        </w:tc>
      </w:tr>
    </w:tbl>
    <w:p w14:paraId="384D0BCE">
      <w:pPr>
        <w:pStyle w:val="105"/>
        <w:rPr>
          <w:color w:val="000000" w:themeColor="text1"/>
          <w:highlight w:val="yellow"/>
          <w14:textFill>
            <w14:solidFill>
              <w14:schemeClr w14:val="tx1"/>
            </w14:solidFill>
          </w14:textFill>
        </w:rPr>
      </w:pPr>
      <w:r>
        <w:rPr>
          <w:color w:val="000000" w:themeColor="text1"/>
          <w14:textFill>
            <w14:solidFill>
              <w14:schemeClr w14:val="tx1"/>
            </w14:solidFill>
          </w14:textFill>
        </w:rPr>
        <w:drawing>
          <wp:inline distT="0" distB="0" distL="0" distR="0">
            <wp:extent cx="5759450" cy="6132195"/>
            <wp:effectExtent l="0" t="0" r="0" b="190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46" cstate="email"/>
                    <a:stretch>
                      <a:fillRect/>
                    </a:stretch>
                  </pic:blipFill>
                  <pic:spPr>
                    <a:xfrm>
                      <a:off x="0" y="0"/>
                      <a:ext cx="5759450" cy="6132195"/>
                    </a:xfrm>
                    <a:prstGeom prst="rect">
                      <a:avLst/>
                    </a:prstGeom>
                  </pic:spPr>
                </pic:pic>
              </a:graphicData>
            </a:graphic>
          </wp:inline>
        </w:drawing>
      </w:r>
    </w:p>
    <w:p w14:paraId="4A3ECDAA">
      <w:pPr>
        <w:pStyle w:val="122"/>
        <w:rPr>
          <w:color w:val="000000" w:themeColor="text1"/>
          <w14:textFill>
            <w14:solidFill>
              <w14:schemeClr w14:val="tx1"/>
            </w14:solidFill>
          </w14:textFill>
        </w:rPr>
      </w:pPr>
      <w:r>
        <w:rPr>
          <w:rFonts w:hint="eastAsia"/>
          <w:color w:val="000000" w:themeColor="text1"/>
          <w14:textFill>
            <w14:solidFill>
              <w14:schemeClr w14:val="tx1"/>
            </w14:solidFill>
          </w14:textFill>
        </w:rPr>
        <w:t>防治措施体系框图</w:t>
      </w:r>
    </w:p>
    <w:p w14:paraId="63730BF6">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运营期生态环境保护措施</w:t>
      </w:r>
    </w:p>
    <w:p w14:paraId="0BE4471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在主体工程建设施工完毕后，必须选择当地气候适宜的、抗病虫、易成活、快生长的本土植物种类，适时尽早尽快对工程区内外的空地、边坡面、裸露地、空隙地、绿化用地进行植树种草，并加强绿化管理和植被养护，以恢复植被，保持水土，改善生态，美化环境，协调景观。运营期生态环境保护措施主要做好以下几点：</w:t>
      </w:r>
    </w:p>
    <w:p w14:paraId="3F0B88F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（1）主体工程完工后，应对工程裸地进行植被恢复，优先采用乡土植物品种。施工后期应加强对绿化植物的管理与养护，以达到恢复植被、保护路基，以及减少土壤侵蚀的目的。</w:t>
      </w:r>
    </w:p>
    <w:p w14:paraId="5D36B86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）加强公路沿线控制带、人行道的绿化建设，桥墩下可种植</w:t>
      </w:r>
      <w:bookmarkStart w:id="830" w:name="hmcheck_ec592d52dee44aeab1269dbd00002780"/>
      <w:r>
        <w:rPr>
          <w:rFonts w:hint="eastAsia"/>
          <w:color w:val="000000" w:themeColor="text1"/>
          <w:shd w:val="clear" w:fill="FFAFAA"/>
          <w14:textFill>
            <w14:solidFill>
              <w14:schemeClr w14:val="tx1"/>
            </w14:solidFill>
          </w14:textFill>
        </w:rPr>
        <w:t>攀沿</w:t>
      </w:r>
      <w:bookmarkEnd w:id="830"/>
      <w:r>
        <w:rPr>
          <w:rFonts w:hint="eastAsia"/>
          <w:color w:val="000000" w:themeColor="text1"/>
          <w14:textFill>
            <w14:solidFill>
              <w14:schemeClr w14:val="tx1"/>
            </w14:solidFill>
          </w14:textFill>
        </w:rPr>
        <w:t>类植物，形成立体绿化，既起到了吸尘降噪的作用又美化了环境。</w:t>
      </w:r>
    </w:p>
    <w:p w14:paraId="54AB79F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）公路管理及养护部门应确保公路绿化林带不受破坏。加强沿线高边坡等极易产生水土流失和安全事故区域的巡查维护，及时增加水土保持工程措施和植物措施，避免因水土流失造成的滑坡、边坡垮塌等事故。</w:t>
      </w:r>
    </w:p>
    <w:p w14:paraId="0F5A3C2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（4）过水涵洞应及时清淤，以保障灌溉水系的通畅。</w:t>
      </w:r>
    </w:p>
    <w:p w14:paraId="7A77C094">
      <w:pPr>
        <w:pStyle w:val="116"/>
        <w:rPr>
          <w:color w:val="000000" w:themeColor="text1"/>
          <w14:textFill>
            <w14:solidFill>
              <w14:schemeClr w14:val="tx1"/>
            </w14:solidFill>
          </w14:textFill>
        </w:rPr>
      </w:pPr>
      <w:bookmarkStart w:id="831" w:name="_Toc159405487"/>
      <w:bookmarkStart w:id="832" w:name="_Toc152236628"/>
      <w:bookmarkStart w:id="833" w:name="_Toc193912393"/>
      <w:bookmarkStart w:id="834" w:name="_Toc154668062"/>
      <w:r>
        <w:rPr>
          <w:rFonts w:hint="eastAsia"/>
          <w:color w:val="000000" w:themeColor="text1"/>
          <w14:textFill>
            <w14:solidFill>
              <w14:schemeClr w14:val="tx1"/>
            </w14:solidFill>
          </w14:textFill>
        </w:rPr>
        <w:t>水污染防治</w:t>
      </w:r>
      <w:r>
        <w:rPr>
          <w:color w:val="000000" w:themeColor="text1"/>
          <w14:textFill>
            <w14:solidFill>
              <w14:schemeClr w14:val="tx1"/>
            </w14:solidFill>
          </w14:textFill>
        </w:rPr>
        <w:t>措施</w:t>
      </w:r>
      <w:bookmarkEnd w:id="831"/>
      <w:bookmarkEnd w:id="832"/>
      <w:bookmarkEnd w:id="833"/>
      <w:bookmarkEnd w:id="834"/>
    </w:p>
    <w:p w14:paraId="2647CA57">
      <w:pPr>
        <w:pStyle w:val="120"/>
        <w:rPr>
          <w:color w:val="000000" w:themeColor="text1"/>
          <w14:textFill>
            <w14:solidFill>
              <w14:schemeClr w14:val="tx1"/>
            </w14:solidFill>
          </w14:textFill>
        </w:rPr>
      </w:pPr>
      <w:r>
        <w:rPr>
          <w:color w:val="000000" w:themeColor="text1"/>
          <w14:textFill>
            <w14:solidFill>
              <w14:schemeClr w14:val="tx1"/>
            </w14:solidFill>
          </w14:textFill>
        </w:rPr>
        <w:t>施工期</w:t>
      </w:r>
      <w:r>
        <w:rPr>
          <w:rFonts w:hint="eastAsia"/>
          <w:color w:val="000000" w:themeColor="text1"/>
          <w14:textFill>
            <w14:solidFill>
              <w14:schemeClr w14:val="tx1"/>
            </w14:solidFill>
          </w14:textFill>
        </w:rPr>
        <w:t>水污染防治</w:t>
      </w:r>
      <w:r>
        <w:rPr>
          <w:color w:val="000000" w:themeColor="text1"/>
          <w14:textFill>
            <w14:solidFill>
              <w14:schemeClr w14:val="tx1"/>
            </w14:solidFill>
          </w14:textFill>
        </w:rPr>
        <w:t>措施</w:t>
      </w:r>
    </w:p>
    <w:p w14:paraId="477A873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（1）施工废水控制措施</w:t>
      </w:r>
    </w:p>
    <w:p w14:paraId="5978AB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①筑路材料（如油料、粉煤灰、水泥、砂、石料等）的运输采用罐装或袋装运输，运输车辆进行加盖处理，避免抛撒。堆放场地不设在水体岸边，避免被雨水冲入水体造成污染。</w:t>
      </w:r>
    </w:p>
    <w:p w14:paraId="33D4600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②施工材料如油漆、油料等有害物质堆放场地设置苫盖，以减少雨水冲刷造成污染。</w:t>
      </w:r>
    </w:p>
    <w:p w14:paraId="2C4C1D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施工废水不直接排入水体。对生产废水（包括预制厂、水稳站生产废水等）采用隔油沉淀进行处理。在施工场地处设隔油沉淀设施，施工生产废水由沉淀池收集，经酸碱中和沉淀、隔油除渣等简单处理后回用，以防止施工废水超标排放引起水质污染。</w:t>
      </w:r>
    </w:p>
    <w:p w14:paraId="106D28E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④沿线农灌沟渠边不得堆放或倾倒任何含有害物质的材料或废弃物，也不得临时弃渣。</w:t>
      </w:r>
    </w:p>
    <w:p w14:paraId="5107E0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⑤施工现场、临时堆场、施工场地和施工便道等应设置以明沟、沉沙池为主的临时排水系统，雨水径流经明沟引流、沉沙池沉淀后排放。</w:t>
      </w:r>
    </w:p>
    <w:p w14:paraId="6F566164">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w:t>
      </w:r>
      <w:r>
        <w:rPr>
          <w:b/>
          <w:bCs/>
          <w:color w:val="000000" w:themeColor="text1"/>
          <w14:textFill>
            <w14:solidFill>
              <w14:schemeClr w14:val="tx1"/>
            </w14:solidFill>
          </w14:textFill>
        </w:rPr>
        <w:t>2</w:t>
      </w:r>
      <w:r>
        <w:rPr>
          <w:rFonts w:hint="eastAsia"/>
          <w:b/>
          <w:bCs/>
          <w:color w:val="000000" w:themeColor="text1"/>
          <w14:textFill>
            <w14:solidFill>
              <w14:schemeClr w14:val="tx1"/>
            </w14:solidFill>
          </w14:textFill>
        </w:rPr>
        <w:t>）</w:t>
      </w:r>
      <w:r>
        <w:rPr>
          <w:b/>
          <w:bCs/>
          <w:color w:val="000000" w:themeColor="text1"/>
          <w14:textFill>
            <w14:solidFill>
              <w14:schemeClr w14:val="tx1"/>
            </w14:solidFill>
          </w14:textFill>
        </w:rPr>
        <w:t>施工生产废水</w:t>
      </w:r>
      <w:r>
        <w:rPr>
          <w:rFonts w:hint="eastAsia"/>
          <w:b/>
          <w:bCs/>
          <w:color w:val="000000" w:themeColor="text1"/>
          <w14:textFill>
            <w14:solidFill>
              <w14:schemeClr w14:val="tx1"/>
            </w14:solidFill>
          </w14:textFill>
        </w:rPr>
        <w:t>、生活污水防治措施</w:t>
      </w:r>
    </w:p>
    <w:p w14:paraId="075EE2F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①含泥沙废水：含泥沙废水主要来自施工场地的</w:t>
      </w:r>
      <w:bookmarkStart w:id="835" w:name="hmcheck_a9a5f46de7ff418c9f0a7aa2f4a17473"/>
      <w:r>
        <w:rPr>
          <w:rFonts w:hint="eastAsia"/>
          <w:color w:val="000000" w:themeColor="text1"/>
          <w:shd w:val="clear" w:fill="FFAFAA"/>
          <w14:textFill>
            <w14:solidFill>
              <w14:schemeClr w14:val="tx1"/>
            </w14:solidFill>
          </w14:textFill>
        </w:rPr>
        <w:t>水稳拌和站</w:t>
      </w:r>
      <w:bookmarkEnd w:id="835"/>
      <w:r>
        <w:rPr>
          <w:rFonts w:hint="eastAsia"/>
          <w:color w:val="000000" w:themeColor="text1"/>
          <w14:textFill>
            <w14:solidFill>
              <w14:schemeClr w14:val="tx1"/>
            </w14:solidFill>
          </w14:textFill>
        </w:rPr>
        <w:t>砂石料冲洗废水，预制场预制件养护废水以及场地冲刷雨水等。由沉淀池收集，经酸碱中和沉淀、隔油除渣等简单处理达到《城市污水再生利用 城市杂用水水质》（GB/T18920-2020）中的建筑施工用水水质标准，</w:t>
      </w:r>
      <w:bookmarkStart w:id="836" w:name="hmcheck_39bd5e1213da48cc861028caec597250"/>
      <w:r>
        <w:rPr>
          <w:rFonts w:hint="eastAsia"/>
          <w:color w:val="000000" w:themeColor="text1"/>
          <w:shd w:val="clear" w:fill="FFAFAA"/>
          <w14:textFill>
            <w14:solidFill>
              <w14:schemeClr w14:val="tx1"/>
            </w14:solidFill>
          </w14:textFill>
        </w:rPr>
        <w:t>回用于</w:t>
      </w:r>
      <w:bookmarkEnd w:id="836"/>
      <w:r>
        <w:rPr>
          <w:rFonts w:hint="eastAsia"/>
          <w:color w:val="000000" w:themeColor="text1"/>
          <w14:textFill>
            <w14:solidFill>
              <w14:schemeClr w14:val="tx1"/>
            </w14:solidFill>
          </w14:textFill>
        </w:rPr>
        <w:t>施工过程、运输车辆冲洗和场地洒水抑尘等。</w:t>
      </w:r>
    </w:p>
    <w:p w14:paraId="6062F0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含油废水：尽量选用先进的设备、机械以有效减少跑冒滴漏的油量及设备的维修次数，不可避免地跑、冒、滴、漏过程中尽量采用固态吸油材料（如棉纱、木屑、吸油纸等），将废油收集转化到固态物质中，避免产生过多的含油污水，对渗漏到土壤的油污应及时利用刮削装置收集封存，交由有资质的单位进行集中处理。施工场地应设置隔油池，少量含油废水经隔油池收集处理，经处理后回用于施工场地洒水抑尘等。</w:t>
      </w:r>
    </w:p>
    <w:p w14:paraId="4A1238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③施工场地出入口设置洗车平台，对出入车辆轮胎进行冲洗，不得带泥上路，不得沿途泄漏、遗撒；洗车平台自然沉降法进行处理，废水经沉淀处理后回用于施工过程、运输车辆冲洗和场地洒水抑尘等。</w:t>
      </w:r>
    </w:p>
    <w:p w14:paraId="7352C09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④施工场地地面必须硬化，设防雨棚和排水系统，场地内不允许积水。</w:t>
      </w:r>
    </w:p>
    <w:p w14:paraId="1B116C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人员</w:t>
      </w:r>
      <w:r>
        <w:rPr>
          <w:color w:val="000000" w:themeColor="text1"/>
          <w14:textFill>
            <w14:solidFill>
              <w14:schemeClr w14:val="tx1"/>
            </w14:solidFill>
          </w14:textFill>
        </w:rPr>
        <w:t>生活污水：</w:t>
      </w:r>
      <w:r>
        <w:rPr>
          <w:rFonts w:hint="eastAsia"/>
          <w:color w:val="000000" w:themeColor="text1"/>
          <w14:textFill>
            <w14:solidFill>
              <w14:schemeClr w14:val="tx1"/>
            </w14:solidFill>
          </w14:textFill>
        </w:rPr>
        <w:t>施工场地不设集中居住区，施工人员就近租用当地的民房，施工期生活污水利用当地居民排水系统处理。项目施工场地设有办公区，施工场地设有值班房，值班房和临时办公区涉及的少量生活污水，通过设置临时化粪池进行收集，委托当地村民清运用于肥田，不外排。</w:t>
      </w:r>
    </w:p>
    <w:p w14:paraId="0CDD026F">
      <w:pPr>
        <w:ind w:firstLine="482"/>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（3）桥梁、改河等涉水工程施工要求</w:t>
      </w:r>
    </w:p>
    <w:p w14:paraId="47DB8F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合理安排好桥梁、改河、涉水涵洞等涉水工程的施工时间，涉水工程基础施工尽量安排在枯水期施工，避免在丰水期施工，特别是洪水期严禁施工。施工单位应与当地气象部门取得联系，在洪水来临前，对施工场地进行处理，避免施工过程中产生的污染物随洪水进入水体。</w:t>
      </w:r>
    </w:p>
    <w:p w14:paraId="2F2D8E5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②施工材料的堆放场地应设围挡措施，并</w:t>
      </w:r>
      <w:bookmarkStart w:id="837" w:name="hmcheck_0c6437658067449b8a010ab27d549f2c"/>
      <w:r>
        <w:rPr>
          <w:rFonts w:hint="eastAsia"/>
          <w:color w:val="000000" w:themeColor="text1"/>
          <w:shd w:val="clear" w:fill="FFAFAA"/>
          <w14:textFill>
            <w14:solidFill>
              <w14:schemeClr w14:val="tx1"/>
            </w14:solidFill>
          </w14:textFill>
        </w:rPr>
        <w:t>加篷</w:t>
      </w:r>
      <w:bookmarkEnd w:id="837"/>
      <w:r>
        <w:rPr>
          <w:rFonts w:hint="eastAsia"/>
          <w:color w:val="000000" w:themeColor="text1"/>
          <w14:textFill>
            <w14:solidFill>
              <w14:schemeClr w14:val="tx1"/>
            </w14:solidFill>
          </w14:textFill>
        </w:rPr>
        <w:t>布覆盖，以免雨水冲刷造成污染，并远离水体；剩余土石方及时转运，严禁弃入河道或河滩，淤塞河道；施工时所产生的废油及其他废物，严禁倾倒或抛入水体；不得在水体附近清洗施工器具、机械等。</w:t>
      </w:r>
    </w:p>
    <w:p w14:paraId="7D615ED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项目桥梁桥墩基础拟采用钻孔灌注桩施工工艺，在钻孔前预先在岸边泥浆循环净化系统。钻孔灌注桩基础施工中泥浆泵至岸边的沉淀池和泥浆池内，部分泥浆回用，无法回用的泥浆经沉淀后上清液回用于绿化或路面洒水，施工结束后钻渣和泥浆与其他弃方一并转运。</w:t>
      </w:r>
    </w:p>
    <w:p w14:paraId="3044387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④桥梁、改河、涉水涵洞等涉水工程基础施工过程中，先采取围堰措施，严禁将施工过程中产生的施工废弃物排入地表水体，涉水工程附近设置必要的排水沟用以疏导施工废水，排水沟土质边坡及时夯实。</w:t>
      </w:r>
    </w:p>
    <w:p w14:paraId="78701F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⑤施工废水不得排入河流。1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施工场地（桥梁预制场）施工生产废水应集中收集，经沉淀、隔油除渣等简单处理后，上清液尽可能回用，或者作为场地洒水抑尘使用，不外排。</w:t>
      </w:r>
    </w:p>
    <w:p w14:paraId="05E4D60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⑥施工结束后，应尽量使施工段河道恢复原貌，注意清理围堰土以及开挖导流明渠产生的土方，避免阻塞河道。</w:t>
      </w:r>
    </w:p>
    <w:p w14:paraId="1675B6D1">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运营期水环境保护措施</w:t>
      </w:r>
    </w:p>
    <w:p w14:paraId="57C2EE8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建设时应严格按照设计要求，完成各种市政管线的建设。</w:t>
      </w:r>
    </w:p>
    <w:p w14:paraId="79FCC46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（2）公路路面和路基设置完善的排水系统，排水系统的边沟设计避免与农田连接。</w:t>
      </w:r>
    </w:p>
    <w:p w14:paraId="42C8FCCE">
      <w:pPr>
        <w:ind w:firstLine="474"/>
        <w:rPr>
          <w:color w:val="000000" w:themeColor="text1"/>
          <w14:textFill>
            <w14:solidFill>
              <w14:schemeClr w14:val="tx1"/>
            </w14:solidFill>
          </w14:textFill>
        </w:rPr>
      </w:pPr>
      <w:r>
        <w:rPr>
          <w:rFonts w:hint="eastAsia" w:cs="Times New Roman"/>
          <w:color w:val="000000" w:themeColor="text1"/>
          <w:spacing w:val="-3"/>
          <w14:textFill>
            <w14:solidFill>
              <w14:schemeClr w14:val="tx1"/>
            </w14:solidFill>
          </w14:textFill>
        </w:rPr>
        <w:t>（3）</w:t>
      </w:r>
      <w:r>
        <w:rPr>
          <w:rFonts w:cs="Times New Roman"/>
          <w:color w:val="000000" w:themeColor="text1"/>
          <w:spacing w:val="-3"/>
          <w14:textFill>
            <w14:solidFill>
              <w14:schemeClr w14:val="tx1"/>
            </w14:solidFill>
          </w14:textFill>
        </w:rPr>
        <w:t>加强公路排水设施的管理，做好日常检修和维护工作，确保路面路况良好状态和</w:t>
      </w:r>
      <w:r>
        <w:rPr>
          <w:rFonts w:hint="eastAsia" w:cs="Times New Roman"/>
          <w:color w:val="000000" w:themeColor="text1"/>
          <w:spacing w:val="-3"/>
          <w14:textFill>
            <w14:solidFill>
              <w14:schemeClr w14:val="tx1"/>
            </w14:solidFill>
          </w14:textFill>
        </w:rPr>
        <w:t>护栏等</w:t>
      </w:r>
      <w:r>
        <w:rPr>
          <w:rFonts w:cs="Times New Roman"/>
          <w:color w:val="000000" w:themeColor="text1"/>
          <w:spacing w:val="-3"/>
          <w14:textFill>
            <w14:solidFill>
              <w14:schemeClr w14:val="tx1"/>
            </w14:solidFill>
          </w14:textFill>
        </w:rPr>
        <w:t>防护设施的完好。</w:t>
      </w:r>
    </w:p>
    <w:p w14:paraId="1EDBCB0C">
      <w:pPr>
        <w:ind w:firstLine="48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制定风险事故应急计划。应急计划应包括指挥机构及相关协作单位的职责和任务，应急技术和处理步骤、设备、器材的配置和布局，人力和物力的保证和调配，事故的动态监测制度，事故发生后的报告制度等。</w:t>
      </w:r>
    </w:p>
    <w:p w14:paraId="69EE2AA2">
      <w:pPr>
        <w:pStyle w:val="116"/>
        <w:rPr>
          <w:color w:val="000000" w:themeColor="text1"/>
          <w14:textFill>
            <w14:solidFill>
              <w14:schemeClr w14:val="tx1"/>
            </w14:solidFill>
          </w14:textFill>
        </w:rPr>
      </w:pPr>
      <w:bookmarkStart w:id="838" w:name="_Toc154668064"/>
      <w:bookmarkStart w:id="839" w:name="_Toc159405488"/>
      <w:bookmarkStart w:id="840" w:name="_Toc193912394"/>
      <w:bookmarkStart w:id="841" w:name="_Toc152236629"/>
      <w:r>
        <w:rPr>
          <w:rFonts w:hint="eastAsia"/>
          <w:color w:val="000000" w:themeColor="text1"/>
          <w14:textFill>
            <w14:solidFill>
              <w14:schemeClr w14:val="tx1"/>
            </w14:solidFill>
          </w14:textFill>
        </w:rPr>
        <w:t>大气污染防治措施</w:t>
      </w:r>
      <w:bookmarkEnd w:id="838"/>
      <w:bookmarkEnd w:id="839"/>
      <w:bookmarkEnd w:id="840"/>
      <w:bookmarkEnd w:id="841"/>
    </w:p>
    <w:p w14:paraId="659666AF">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施工期大气污染防治措施</w:t>
      </w:r>
    </w:p>
    <w:p w14:paraId="3878C6D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项目施工期对区域环境空气的影响主要是扬尘（特别是土石方运输产生的道路扬尘）和沥青烟，项目施工废气对周围环境将产生—定不良影响，要求建设单位和施工单位采取有效的措施控制废气污染。</w:t>
      </w:r>
    </w:p>
    <w:p w14:paraId="5CB8199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（1）设置施工标志牌：施工期间，施工单位应根据《建设工程施工现场管理规定》设置施工标志牌。</w:t>
      </w:r>
    </w:p>
    <w:p w14:paraId="72D7F9E2">
      <w:pPr>
        <w:ind w:firstLine="480"/>
        <w:rPr>
          <w:color w:val="000000" w:themeColor="text1"/>
          <w14:textFill>
            <w14:solidFill>
              <w14:schemeClr w14:val="tx1"/>
            </w14:solidFill>
          </w14:textFill>
        </w:rPr>
      </w:pPr>
      <w:bookmarkStart w:id="842" w:name="_Hlk153874886"/>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）土石方施工扬尘防治措施</w:t>
      </w:r>
    </w:p>
    <w:p w14:paraId="5D58374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①工程开挖土方集中堆放，以缩小扬尘影响范围，及时回填，减少扬尘影响时间，对于距离线路较近的敏感点，应在施工场地周边设置施工围挡，严格控制作业带宽度。</w:t>
      </w:r>
    </w:p>
    <w:p w14:paraId="711B33A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②开挖和拆迁过程中，需洒水作业使土石方保持一定的湿度；对施工场地内松散、干涸的表土应经常洒水防治粉尘；土方回填时，在表层土质干燥时应适当洒水，防止粉尘飞扬。</w:t>
      </w:r>
    </w:p>
    <w:p w14:paraId="0E9889B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③加强回填土方堆放场的管理，采取土方表面压实、定期喷水、覆盖等措施。不需要的建筑材料、弃渣应及时运走，不宜长时间堆积。</w:t>
      </w:r>
    </w:p>
    <w:p w14:paraId="58F58A6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④尽量避免在大风季节施工，遇有大风天气时，禁止进行挖掘、回填等大土方量作业。</w:t>
      </w:r>
    </w:p>
    <w:p w14:paraId="693F409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⑤表土临时堆场应设置合理的挡墙、截排水沟等防护措施，表土堆场应采取覆盖防尘网等降尘措施。</w:t>
      </w:r>
    </w:p>
    <w:bookmarkEnd w:id="842"/>
    <w:p w14:paraId="2F49B02E">
      <w:pPr>
        <w:ind w:firstLine="480"/>
        <w:rPr>
          <w:color w:val="000000" w:themeColor="text1"/>
          <w14:textFill>
            <w14:solidFill>
              <w14:schemeClr w14:val="tx1"/>
            </w14:solidFill>
          </w14:textFill>
        </w:rPr>
      </w:pPr>
      <w:bookmarkStart w:id="843" w:name="_Hlk153874908"/>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）施工场地扬尘防治措施</w:t>
      </w:r>
    </w:p>
    <w:p w14:paraId="2182D46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①施工场地四周应设置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m以上围挡，场地主要道路应硬化并保持清洁，出口处应设置冲洗设施，运输车辆驶出现场前应将槽帮和车轮冲洗干净，严禁带泥出场；物料和垃圾应密闭运输，严禁凌空</w:t>
      </w:r>
      <w:bookmarkStart w:id="844" w:name="hmcheck_f33f5dcf6f09495598bc59f1be01bd37"/>
      <w:r>
        <w:rPr>
          <w:rFonts w:hint="eastAsia"/>
          <w:color w:val="000000" w:themeColor="text1"/>
          <w:shd w:val="clear" w:fill="FFAFAA"/>
          <w14:textFill>
            <w14:solidFill>
              <w14:schemeClr w14:val="tx1"/>
            </w14:solidFill>
          </w14:textFill>
        </w:rPr>
        <w:t>抛撒</w:t>
      </w:r>
      <w:bookmarkEnd w:id="844"/>
      <w:r>
        <w:rPr>
          <w:rFonts w:hint="eastAsia"/>
          <w:color w:val="000000" w:themeColor="text1"/>
          <w14:textFill>
            <w14:solidFill>
              <w14:schemeClr w14:val="tx1"/>
            </w14:solidFill>
          </w14:textFill>
        </w:rPr>
        <w:t>、野蛮装卸；土方、水泥、碎石、石灰等易产生扬尘污染的料堆应采取防风遮挡措施或在库房内存放。</w:t>
      </w:r>
    </w:p>
    <w:p w14:paraId="20DBCA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w:t>
      </w:r>
      <w:bookmarkStart w:id="845" w:name="hmcheck_b4111d172f524bb4871ccfd1fe81bb1a"/>
      <w:r>
        <w:rPr>
          <w:rFonts w:hint="eastAsia"/>
          <w:color w:val="000000" w:themeColor="text1"/>
          <w:shd w:val="clear" w:fill="FFAFAA"/>
          <w14:textFill>
            <w14:solidFill>
              <w14:schemeClr w14:val="tx1"/>
            </w14:solidFill>
          </w14:textFill>
        </w:rPr>
        <w:t>拌和</w:t>
      </w:r>
      <w:bookmarkEnd w:id="845"/>
      <w:r>
        <w:rPr>
          <w:rFonts w:hint="eastAsia"/>
          <w:color w:val="000000" w:themeColor="text1"/>
          <w14:textFill>
            <w14:solidFill>
              <w14:schemeClr w14:val="tx1"/>
            </w14:solidFill>
          </w14:textFill>
        </w:rPr>
        <w:t>设备应加装仓顶除尘滤袋+布袋除尘二级除尘装置。</w:t>
      </w:r>
    </w:p>
    <w:p w14:paraId="50931A1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③工程建设期间，施工场地内车行路径应铺设钢板、混凝土或其他功能相当的材料，出口处硬化路面不小于出口宽度，防止机动车扬尘。</w:t>
      </w:r>
    </w:p>
    <w:p w14:paraId="6A619D9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④施工场内的</w:t>
      </w:r>
      <w:bookmarkStart w:id="846" w:name="hmcheck_2ecdd991d8ce4486bc252a58792a2917"/>
      <w:r>
        <w:rPr>
          <w:rFonts w:hint="eastAsia"/>
          <w:color w:val="000000" w:themeColor="text1"/>
          <w:shd w:val="clear" w:fill="FFAFAA"/>
          <w14:textFill>
            <w14:solidFill>
              <w14:schemeClr w14:val="tx1"/>
            </w14:solidFill>
          </w14:textFill>
        </w:rPr>
        <w:t>水稳拌和站</w:t>
      </w:r>
      <w:bookmarkEnd w:id="846"/>
      <w:r>
        <w:rPr>
          <w:rFonts w:hint="eastAsia"/>
          <w:color w:val="000000" w:themeColor="text1"/>
          <w14:textFill>
            <w14:solidFill>
              <w14:schemeClr w14:val="tx1"/>
            </w14:solidFill>
          </w14:textFill>
        </w:rPr>
        <w:t>不能设在村庄集中区的上风向处。散体建筑材料采用仓库、封闭堆场、储藏罐等形式堆放，避免作业起尘和风蚀起尘。</w:t>
      </w:r>
    </w:p>
    <w:p w14:paraId="5C74878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⑤建筑材料堆场等应定点定位，并采取洒水抑尘、加盖篷布等防扬尘措施。散料堆场应采用水喷淋法防尘，以减少建设过程中使用的建筑材料在装卸、堆放、搅拌过程中的粉尘</w:t>
      </w:r>
      <w:bookmarkStart w:id="847" w:name="hmcheck_83c806980da94690a6538ebe405ed265"/>
      <w:r>
        <w:rPr>
          <w:rFonts w:hint="eastAsia"/>
          <w:color w:val="000000" w:themeColor="text1"/>
          <w:shd w:val="clear" w:fill="FFAFAA"/>
          <w14:textFill>
            <w14:solidFill>
              <w14:schemeClr w14:val="tx1"/>
            </w14:solidFill>
          </w14:textFill>
        </w:rPr>
        <w:t>外逸</w:t>
      </w:r>
      <w:bookmarkEnd w:id="847"/>
      <w:r>
        <w:rPr>
          <w:rFonts w:hint="eastAsia"/>
          <w:color w:val="000000" w:themeColor="text1"/>
          <w14:textFill>
            <w14:solidFill>
              <w14:schemeClr w14:val="tx1"/>
            </w14:solidFill>
          </w14:textFill>
        </w:rPr>
        <w:t>。材料仓库和临时材料堆放应尽量不靠近居民等敏感目标，并防止物料散漏污染。仓库四周应有疏水沟系，防止雨水浸湿，水流引起物料流失。</w:t>
      </w:r>
    </w:p>
    <w:p w14:paraId="1E6ADB9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w:t>
      </w:r>
      <w:r>
        <w:rPr>
          <w:color w:val="000000" w:themeColor="text1"/>
          <w14:textFill>
            <w14:solidFill>
              <w14:schemeClr w14:val="tx1"/>
            </w14:solidFill>
          </w14:textFill>
        </w:rPr>
        <w:t>施工场地应定期进行洒水抑尘，保持一定的湿度，减少施工场地内扬尘的产生</w:t>
      </w:r>
      <w:r>
        <w:rPr>
          <w:rFonts w:hint="eastAsia"/>
          <w:color w:val="000000" w:themeColor="text1"/>
          <w14:textFill>
            <w14:solidFill>
              <w14:schemeClr w14:val="tx1"/>
            </w14:solidFill>
          </w14:textFill>
        </w:rPr>
        <w:t>。</w:t>
      </w:r>
    </w:p>
    <w:p w14:paraId="1CE5971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⑦施工场地出入口配备车辆冲洗平台，配套冲洗废水沉淀池等设施，建立冲洗制度并设专人管理，严禁车辆带泥上路。</w:t>
      </w:r>
      <w:bookmarkEnd w:id="843"/>
    </w:p>
    <w:p w14:paraId="3CF29D79">
      <w:pPr>
        <w:ind w:firstLine="480"/>
        <w:rPr>
          <w:color w:val="000000" w:themeColor="text1"/>
          <w14:textFill>
            <w14:solidFill>
              <w14:schemeClr w14:val="tx1"/>
            </w14:solidFill>
          </w14:textFill>
        </w:rPr>
      </w:pPr>
      <w:bookmarkStart w:id="848" w:name="_Hlk153874930"/>
      <w:r>
        <w:rPr>
          <w:rFonts w:hint="eastAsia"/>
          <w:color w:val="000000" w:themeColor="text1"/>
          <w14:textFill>
            <w14:solidFill>
              <w14:schemeClr w14:val="tx1"/>
            </w14:solidFill>
          </w14:textFill>
        </w:rPr>
        <w:t>（3）运输扬尘防治措施</w:t>
      </w:r>
    </w:p>
    <w:p w14:paraId="563FFB2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lang w:val="zh-CN"/>
          <w14:textFill>
            <w14:solidFill>
              <w14:schemeClr w14:val="tx1"/>
            </w14:solidFill>
          </w14:textFill>
        </w:rPr>
        <w:t>向有关行政主管部门申请运输路线，车辆应当按照批准的路线和时间进行土石方的运输。</w:t>
      </w:r>
    </w:p>
    <w:p w14:paraId="6F823B6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②运输散装材料的车辆应加盖篷布，防止材料散落起尘。运输车辆行至村庄居住敏感目标分布较为集中的路段时，应低速行驶或限速行驶，以减少扬尘产生。</w:t>
      </w:r>
    </w:p>
    <w:p w14:paraId="541D4E0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③运送土石方和建筑材料的车辆应土石方运输</w:t>
      </w:r>
      <w:r>
        <w:rPr>
          <w:color w:val="000000" w:themeColor="text1"/>
          <w14:textFill>
            <w14:solidFill>
              <w14:schemeClr w14:val="tx1"/>
            </w14:solidFill>
          </w14:textFill>
        </w:rPr>
        <w:t>应采用密闭车斗，并保证土石方、物料不遗撒外漏。若无密闭车斗，土石方、物料的装载高度不得超过车辆槽帮上沿，车斗应用苫布遮盖严实。苫布边缘至少要遮住槽帮上沿以下15cm，保证土石方、物料等不露出。</w:t>
      </w:r>
      <w:r>
        <w:rPr>
          <w:rFonts w:hint="eastAsia"/>
          <w:color w:val="000000" w:themeColor="text1"/>
          <w14:textFill>
            <w14:solidFill>
              <w14:schemeClr w14:val="tx1"/>
            </w14:solidFill>
          </w14:textFill>
        </w:rPr>
        <w:t>对不慎洒落地面的建筑材料，应及时进行清理。</w:t>
      </w:r>
      <w:r>
        <w:rPr>
          <w:color w:val="000000" w:themeColor="text1"/>
          <w14:textFill>
            <w14:solidFill>
              <w14:schemeClr w14:val="tx1"/>
            </w14:solidFill>
          </w14:textFill>
        </w:rPr>
        <w:t>运输车辆应严格控制车速；运输车辆按规章装卸运行，严禁超载。</w:t>
      </w:r>
    </w:p>
    <w:p w14:paraId="692A618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④定期对运输土石方道路进行清扫、洒水。</w:t>
      </w:r>
    </w:p>
    <w:p w14:paraId="60490CD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⑤运输车辆驶离工地前应在洗车平台冲洗轮胎及车身，其表面不得附着污泥。</w:t>
      </w:r>
    </w:p>
    <w:p w14:paraId="523AC0A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⑥施工道路应保持平整，设立施工道路养护、维修和清扫专职人员，保持道路清洁和运行状态良好。</w:t>
      </w:r>
      <w:bookmarkEnd w:id="848"/>
    </w:p>
    <w:p w14:paraId="6073E283">
      <w:pPr>
        <w:ind w:firstLine="480"/>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设备车辆燃油废气</w:t>
      </w:r>
    </w:p>
    <w:p w14:paraId="401FCF6F">
      <w:pPr>
        <w:ind w:firstLine="480"/>
        <w:rPr>
          <w:color w:val="000000" w:themeColor="text1"/>
          <w14:textFill>
            <w14:solidFill>
              <w14:schemeClr w14:val="tx1"/>
            </w14:solidFill>
          </w14:textFill>
        </w:rPr>
      </w:pPr>
      <w:r>
        <w:rPr>
          <w:color w:val="000000" w:themeColor="text1"/>
          <w14:textFill>
            <w14:solidFill>
              <w14:schemeClr w14:val="tx1"/>
            </w14:solidFill>
          </w14:textFill>
        </w:rPr>
        <w:t>选用符合国家卫生防护标准的施工机械设备和运输工具，确保其废气排放符合国家有关标准</w:t>
      </w:r>
      <w:r>
        <w:rPr>
          <w:rFonts w:hint="eastAsia"/>
          <w:color w:val="000000" w:themeColor="text1"/>
          <w14:textFill>
            <w14:solidFill>
              <w14:schemeClr w14:val="tx1"/>
            </w14:solidFill>
          </w14:textFill>
        </w:rPr>
        <w:t>，同时加强维护保养。</w:t>
      </w:r>
    </w:p>
    <w:p w14:paraId="1B930D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）其他</w:t>
      </w:r>
    </w:p>
    <w:p w14:paraId="4DBF73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①建设单位应</w:t>
      </w:r>
      <w:bookmarkStart w:id="849" w:name="_Hlk89378124"/>
      <w:r>
        <w:rPr>
          <w:rFonts w:hint="eastAsia"/>
          <w:color w:val="000000" w:themeColor="text1"/>
          <w14:textFill>
            <w14:solidFill>
              <w14:schemeClr w14:val="tx1"/>
            </w14:solidFill>
          </w14:textFill>
        </w:rPr>
        <w:t>加强施工期的环境管理，与施工单位签订施工期的环境管理合同，合理安排施工工序，按有关环保措施进行施工。</w:t>
      </w:r>
      <w:bookmarkEnd w:id="849"/>
    </w:p>
    <w:p w14:paraId="02129C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②加强对施工人员的环保教育，增强全体施工人员的环保意识，坚持文明施工、科学管理，减少施工期间的大气污染。</w:t>
      </w:r>
    </w:p>
    <w:p w14:paraId="03D284F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③施工运输道路应保持平整，设立施工道路养护、维修和清扫专职人员，保持道路清洁和运行状态良好。</w:t>
      </w:r>
    </w:p>
    <w:p w14:paraId="5B4ABA4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运营期大气污染防治措施</w:t>
      </w:r>
    </w:p>
    <w:p w14:paraId="216A78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（1）加强公路管理及路面养护，保持道路良好运营状态，减少堵车现象。</w:t>
      </w:r>
    </w:p>
    <w:p w14:paraId="0A19ACA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（2）加强运输散装物资如煤、水泥、砂石材料及简易包装的化肥、农药等车辆的管理，运送上述物品需加盖篷布。 </w:t>
      </w:r>
    </w:p>
    <w:p w14:paraId="4714B39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（3）建议结合当地村庄建设等规划，在靠近公路两侧，尤其是居民区路段两侧附近多种植乔、灌木。这样既可以净化吸收机动车尾气中的污染物、道路粉尘，又可以美化环境，改善路容。</w:t>
      </w:r>
    </w:p>
    <w:p w14:paraId="7C50395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（4）执行环境空气监测计划，根据监测结果确定采取补充的环保措施。</w:t>
      </w:r>
    </w:p>
    <w:p w14:paraId="0577B0E3">
      <w:pPr>
        <w:pStyle w:val="116"/>
        <w:rPr>
          <w:color w:val="000000" w:themeColor="text1"/>
          <w14:textFill>
            <w14:solidFill>
              <w14:schemeClr w14:val="tx1"/>
            </w14:solidFill>
          </w14:textFill>
        </w:rPr>
      </w:pPr>
      <w:bookmarkStart w:id="850" w:name="_Toc159405489"/>
      <w:bookmarkStart w:id="851" w:name="_Toc152236630"/>
      <w:bookmarkStart w:id="852" w:name="_Toc193912395"/>
      <w:bookmarkStart w:id="853" w:name="_Toc154668065"/>
      <w:r>
        <w:rPr>
          <w:rFonts w:hint="eastAsia"/>
          <w:color w:val="000000" w:themeColor="text1"/>
          <w14:textFill>
            <w14:solidFill>
              <w14:schemeClr w14:val="tx1"/>
            </w14:solidFill>
          </w14:textFill>
        </w:rPr>
        <w:t>声</w:t>
      </w:r>
      <w:r>
        <w:rPr>
          <w:color w:val="000000" w:themeColor="text1"/>
          <w14:textFill>
            <w14:solidFill>
              <w14:schemeClr w14:val="tx1"/>
            </w14:solidFill>
          </w14:textFill>
        </w:rPr>
        <w:t>环境保护措施</w:t>
      </w:r>
      <w:bookmarkEnd w:id="850"/>
      <w:bookmarkEnd w:id="851"/>
      <w:bookmarkEnd w:id="852"/>
      <w:bookmarkEnd w:id="853"/>
    </w:p>
    <w:p w14:paraId="7CD06EA7">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施工期声</w:t>
      </w:r>
      <w:r>
        <w:rPr>
          <w:color w:val="000000" w:themeColor="text1"/>
          <w14:textFill>
            <w14:solidFill>
              <w14:schemeClr w14:val="tx1"/>
            </w14:solidFill>
          </w14:textFill>
        </w:rPr>
        <w:t>环境保护措施</w:t>
      </w:r>
    </w:p>
    <w:p w14:paraId="1EAA80B9">
      <w:pPr>
        <w:ind w:firstLine="480"/>
        <w:rPr>
          <w:color w:val="000000" w:themeColor="text1"/>
          <w14:textFill>
            <w14:solidFill>
              <w14:schemeClr w14:val="tx1"/>
            </w14:solidFill>
          </w14:textFill>
        </w:rPr>
      </w:pPr>
      <w:r>
        <w:rPr>
          <w:color w:val="000000" w:themeColor="text1"/>
          <w14:textFill>
            <w14:solidFill>
              <w14:schemeClr w14:val="tx1"/>
            </w14:solidFill>
          </w14:textFill>
        </w:rPr>
        <w:t>施工单位在施工期间必须严格执行《中华人民共和国噪声污染防治法》中的建设施工噪声污染防治</w:t>
      </w:r>
      <w:r>
        <w:rPr>
          <w:rFonts w:hint="eastAsia"/>
          <w:color w:val="000000" w:themeColor="text1"/>
          <w14:textFill>
            <w14:solidFill>
              <w14:schemeClr w14:val="tx1"/>
            </w14:solidFill>
          </w14:textFill>
        </w:rPr>
        <w:t>相关规定</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确保</w:t>
      </w:r>
      <w:r>
        <w:rPr>
          <w:color w:val="000000" w:themeColor="text1"/>
          <w14:textFill>
            <w14:solidFill>
              <w14:schemeClr w14:val="tx1"/>
            </w14:solidFill>
          </w14:textFill>
        </w:rPr>
        <w:t>施工场界噪声</w:t>
      </w:r>
      <w:r>
        <w:rPr>
          <w:rFonts w:hint="eastAsia"/>
          <w:color w:val="000000" w:themeColor="text1"/>
          <w14:textFill>
            <w14:solidFill>
              <w14:schemeClr w14:val="tx1"/>
            </w14:solidFill>
          </w14:textFill>
        </w:rPr>
        <w:t>满足</w:t>
      </w:r>
      <w:r>
        <w:rPr>
          <w:color w:val="000000" w:themeColor="text1"/>
          <w14:textFill>
            <w14:solidFill>
              <w14:schemeClr w14:val="tx1"/>
            </w14:solidFill>
          </w14:textFill>
        </w:rPr>
        <w:t>《建筑施工场界环境噪声排放标准》（GB</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12523-2011）</w:t>
      </w:r>
      <w:r>
        <w:rPr>
          <w:rFonts w:hint="eastAsia"/>
          <w:color w:val="000000" w:themeColor="text1"/>
          <w14:textFill>
            <w14:solidFill>
              <w14:schemeClr w14:val="tx1"/>
            </w14:solidFill>
          </w14:textFill>
        </w:rPr>
        <w:t>要求</w:t>
      </w:r>
      <w:r>
        <w:rPr>
          <w:color w:val="000000" w:themeColor="text1"/>
          <w14:textFill>
            <w14:solidFill>
              <w14:schemeClr w14:val="tx1"/>
            </w14:solidFill>
          </w14:textFill>
        </w:rPr>
        <w:t>。具体应采取以下噪声污染防治措施：</w:t>
      </w:r>
    </w:p>
    <w:p w14:paraId="05733BED">
      <w:pPr>
        <w:ind w:firstLine="480"/>
        <w:rPr>
          <w:color w:val="000000" w:themeColor="text1"/>
          <w14:textFill>
            <w14:solidFill>
              <w14:schemeClr w14:val="tx1"/>
            </w14:solidFill>
          </w14:textFill>
        </w:rPr>
      </w:pPr>
      <w:r>
        <w:rPr>
          <w:color w:val="000000" w:themeColor="text1"/>
          <w14:textFill>
            <w14:solidFill>
              <w14:schemeClr w14:val="tx1"/>
            </w14:solidFill>
          </w14:textFill>
        </w:rPr>
        <w:t>（1）施工单位须在进场前向工程所在地环境保护行政主管部门申报工程</w:t>
      </w:r>
      <w:r>
        <w:rPr>
          <w:color w:val="000000" w:themeColor="text1"/>
          <w:spacing w:val="-2"/>
          <w14:textFill>
            <w14:solidFill>
              <w14:schemeClr w14:val="tx1"/>
            </w14:solidFill>
          </w14:textFill>
        </w:rPr>
        <w:t>的项目名称、施工场所、期限和使用的主要机具、可能产生的环境噪声值以及所采取的</w:t>
      </w:r>
      <w:r>
        <w:rPr>
          <w:color w:val="000000" w:themeColor="text1"/>
          <w14:textFill>
            <w14:solidFill>
              <w14:schemeClr w14:val="tx1"/>
            </w14:solidFill>
          </w14:textFill>
        </w:rPr>
        <w:t>环境噪声污染防治措施等情况。</w:t>
      </w:r>
    </w:p>
    <w:p w14:paraId="2785F0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）合理布局施工现场：将施工现场的噪声源相对集中，并尽量远离村庄敏感点，以减少影响的范围和程度。</w:t>
      </w:r>
    </w:p>
    <w:p w14:paraId="7A8494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3</w:t>
      </w:r>
      <w:r>
        <w:rPr>
          <w:rFonts w:hint="eastAsia"/>
          <w:color w:val="000000" w:themeColor="text1"/>
          <w14:textFill>
            <w14:solidFill>
              <w14:schemeClr w14:val="tx1"/>
            </w14:solidFill>
          </w14:textFill>
        </w:rPr>
        <w:t>）施工期加大声源治理力度：</w:t>
      </w:r>
      <w:bookmarkStart w:id="854" w:name="_Hlk84626675"/>
      <w:r>
        <w:rPr>
          <w:rFonts w:hint="eastAsia"/>
          <w:color w:val="000000" w:themeColor="text1"/>
          <w14:textFill>
            <w14:solidFill>
              <w14:schemeClr w14:val="tx1"/>
            </w14:solidFill>
          </w14:textFill>
        </w:rPr>
        <w:t>选用低噪声施工机械、设备和工艺；振动较大的固定机械设备应加装减振机座；加强设备、车辆的日常维修保养，</w:t>
      </w:r>
      <w:bookmarkEnd w:id="854"/>
      <w:r>
        <w:rPr>
          <w:rFonts w:hint="eastAsia"/>
          <w:color w:val="000000" w:themeColor="text1"/>
          <w14:textFill>
            <w14:solidFill>
              <w14:schemeClr w14:val="tx1"/>
            </w14:solidFill>
          </w14:textFill>
        </w:rPr>
        <w:t>使施工机械保持良好运行状态，避免超过正常噪声运转。</w:t>
      </w:r>
    </w:p>
    <w:p w14:paraId="5137813A">
      <w:pPr>
        <w:ind w:firstLine="480"/>
        <w:rPr>
          <w:color w:val="000000" w:themeColor="text1"/>
          <w14:textFill>
            <w14:solidFill>
              <w14:schemeClr w14:val="tx1"/>
            </w14:solidFill>
          </w14:textFill>
        </w:rPr>
      </w:pPr>
      <w:r>
        <w:rPr>
          <w:color w:val="000000" w:themeColor="text1"/>
          <w14:textFill>
            <w14:solidFill>
              <w14:schemeClr w14:val="tx1"/>
            </w14:solidFill>
          </w14:textFill>
        </w:rPr>
        <w:t>（4）</w:t>
      </w:r>
      <w:bookmarkStart w:id="855" w:name="_Hlk89352832"/>
      <w:r>
        <w:rPr>
          <w:rFonts w:hint="eastAsia"/>
          <w:color w:val="000000" w:themeColor="text1"/>
          <w14:textFill>
            <w14:solidFill>
              <w14:schemeClr w14:val="tx1"/>
            </w14:solidFill>
          </w14:textFill>
        </w:rPr>
        <w:t>施工期限定施工作业时间</w:t>
      </w:r>
      <w:bookmarkEnd w:id="855"/>
      <w:r>
        <w:rPr>
          <w:rFonts w:hint="eastAsia"/>
          <w:color w:val="000000" w:themeColor="text1"/>
          <w14:textFill>
            <w14:solidFill>
              <w14:schemeClr w14:val="tx1"/>
            </w14:solidFill>
          </w14:textFill>
        </w:rPr>
        <w:t>：</w:t>
      </w:r>
      <w:r>
        <w:rPr>
          <w:color w:val="000000" w:themeColor="text1"/>
          <w14:textFill>
            <w14:solidFill>
              <w14:schemeClr w14:val="tx1"/>
            </w14:solidFill>
          </w14:textFill>
        </w:rPr>
        <w:t>施工区域与沿线居民点之间设置</w:t>
      </w:r>
      <w:r>
        <w:rPr>
          <w:rFonts w:hint="eastAsia"/>
          <w:color w:val="000000" w:themeColor="text1"/>
          <w14:textFill>
            <w14:solidFill>
              <w14:schemeClr w14:val="tx1"/>
            </w14:solidFill>
          </w14:textFill>
        </w:rPr>
        <w:t>必要的</w:t>
      </w:r>
      <w:r>
        <w:rPr>
          <w:color w:val="000000" w:themeColor="text1"/>
          <w:spacing w:val="-3"/>
          <w14:textFill>
            <w14:solidFill>
              <w14:schemeClr w14:val="tx1"/>
            </w14:solidFill>
          </w14:textFill>
        </w:rPr>
        <w:t>围挡以阻隔施工噪声，夜间</w:t>
      </w:r>
      <w:r>
        <w:rPr>
          <w:rFonts w:hint="eastAsia"/>
          <w:color w:val="000000" w:themeColor="text1"/>
          <w:spacing w:val="-3"/>
          <w14:textFill>
            <w14:solidFill>
              <w14:schemeClr w14:val="tx1"/>
            </w14:solidFill>
          </w14:textFill>
        </w:rPr>
        <w:t>（</w:t>
      </w:r>
      <w:r>
        <w:rPr>
          <w:rFonts w:eastAsia="Times New Roman"/>
          <w:color w:val="000000" w:themeColor="text1"/>
          <w14:textFill>
            <w14:solidFill>
              <w14:schemeClr w14:val="tx1"/>
            </w14:solidFill>
          </w14:textFill>
        </w:rPr>
        <w:t>22:00-6:00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禁止施工。</w:t>
      </w:r>
      <w:r>
        <w:rPr>
          <w:rFonts w:hint="eastAsia"/>
          <w:color w:val="000000" w:themeColor="text1"/>
          <w14:textFill>
            <w14:solidFill>
              <w14:schemeClr w14:val="tx1"/>
            </w14:solidFill>
          </w14:textFill>
        </w:rPr>
        <w:t>工程</w:t>
      </w:r>
      <w:r>
        <w:rPr>
          <w:color w:val="000000" w:themeColor="text1"/>
          <w14:textFill>
            <w14:solidFill>
              <w14:schemeClr w14:val="tx1"/>
            </w14:solidFill>
          </w14:textFill>
        </w:rPr>
        <w:t>沿线较靠近</w:t>
      </w:r>
      <w:r>
        <w:rPr>
          <w:rFonts w:hint="eastAsia"/>
          <w:color w:val="000000" w:themeColor="text1"/>
          <w14:textFill>
            <w14:solidFill>
              <w14:schemeClr w14:val="tx1"/>
            </w14:solidFill>
          </w14:textFill>
        </w:rPr>
        <w:t>居住区</w:t>
      </w:r>
      <w:r>
        <w:rPr>
          <w:color w:val="000000" w:themeColor="text1"/>
          <w14:textFill>
            <w14:solidFill>
              <w14:schemeClr w14:val="tx1"/>
            </w14:solidFill>
          </w14:textFill>
        </w:rPr>
        <w:t>路段施工时，为保证居民</w:t>
      </w:r>
      <w:r>
        <w:rPr>
          <w:rFonts w:hint="eastAsia"/>
          <w:color w:val="000000" w:themeColor="text1"/>
          <w14:textFill>
            <w14:solidFill>
              <w14:schemeClr w14:val="tx1"/>
            </w14:solidFill>
          </w14:textFill>
        </w:rPr>
        <w:t>等</w:t>
      </w:r>
      <w:r>
        <w:rPr>
          <w:color w:val="000000" w:themeColor="text1"/>
          <w14:textFill>
            <w14:solidFill>
              <w14:schemeClr w14:val="tx1"/>
            </w14:solidFill>
          </w14:textFill>
        </w:rPr>
        <w:t>休息，在规定时间内（午间12</w:t>
      </w:r>
      <w:bookmarkStart w:id="856" w:name="hmcheck_0852472b462b4dea997076cab433e9ab"/>
      <w:r>
        <w:rPr>
          <w:color w:val="000000" w:themeColor="text1"/>
          <w:shd w:val="clear" w:fill="FFAFAA"/>
          <w14:textFill>
            <w14:solidFill>
              <w14:schemeClr w14:val="tx1"/>
            </w14:solidFill>
          </w14:textFill>
        </w:rPr>
        <w:t>：</w:t>
      </w:r>
      <w:bookmarkEnd w:id="856"/>
      <w:r>
        <w:rPr>
          <w:color w:val="000000" w:themeColor="text1"/>
          <w14:textFill>
            <w14:solidFill>
              <w14:schemeClr w14:val="tx1"/>
            </w14:solidFill>
          </w14:textFill>
        </w:rPr>
        <w:t>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14</w:t>
      </w:r>
      <w:bookmarkStart w:id="857" w:name="hmcheck_c6f9a485543b43faaba196d2fdec534b"/>
      <w:r>
        <w:rPr>
          <w:color w:val="000000" w:themeColor="text1"/>
          <w:shd w:val="clear" w:fill="FFAFAA"/>
          <w14:textFill>
            <w14:solidFill>
              <w14:schemeClr w14:val="tx1"/>
            </w14:solidFill>
          </w14:textFill>
        </w:rPr>
        <w:t>：</w:t>
      </w:r>
      <w:bookmarkEnd w:id="857"/>
      <w:r>
        <w:rPr>
          <w:color w:val="000000" w:themeColor="text1"/>
          <w14:textFill>
            <w14:solidFill>
              <w14:schemeClr w14:val="tx1"/>
            </w14:solidFill>
          </w14:textFill>
        </w:rPr>
        <w:t>30，夜间22</w:t>
      </w:r>
      <w:bookmarkStart w:id="858" w:name="hmcheck_1f14e2eb0cc344ccaa685f2cfca53634"/>
      <w:r>
        <w:rPr>
          <w:color w:val="000000" w:themeColor="text1"/>
          <w:shd w:val="clear" w:fill="FFAFAA"/>
          <w14:textFill>
            <w14:solidFill>
              <w14:schemeClr w14:val="tx1"/>
            </w14:solidFill>
          </w14:textFill>
        </w:rPr>
        <w:t>：</w:t>
      </w:r>
      <w:bookmarkEnd w:id="858"/>
      <w:r>
        <w:rPr>
          <w:color w:val="000000" w:themeColor="text1"/>
          <w14:textFill>
            <w14:solidFill>
              <w14:schemeClr w14:val="tx1"/>
            </w14:solidFill>
          </w14:textFill>
        </w:rPr>
        <w:t>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次日6</w:t>
      </w:r>
      <w:bookmarkStart w:id="859" w:name="hmcheck_7b47aff8a8254ef5aa3de20b5d961c5b"/>
      <w:r>
        <w:rPr>
          <w:color w:val="000000" w:themeColor="text1"/>
          <w:shd w:val="clear" w:fill="FFAFAA"/>
          <w14:textFill>
            <w14:solidFill>
              <w14:schemeClr w14:val="tx1"/>
            </w14:solidFill>
          </w14:textFill>
        </w:rPr>
        <w:t>：</w:t>
      </w:r>
      <w:bookmarkEnd w:id="859"/>
      <w:r>
        <w:rPr>
          <w:color w:val="000000" w:themeColor="text1"/>
          <w14:textFill>
            <w14:solidFill>
              <w14:schemeClr w14:val="tx1"/>
            </w14:solidFill>
          </w14:textFill>
        </w:rPr>
        <w:t>00）</w:t>
      </w:r>
      <w:r>
        <w:rPr>
          <w:rFonts w:hint="eastAsia"/>
          <w:color w:val="000000" w:themeColor="text1"/>
          <w14:textFill>
            <w14:solidFill>
              <w14:schemeClr w14:val="tx1"/>
            </w14:solidFill>
          </w14:textFill>
        </w:rPr>
        <w:t>全路段</w:t>
      </w:r>
      <w:r>
        <w:rPr>
          <w:color w:val="000000" w:themeColor="text1"/>
          <w14:textFill>
            <w14:solidFill>
              <w14:schemeClr w14:val="tx1"/>
            </w14:solidFill>
          </w14:textFill>
        </w:rPr>
        <w:t>禁止施工；若因特殊需要必须连续施工作业的，必须向县级以上人民政府</w:t>
      </w:r>
      <w:r>
        <w:rPr>
          <w:rFonts w:hint="eastAsia"/>
          <w:color w:val="000000" w:themeColor="text1"/>
          <w14:textFill>
            <w14:solidFill>
              <w14:schemeClr w14:val="tx1"/>
            </w14:solidFill>
          </w14:textFill>
        </w:rPr>
        <w:t>或</w:t>
      </w:r>
      <w:r>
        <w:rPr>
          <w:color w:val="000000" w:themeColor="text1"/>
          <w14:textFill>
            <w14:solidFill>
              <w14:schemeClr w14:val="tx1"/>
            </w14:solidFill>
          </w14:textFill>
        </w:rPr>
        <w:t>有关主管部门申请得到批准，并且必须公告附近居民</w:t>
      </w:r>
      <w:r>
        <w:rPr>
          <w:rFonts w:hint="eastAsia"/>
          <w:color w:val="000000" w:themeColor="text1"/>
          <w14:textFill>
            <w14:solidFill>
              <w14:schemeClr w14:val="tx1"/>
            </w14:solidFill>
          </w14:textFill>
        </w:rPr>
        <w:t>。</w:t>
      </w:r>
    </w:p>
    <w:p w14:paraId="12DFD90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（4）对施工场界200m范围内有居民的施工场地、表土堆场等临时施工场地靠近居民一侧安装临时声屏障，特别是2</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表土堆场，施工期间应设置临时声屏障或围挡。</w:t>
      </w:r>
    </w:p>
    <w:p w14:paraId="1B76BF28">
      <w:pPr>
        <w:ind w:firstLine="480"/>
        <w:rPr>
          <w:color w:val="000000" w:themeColor="text1"/>
          <w14:textFill>
            <w14:solidFill>
              <w14:schemeClr w14:val="tx1"/>
            </w14:solidFill>
          </w14:textFill>
        </w:rPr>
      </w:pPr>
      <w:r>
        <w:rPr>
          <w:color w:val="000000" w:themeColor="text1"/>
          <w14:textFill>
            <w14:solidFill>
              <w14:schemeClr w14:val="tx1"/>
            </w14:solidFill>
          </w14:textFill>
        </w:rPr>
        <w:t>（5）</w:t>
      </w:r>
      <w:r>
        <w:rPr>
          <w:rFonts w:hint="eastAsia"/>
          <w:color w:val="000000" w:themeColor="text1"/>
          <w14:textFill>
            <w14:solidFill>
              <w14:schemeClr w14:val="tx1"/>
            </w14:solidFill>
          </w14:textFill>
        </w:rPr>
        <w:t>合理安排施工运输车辆的走行路线和走行时间：施工运输车辆，尤其是大型运输车辆，应按照有关部门的规定，确定合理运输路线和时间，避让沿线的学校、医院及居民密集区。</w:t>
      </w:r>
      <w:r>
        <w:rPr>
          <w:color w:val="000000" w:themeColor="text1"/>
          <w:spacing w:val="-3"/>
          <w14:textFill>
            <w14:solidFill>
              <w14:schemeClr w14:val="tx1"/>
            </w14:solidFill>
          </w14:textFill>
        </w:rPr>
        <w:t>利用现有道路进行施工物料运输时，注意调整运输时间，尽量在白天运输。</w:t>
      </w:r>
      <w:r>
        <w:rPr>
          <w:rFonts w:hint="eastAsia"/>
          <w:color w:val="000000" w:themeColor="text1"/>
          <w:spacing w:val="-3"/>
          <w14:textFill>
            <w14:solidFill>
              <w14:schemeClr w14:val="tx1"/>
            </w14:solidFill>
          </w14:textFill>
        </w:rPr>
        <w:t>在途经</w:t>
      </w:r>
      <w:r>
        <w:rPr>
          <w:color w:val="000000" w:themeColor="text1"/>
          <w14:textFill>
            <w14:solidFill>
              <w14:schemeClr w14:val="tx1"/>
            </w14:solidFill>
          </w14:textFill>
        </w:rPr>
        <w:t>居民集中区时，应减速慢行，禁止鸣笛。</w:t>
      </w:r>
    </w:p>
    <w:p w14:paraId="6F1440B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）施工期加强对施工期噪声的监督管理</w:t>
      </w:r>
    </w:p>
    <w:p w14:paraId="146B917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①加强对施工人员的培训及责任心教育，做好施工机械和运输车辆的调度和交通疏导工作，限制车速，禁止鸣笛，降低交通噪声。</w:t>
      </w:r>
    </w:p>
    <w:p w14:paraId="7FE7A4D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②施工作业过程中加强对各种机械的管理、维护和保养，使施工机械保持良好的运行状态，减少因机械磨损而增加的噪声。</w:t>
      </w:r>
    </w:p>
    <w:p w14:paraId="5B225FF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建设单位应按国家规定的建筑施工场界噪声标准，对施工现场进行定期检查，实施规范化管理，对发现的违章施工现象和群众投诉的热点、重点问题及时进行查处，同时积极做好环境保护法规政策的宣传教育，加强与施工单位的协调，使施工单位做到文明施工。</w:t>
      </w:r>
    </w:p>
    <w:p w14:paraId="40D8AC51">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运营期噪声影响防护措施</w:t>
      </w:r>
    </w:p>
    <w:p w14:paraId="43503A2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根据《地面交通噪声污染防治技术政策》（环发〔2010〕7 号）、《环境影响评价技术导则 公路建设项目》（</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1358—2024</w:t>
      </w:r>
      <w:r>
        <w:rPr>
          <w:rFonts w:hint="eastAsia"/>
          <w:color w:val="000000" w:themeColor="text1"/>
          <w14:textFill>
            <w14:solidFill>
              <w14:schemeClr w14:val="tx1"/>
            </w14:solidFill>
          </w14:textFill>
        </w:rPr>
        <w:t>）、《</w:t>
      </w:r>
      <w:r>
        <w:rPr>
          <w:color w:val="000000" w:themeColor="text1"/>
          <w:kern w:val="0"/>
          <w:szCs w:val="24"/>
          <w:lang w:val="zh-CN"/>
          <w14:textFill>
            <w14:solidFill>
              <w14:schemeClr w14:val="tx1"/>
            </w14:solidFill>
          </w14:textFill>
        </w:rPr>
        <w:t>环境</w:t>
      </w:r>
      <w:r>
        <w:rPr>
          <w:rFonts w:hint="eastAsia"/>
          <w:color w:val="000000" w:themeColor="text1"/>
          <w:kern w:val="0"/>
          <w:szCs w:val="24"/>
          <w:lang w:val="zh-CN"/>
          <w14:textFill>
            <w14:solidFill>
              <w14:schemeClr w14:val="tx1"/>
            </w14:solidFill>
          </w14:textFill>
        </w:rPr>
        <w:t>影响</w:t>
      </w:r>
      <w:r>
        <w:rPr>
          <w:color w:val="000000" w:themeColor="text1"/>
          <w:kern w:val="0"/>
          <w:szCs w:val="24"/>
          <w:lang w:val="zh-CN"/>
          <w14:textFill>
            <w14:solidFill>
              <w14:schemeClr w14:val="tx1"/>
            </w14:solidFill>
          </w14:textFill>
        </w:rPr>
        <w:t>评价技术导测声环境HJ 2.4-2021</w:t>
      </w:r>
      <w:r>
        <w:rPr>
          <w:rFonts w:hint="eastAsia"/>
          <w:color w:val="000000" w:themeColor="text1"/>
          <w14:textFill>
            <w14:solidFill>
              <w14:schemeClr w14:val="tx1"/>
            </w14:solidFill>
          </w14:textFill>
        </w:rPr>
        <w:t>》，规定了从合理规划布局、噪声源控制、噪声传播途径控制、声环境保护目标自身防护措施、管理措施等五个方面对交通噪声污染分别进行防治。结合本项目的实际情况，噪声污染防治原则如下：</w:t>
      </w:r>
    </w:p>
    <w:p w14:paraId="794140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①坚持预防为主原则，合理规划地面交通设施与邻近建筑物布局；</w:t>
      </w:r>
    </w:p>
    <w:p w14:paraId="24B9EA6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②噪声源、传声途径、敏感建筑物三者的分层次控制与各负其责；</w:t>
      </w:r>
    </w:p>
    <w:p w14:paraId="7AB220D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③在技术经济可行条件下，优先考虑对噪声源和传声途径采取工程技术措施，实施噪声主动控制；</w:t>
      </w:r>
    </w:p>
    <w:p w14:paraId="3175C19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④对远期超标的敏感点全部采取降噪措施；</w:t>
      </w:r>
    </w:p>
    <w:p w14:paraId="61DDA7C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噪声防治的目标应该是首先使敏感建筑物室外声环境质量达到所处的声功能区标准；如通过技术经济论证，认为不宜对交通噪声实施主动控制，或采取措施后室外声环境质量仍然难以达标的，应对敏感建筑物采取如安装通风隔声窗等防护措施；以远期预测值超标的敏感点按《民用建筑隔声设计规范》（GBJ118-2010）的要求，保证室内声环境使用功能的要求。</w:t>
      </w:r>
    </w:p>
    <w:p w14:paraId="04CA6DE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根据《地面交通噪声污染防治技术政策》（环发〔2010〕7 号）、《环境影响评价技术导则 公路建设项目》（</w:t>
      </w:r>
      <w:r>
        <w:rPr>
          <w:color w:val="000000" w:themeColor="text1"/>
          <w14:textFill>
            <w14:solidFill>
              <w14:schemeClr w14:val="tx1"/>
            </w14:solidFill>
          </w14:textFill>
        </w:rPr>
        <w:t>HJ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1358—2024</w:t>
      </w:r>
      <w:r>
        <w:rPr>
          <w:rFonts w:hint="eastAsia"/>
          <w:color w:val="000000" w:themeColor="text1"/>
          <w14:textFill>
            <w14:solidFill>
              <w14:schemeClr w14:val="tx1"/>
            </w14:solidFill>
          </w14:textFill>
        </w:rPr>
        <w:t>）、《</w:t>
      </w:r>
      <w:r>
        <w:rPr>
          <w:color w:val="000000" w:themeColor="text1"/>
          <w:kern w:val="0"/>
          <w:szCs w:val="24"/>
          <w:lang w:val="zh-CN"/>
          <w14:textFill>
            <w14:solidFill>
              <w14:schemeClr w14:val="tx1"/>
            </w14:solidFill>
          </w14:textFill>
        </w:rPr>
        <w:t>环境</w:t>
      </w:r>
      <w:r>
        <w:rPr>
          <w:rFonts w:hint="eastAsia"/>
          <w:color w:val="000000" w:themeColor="text1"/>
          <w:kern w:val="0"/>
          <w:szCs w:val="24"/>
          <w:lang w:val="zh-CN"/>
          <w14:textFill>
            <w14:solidFill>
              <w14:schemeClr w14:val="tx1"/>
            </w14:solidFill>
          </w14:textFill>
        </w:rPr>
        <w:t>影响</w:t>
      </w:r>
      <w:r>
        <w:rPr>
          <w:color w:val="000000" w:themeColor="text1"/>
          <w:kern w:val="0"/>
          <w:szCs w:val="24"/>
          <w:lang w:val="zh-CN"/>
          <w14:textFill>
            <w14:solidFill>
              <w14:schemeClr w14:val="tx1"/>
            </w14:solidFill>
          </w14:textFill>
        </w:rPr>
        <w:t>评价技术导测声环境HJ 2.4-2021</w:t>
      </w:r>
      <w:r>
        <w:rPr>
          <w:rFonts w:hint="eastAsia"/>
          <w:color w:val="000000" w:themeColor="text1"/>
          <w14:textFill>
            <w14:solidFill>
              <w14:schemeClr w14:val="tx1"/>
            </w14:solidFill>
          </w14:textFill>
        </w:rPr>
        <w:t>》，规定了从合理规划布局、噪声源控制、噪声传播途径控制、声环境保护目标自身防护措施、管理措施等五个方面对交通噪声污染分别进行防治。</w:t>
      </w:r>
    </w:p>
    <w:p w14:paraId="47C7E660">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优化选址选线、合理规划布局</w:t>
      </w:r>
    </w:p>
    <w:p w14:paraId="39DEF99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沿线声环境敏感目标调查，本项目主要声环境敏感目标分布较多，部分路段较为集中，主要有牌边村、联华村和上张村，结合区域村庄规划，线路沿线无集中规划区，但考虑远期村庄村民宅基地的变迁。因此，根据本次评价断面交通噪声预测结果，建议公路两侧在土地利用规划中噪声防护控制距离。具体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_Ref150758403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表7.4-1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5A4C9F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另外根据噪声预测结果，在2类区内均能达到2类标准，因此不设置2类控制距离。</w:t>
      </w:r>
    </w:p>
    <w:p w14:paraId="7533FB8D">
      <w:pPr>
        <w:pStyle w:val="87"/>
        <w:spacing w:before="163"/>
        <w:rPr>
          <w:color w:val="000000" w:themeColor="text1"/>
          <w14:textFill>
            <w14:solidFill>
              <w14:schemeClr w14:val="tx1"/>
            </w14:solidFill>
          </w14:textFill>
        </w:rPr>
      </w:pPr>
      <w:bookmarkStart w:id="860" w:name="_Ref150758403"/>
      <w:r>
        <w:rPr>
          <w:rFonts w:hint="eastAsia"/>
          <w:color w:val="000000" w:themeColor="text1"/>
          <w14:textFill>
            <w14:solidFill>
              <w14:schemeClr w14:val="tx1"/>
            </w14:solidFill>
          </w14:textFill>
        </w:rPr>
        <w:t>运营中期公路</w:t>
      </w:r>
      <w:r>
        <w:rPr>
          <w:color w:val="000000" w:themeColor="text1"/>
          <w14:textFill>
            <w14:solidFill>
              <w14:schemeClr w14:val="tx1"/>
            </w14:solidFill>
          </w14:textFill>
        </w:rPr>
        <w:t>两侧建筑规划参考</w:t>
      </w:r>
      <w:bookmarkEnd w:id="860"/>
    </w:p>
    <w:tbl>
      <w:tblPr>
        <w:tblStyle w:val="247"/>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51"/>
        <w:gridCol w:w="710"/>
        <w:gridCol w:w="2408"/>
        <w:gridCol w:w="2268"/>
        <w:gridCol w:w="2833"/>
      </w:tblGrid>
      <w:tr w14:paraId="1E881C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851" w:type="dxa"/>
            <w:vAlign w:val="center"/>
          </w:tcPr>
          <w:p w14:paraId="7F4355F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线路</w:t>
            </w:r>
          </w:p>
        </w:tc>
        <w:tc>
          <w:tcPr>
            <w:tcW w:w="3118" w:type="dxa"/>
            <w:gridSpan w:val="2"/>
            <w:vAlign w:val="center"/>
          </w:tcPr>
          <w:p w14:paraId="6A089A1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声环境功能区划</w:t>
            </w:r>
          </w:p>
        </w:tc>
        <w:tc>
          <w:tcPr>
            <w:tcW w:w="2268" w:type="dxa"/>
            <w:vAlign w:val="center"/>
          </w:tcPr>
          <w:p w14:paraId="36CF780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最大达标距离</w:t>
            </w:r>
          </w:p>
        </w:tc>
        <w:tc>
          <w:tcPr>
            <w:tcW w:w="2833" w:type="dxa"/>
            <w:vAlign w:val="center"/>
          </w:tcPr>
          <w:p w14:paraId="6E180C50">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规划控制建议</w:t>
            </w:r>
          </w:p>
        </w:tc>
      </w:tr>
      <w:tr w14:paraId="4261A32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851" w:type="dxa"/>
            <w:vAlign w:val="center"/>
          </w:tcPr>
          <w:p w14:paraId="5D3FE12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全线</w:t>
            </w:r>
          </w:p>
        </w:tc>
        <w:tc>
          <w:tcPr>
            <w:tcW w:w="710" w:type="dxa"/>
            <w:vAlign w:val="center"/>
          </w:tcPr>
          <w:p w14:paraId="116BE8F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4a类区</w:t>
            </w:r>
          </w:p>
        </w:tc>
        <w:tc>
          <w:tcPr>
            <w:tcW w:w="2408" w:type="dxa"/>
            <w:vAlign w:val="center"/>
          </w:tcPr>
          <w:p w14:paraId="5FFC5FB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公路两侧高于3层楼的临街建筑物或低于3层楼交通干线边界线外</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m以内面向公路一侧区域</w:t>
            </w:r>
          </w:p>
        </w:tc>
        <w:tc>
          <w:tcPr>
            <w:tcW w:w="2268" w:type="dxa"/>
            <w:vAlign w:val="center"/>
          </w:tcPr>
          <w:p w14:paraId="0E0BCF7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公路中心线外</w:t>
            </w:r>
            <w:r>
              <w:rPr>
                <w:color w:val="000000" w:themeColor="text1"/>
                <w14:textFill>
                  <w14:solidFill>
                    <w14:schemeClr w14:val="tx1"/>
                  </w14:solidFill>
                </w14:textFill>
              </w:rPr>
              <w:t>18.0</w:t>
            </w:r>
            <w:r>
              <w:rPr>
                <w:rFonts w:hint="eastAsia"/>
                <w:color w:val="000000" w:themeColor="text1"/>
                <w14:textFill>
                  <w14:solidFill>
                    <w14:schemeClr w14:val="tx1"/>
                  </w14:solidFill>
                </w14:textFill>
              </w:rPr>
              <w:t>m m（公路边界线</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w:t>
            </w:r>
          </w:p>
        </w:tc>
        <w:tc>
          <w:tcPr>
            <w:tcW w:w="2833" w:type="dxa"/>
            <w:vAlign w:val="center"/>
          </w:tcPr>
          <w:p w14:paraId="30B13F3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4a</w:t>
            </w:r>
            <w:r>
              <w:rPr>
                <w:rFonts w:hint="eastAsia"/>
                <w:color w:val="000000" w:themeColor="text1"/>
                <w:szCs w:val="24"/>
                <w14:textFill>
                  <w14:solidFill>
                    <w14:schemeClr w14:val="tx1"/>
                  </w14:solidFill>
                </w14:textFill>
              </w:rPr>
              <w:t>类</w:t>
            </w:r>
            <w:r>
              <w:rPr>
                <w:rFonts w:hint="eastAsia"/>
                <w:color w:val="000000" w:themeColor="text1"/>
                <w14:textFill>
                  <w14:solidFill>
                    <w14:schemeClr w14:val="tx1"/>
                  </w14:solidFill>
                </w14:textFill>
              </w:rPr>
              <w:t>控制距离为公路边界线</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m，区域不宜规划建设集中居民区，头排建筑临街窗户需安装隔声窗。</w:t>
            </w:r>
          </w:p>
        </w:tc>
      </w:tr>
    </w:tbl>
    <w:p w14:paraId="3F245CCA">
      <w:pPr>
        <w:pStyle w:val="124"/>
        <w:spacing w:before="163"/>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本项目主线公路两侧噪声4a</w:t>
      </w:r>
      <w:r>
        <w:rPr>
          <w:rFonts w:hint="eastAsia"/>
          <w:color w:val="000000" w:themeColor="text1"/>
          <w:szCs w:val="24"/>
          <w14:textFill>
            <w14:solidFill>
              <w14:schemeClr w14:val="tx1"/>
            </w14:solidFill>
          </w14:textFill>
        </w:rPr>
        <w:t>类</w:t>
      </w:r>
      <w:r>
        <w:rPr>
          <w:rFonts w:hint="eastAsia"/>
          <w:color w:val="000000" w:themeColor="text1"/>
          <w14:textFill>
            <w14:solidFill>
              <w14:schemeClr w14:val="tx1"/>
            </w14:solidFill>
          </w14:textFill>
        </w:rPr>
        <w:t>控制距离（公路边界线</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m）范围内区域不宜规划建设集中居民区。</w:t>
      </w:r>
      <w:r>
        <w:rPr>
          <w:color w:val="000000" w:themeColor="text1"/>
          <w14:textFill>
            <w14:solidFill>
              <w14:schemeClr w14:val="tx1"/>
            </w14:solidFill>
          </w14:textFill>
        </w:rPr>
        <w:t>由于土地资源紧缺，从提高土地利用率角度出发，</w:t>
      </w:r>
      <w:r>
        <w:rPr>
          <w:rFonts w:hint="eastAsia"/>
          <w:color w:val="000000" w:themeColor="text1"/>
          <w14:textFill>
            <w14:solidFill>
              <w14:schemeClr w14:val="tx1"/>
            </w14:solidFill>
          </w14:textFill>
        </w:rPr>
        <w:t>结合乡镇居民住宅建筑习惯（临路建设），</w:t>
      </w:r>
      <w:r>
        <w:rPr>
          <w:color w:val="000000" w:themeColor="text1"/>
          <w14:textFill>
            <w14:solidFill>
              <w14:schemeClr w14:val="tx1"/>
            </w14:solidFill>
          </w14:textFill>
        </w:rPr>
        <w:t>规划控制距离可能较难实施，</w:t>
      </w:r>
      <w:r>
        <w:rPr>
          <w:rFonts w:hint="eastAsia"/>
          <w:color w:val="000000" w:themeColor="text1"/>
          <w14:textFill>
            <w14:solidFill>
              <w14:schemeClr w14:val="tx1"/>
            </w14:solidFill>
          </w14:textFill>
        </w:rPr>
        <w:t>故如确需建设上述敏感建筑物时，应自行采取降噪措施。</w:t>
      </w:r>
    </w:p>
    <w:p w14:paraId="7EFB3F26">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噪声源控制措施</w:t>
      </w:r>
    </w:p>
    <w:p w14:paraId="2671B26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公路噪声源控制主要是从车速、路面噪声及减少异常噪声等方面入手。</w:t>
      </w:r>
    </w:p>
    <w:p w14:paraId="4D587D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①车速：根据《福建省普通公路精细化设计指南（试行）》第四十章城镇化公路 14.3 规定：二级公路设计速度应采用</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0km/h、</w:t>
      </w:r>
      <w:r>
        <w:rPr>
          <w:color w:val="000000" w:themeColor="text1"/>
          <w14:textFill>
            <w14:solidFill>
              <w14:schemeClr w14:val="tx1"/>
            </w14:solidFill>
          </w14:textFill>
        </w:rPr>
        <w:t>40</w:t>
      </w:r>
      <w:r>
        <w:rPr>
          <w:rFonts w:hint="eastAsia"/>
          <w:color w:val="000000" w:themeColor="text1"/>
          <w14:textFill>
            <w14:solidFill>
              <w14:schemeClr w14:val="tx1"/>
            </w14:solidFill>
          </w14:textFill>
        </w:rPr>
        <w:t>km</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h，三级公路采用</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0km/h、</w:t>
      </w:r>
      <w:r>
        <w:rPr>
          <w:color w:val="000000" w:themeColor="text1"/>
          <w14:textFill>
            <w14:solidFill>
              <w14:schemeClr w14:val="tx1"/>
            </w14:solidFill>
          </w14:textFill>
        </w:rPr>
        <w:t>30</w:t>
      </w:r>
      <w:r>
        <w:rPr>
          <w:rFonts w:hint="eastAsia"/>
          <w:color w:val="000000" w:themeColor="text1"/>
          <w14:textFill>
            <w14:solidFill>
              <w14:schemeClr w14:val="tx1"/>
            </w14:solidFill>
          </w14:textFill>
        </w:rPr>
        <w:t>km</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h，本项目为</w:t>
      </w:r>
      <w:r>
        <w:rPr>
          <w:color w:val="000000" w:themeColor="text1"/>
          <w:spacing w:val="-6"/>
          <w14:textFill>
            <w14:solidFill>
              <w14:schemeClr w14:val="tx1"/>
            </w14:solidFill>
          </w14:textFill>
        </w:rPr>
        <w:t>二级公路</w:t>
      </w:r>
      <w:r>
        <w:rPr>
          <w:rFonts w:hint="eastAsia"/>
          <w:color w:val="000000" w:themeColor="text1"/>
          <w:spacing w:val="-6"/>
          <w14:textFill>
            <w14:solidFill>
              <w14:schemeClr w14:val="tx1"/>
            </w14:solidFill>
          </w14:textFill>
        </w:rPr>
        <w:t>，</w:t>
      </w:r>
      <w:r>
        <w:rPr>
          <w:rFonts w:hint="eastAsia"/>
          <w:color w:val="000000" w:themeColor="text1"/>
          <w14:textFill>
            <w14:solidFill>
              <w14:schemeClr w14:val="tx1"/>
            </w14:solidFill>
          </w14:textFill>
        </w:rPr>
        <w:t>设计速度为</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0km/h，考虑在经济技术可行的前提下是合理的。</w:t>
      </w:r>
    </w:p>
    <w:p w14:paraId="24DE7052">
      <w:pPr>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②路面噪声控制：</w:t>
      </w:r>
      <w:r>
        <w:rPr>
          <w:rFonts w:hint="eastAsia"/>
          <w:color w:val="000000" w:themeColor="text1"/>
          <w14:textFill>
            <w14:solidFill>
              <w14:schemeClr w14:val="tx1"/>
            </w14:solidFill>
          </w14:textFill>
        </w:rPr>
        <w:t>公路路面一般有沥青混凝土路面和水泥混凝土路面。与水泥混凝土路面相比，沥青路面表面平整无接缝，行车振动小，</w:t>
      </w:r>
      <w:bookmarkStart w:id="861" w:name="hmcheck_cfc6f8080ca84f2fabcdc29fb4c64591"/>
      <w:r>
        <w:rPr>
          <w:rFonts w:hint="eastAsia"/>
          <w:color w:val="000000" w:themeColor="text1"/>
          <w:shd w:val="clear" w:fill="FFAFAA"/>
          <w14:textFill>
            <w14:solidFill>
              <w14:schemeClr w14:val="tx1"/>
            </w14:solidFill>
          </w14:textFill>
        </w:rPr>
        <w:t>噪音</w:t>
      </w:r>
      <w:bookmarkEnd w:id="861"/>
      <w:r>
        <w:rPr>
          <w:rFonts w:hint="eastAsia"/>
          <w:color w:val="000000" w:themeColor="text1"/>
          <w14:textFill>
            <w14:solidFill>
              <w14:schemeClr w14:val="tx1"/>
            </w14:solidFill>
          </w14:textFill>
        </w:rPr>
        <w:t>低，开放交通快，养护简便。故本工程采用了沥青混凝土路面，以降低行车噪声等。</w:t>
      </w:r>
    </w:p>
    <w:p w14:paraId="5602F4FA">
      <w:pPr>
        <w:ind w:firstLine="482"/>
        <w:rPr>
          <w:color w:val="000000" w:themeColor="text1"/>
          <w14:textFill>
            <w14:solidFill>
              <w14:schemeClr w14:val="tx1"/>
            </w14:solidFill>
          </w14:textFill>
        </w:rPr>
      </w:pPr>
      <w:r>
        <w:rPr>
          <w:rFonts w:hint="eastAsia"/>
          <w:b/>
          <w:bCs/>
          <w:color w:val="000000" w:themeColor="text1"/>
          <w14:textFill>
            <w14:solidFill>
              <w14:schemeClr w14:val="tx1"/>
            </w14:solidFill>
          </w14:textFill>
        </w:rPr>
        <w:t>③异常噪声：</w:t>
      </w:r>
      <w:r>
        <w:rPr>
          <w:rFonts w:hint="eastAsia"/>
          <w:color w:val="000000" w:themeColor="text1"/>
          <w14:textFill>
            <w14:solidFill>
              <w14:schemeClr w14:val="tx1"/>
            </w14:solidFill>
          </w14:textFill>
        </w:rPr>
        <w:t>公路交通异常噪声主要为路面沉降造成</w:t>
      </w:r>
      <w:bookmarkStart w:id="862" w:name="hmcheck_d78ed69ba3474cd8ab29ad9ae5478599"/>
      <w:r>
        <w:rPr>
          <w:rFonts w:hint="eastAsia"/>
          <w:color w:val="000000" w:themeColor="text1"/>
          <w:shd w:val="clear" w:fill="FFAFAA"/>
          <w14:textFill>
            <w14:solidFill>
              <w14:schemeClr w14:val="tx1"/>
            </w14:solidFill>
          </w14:textFill>
        </w:rPr>
        <w:t>的跳</w:t>
      </w:r>
      <w:bookmarkEnd w:id="862"/>
      <w:r>
        <w:rPr>
          <w:rFonts w:hint="eastAsia"/>
          <w:color w:val="000000" w:themeColor="text1"/>
          <w14:textFill>
            <w14:solidFill>
              <w14:schemeClr w14:val="tx1"/>
            </w14:solidFill>
          </w14:textFill>
        </w:rPr>
        <w:t>车异常噪声和司机人员频繁鸣笛尤为明显。因此，加强公路管理及路面养护，保持道路良好运营状态，减少路面沉降造成</w:t>
      </w:r>
      <w:bookmarkStart w:id="863" w:name="hmcheck_28037a0001704f49b03ee1d4254fdd0d"/>
      <w:r>
        <w:rPr>
          <w:rFonts w:hint="eastAsia"/>
          <w:color w:val="000000" w:themeColor="text1"/>
          <w:shd w:val="clear" w:fill="FFAFAA"/>
          <w14:textFill>
            <w14:solidFill>
              <w14:schemeClr w14:val="tx1"/>
            </w14:solidFill>
          </w14:textFill>
        </w:rPr>
        <w:t>的跳</w:t>
      </w:r>
      <w:bookmarkEnd w:id="863"/>
      <w:r>
        <w:rPr>
          <w:rFonts w:hint="eastAsia"/>
          <w:color w:val="000000" w:themeColor="text1"/>
          <w14:textFill>
            <w14:solidFill>
              <w14:schemeClr w14:val="tx1"/>
            </w14:solidFill>
          </w14:textFill>
        </w:rPr>
        <w:t>车异常噪声现象。</w:t>
      </w:r>
    </w:p>
    <w:p w14:paraId="0C28A174">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传声途径噪声削减措施</w:t>
      </w:r>
    </w:p>
    <w:p w14:paraId="074B48B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传声途径噪声削减措施主要为绿化林带降噪、声屏障及利用自然地形物降低噪声。</w:t>
      </w:r>
    </w:p>
    <w:p w14:paraId="7F3664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（1）绿化林带降噪：根据导则推算，采用倍频带中心频率为 500Hz 时对应的衰减系数0.05dB(A)/m，50m 绿化林带引起的噪声衰减量可取 2.5dB(A)，但由于林带降噪效果受高度、疏密程度、林木种类等因素影响明显，实际效果差异较大，本项目沿线分布有大量基本农田，不具备绿化林带降噪的条件。</w:t>
      </w:r>
    </w:p>
    <w:p w14:paraId="475BC71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（2）声屏障：声屏障适合于敏感点分布较密集且距道路较近的情况，相对于其他措施，声屏障具有容易实施，操作性强的优点，通常可降低1</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20</w:t>
      </w:r>
      <w:r>
        <w:rPr>
          <w:rFonts w:hint="eastAsia"/>
          <w:color w:val="000000" w:themeColor="text1"/>
          <w14:textFill>
            <w14:solidFill>
              <w14:schemeClr w14:val="tx1"/>
            </w14:solidFill>
          </w14:textFill>
        </w:rPr>
        <w:t>dB(A)，但其费用也较高，且对公路形成隔断，并且</w:t>
      </w:r>
      <w:r>
        <w:rPr>
          <w:color w:val="000000" w:themeColor="text1"/>
          <w14:textFill>
            <w14:solidFill>
              <w14:schemeClr w14:val="tx1"/>
            </w14:solidFill>
          </w14:textFill>
        </w:rPr>
        <w:t>某些形式的声屏障对景观</w:t>
      </w:r>
      <w:r>
        <w:rPr>
          <w:rFonts w:hint="eastAsia"/>
          <w:color w:val="000000" w:themeColor="text1"/>
          <w14:textFill>
            <w14:solidFill>
              <w14:schemeClr w14:val="tx1"/>
            </w14:solidFill>
          </w14:textFill>
        </w:rPr>
        <w:t>有影</w:t>
      </w:r>
      <w:r>
        <w:rPr>
          <w:color w:val="000000" w:themeColor="text1"/>
          <w14:textFill>
            <w14:solidFill>
              <w14:schemeClr w14:val="tx1"/>
            </w14:solidFill>
          </w14:textFill>
        </w:rPr>
        <w:t>响。</w:t>
      </w:r>
    </w:p>
    <w:p w14:paraId="38CE2B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沿线声环境敏感目标调查，本项目主要声环境敏感目标虽然局部分布相对集中，但由于沿线均为村庄，结合村民出行习惯、预测结果中远期超标量小、声屏障阻隔隔断等因素，因此，本项目不推荐设置声屏障。</w:t>
      </w:r>
    </w:p>
    <w:p w14:paraId="19974346">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敏感点噪声防护</w:t>
      </w:r>
    </w:p>
    <w:p w14:paraId="2E62EC9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敏感点噪声防护主要有声环境保护目标搬迁、建筑物使用功能变更和对敏感建筑物进行噪声防护三种途径。目前国内常用的敏感点降噪措施主要有搬迁、隔声窗等，几种措施降噪效果详见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_Ref150758494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表7.4-2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109B74E9">
      <w:pPr>
        <w:pStyle w:val="87"/>
        <w:spacing w:before="163"/>
        <w:ind w:left="480" w:firstLine="480"/>
        <w:rPr>
          <w:color w:val="000000" w:themeColor="text1"/>
          <w14:textFill>
            <w14:solidFill>
              <w14:schemeClr w14:val="tx1"/>
            </w14:solidFill>
          </w14:textFill>
        </w:rPr>
      </w:pPr>
      <w:bookmarkStart w:id="864" w:name="_Ref150758494"/>
      <w:r>
        <w:rPr>
          <w:color w:val="000000" w:themeColor="text1"/>
          <w14:textFill>
            <w14:solidFill>
              <w14:schemeClr w14:val="tx1"/>
            </w14:solidFill>
          </w14:textFill>
        </w:rPr>
        <w:t>噪声环保措施方案比较</w:t>
      </w:r>
      <w:bookmarkEnd w:id="864"/>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50"/>
        <w:gridCol w:w="2203"/>
        <w:gridCol w:w="885"/>
        <w:gridCol w:w="1926"/>
        <w:gridCol w:w="2453"/>
        <w:gridCol w:w="1009"/>
      </w:tblGrid>
      <w:tr w14:paraId="744229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6" w:type="pct"/>
            <w:vAlign w:val="center"/>
          </w:tcPr>
          <w:p w14:paraId="1D6669FF">
            <w:pPr>
              <w:pStyle w:val="105"/>
              <w:rPr>
                <w:color w:val="000000" w:themeColor="text1"/>
                <w14:textFill>
                  <w14:solidFill>
                    <w14:schemeClr w14:val="tx1"/>
                  </w14:solidFill>
                </w14:textFill>
              </w:rPr>
            </w:pPr>
            <w:r>
              <w:rPr>
                <w:color w:val="000000" w:themeColor="text1"/>
                <w14:textFill>
                  <w14:solidFill>
                    <w14:schemeClr w14:val="tx1"/>
                  </w14:solidFill>
                </w14:textFill>
              </w:rPr>
              <w:t>措施名称</w:t>
            </w:r>
          </w:p>
        </w:tc>
        <w:tc>
          <w:tcPr>
            <w:tcW w:w="1207" w:type="pct"/>
            <w:vAlign w:val="center"/>
          </w:tcPr>
          <w:p w14:paraId="65BA0136">
            <w:pPr>
              <w:pStyle w:val="105"/>
              <w:rPr>
                <w:color w:val="000000" w:themeColor="text1"/>
                <w14:textFill>
                  <w14:solidFill>
                    <w14:schemeClr w14:val="tx1"/>
                  </w14:solidFill>
                </w14:textFill>
              </w:rPr>
            </w:pPr>
            <w:r>
              <w:rPr>
                <w:color w:val="000000" w:themeColor="text1"/>
                <w14:textFill>
                  <w14:solidFill>
                    <w14:schemeClr w14:val="tx1"/>
                  </w14:solidFill>
                </w14:textFill>
              </w:rPr>
              <w:t>适用情况</w:t>
            </w:r>
          </w:p>
        </w:tc>
        <w:tc>
          <w:tcPr>
            <w:tcW w:w="485" w:type="pct"/>
            <w:vAlign w:val="center"/>
          </w:tcPr>
          <w:p w14:paraId="5A97DCF7">
            <w:pPr>
              <w:pStyle w:val="105"/>
              <w:rPr>
                <w:color w:val="000000" w:themeColor="text1"/>
                <w14:textFill>
                  <w14:solidFill>
                    <w14:schemeClr w14:val="tx1"/>
                  </w14:solidFill>
                </w14:textFill>
              </w:rPr>
            </w:pPr>
            <w:r>
              <w:rPr>
                <w:color w:val="000000" w:themeColor="text1"/>
                <w14:textFill>
                  <w14:solidFill>
                    <w14:schemeClr w14:val="tx1"/>
                  </w14:solidFill>
                </w14:textFill>
              </w:rPr>
              <w:t>降噪效果</w:t>
            </w:r>
          </w:p>
        </w:tc>
        <w:tc>
          <w:tcPr>
            <w:tcW w:w="1055" w:type="pct"/>
            <w:vAlign w:val="center"/>
          </w:tcPr>
          <w:p w14:paraId="4814FC6C">
            <w:pPr>
              <w:pStyle w:val="105"/>
              <w:rPr>
                <w:color w:val="000000" w:themeColor="text1"/>
                <w14:textFill>
                  <w14:solidFill>
                    <w14:schemeClr w14:val="tx1"/>
                  </w14:solidFill>
                </w14:textFill>
              </w:rPr>
            </w:pPr>
            <w:r>
              <w:rPr>
                <w:color w:val="000000" w:themeColor="text1"/>
                <w14:textFill>
                  <w14:solidFill>
                    <w14:schemeClr w14:val="tx1"/>
                  </w14:solidFill>
                </w14:textFill>
              </w:rPr>
              <w:t>优点</w:t>
            </w:r>
          </w:p>
        </w:tc>
        <w:tc>
          <w:tcPr>
            <w:tcW w:w="1344" w:type="pct"/>
            <w:vAlign w:val="center"/>
          </w:tcPr>
          <w:p w14:paraId="45E28A7D">
            <w:pPr>
              <w:pStyle w:val="105"/>
              <w:rPr>
                <w:color w:val="000000" w:themeColor="text1"/>
                <w14:textFill>
                  <w14:solidFill>
                    <w14:schemeClr w14:val="tx1"/>
                  </w14:solidFill>
                </w14:textFill>
              </w:rPr>
            </w:pPr>
            <w:r>
              <w:rPr>
                <w:color w:val="000000" w:themeColor="text1"/>
                <w14:textFill>
                  <w14:solidFill>
                    <w14:schemeClr w14:val="tx1"/>
                  </w14:solidFill>
                </w14:textFill>
              </w:rPr>
              <w:t>缺点</w:t>
            </w:r>
          </w:p>
        </w:tc>
        <w:tc>
          <w:tcPr>
            <w:tcW w:w="553" w:type="pct"/>
            <w:vAlign w:val="center"/>
          </w:tcPr>
          <w:p w14:paraId="799BF324">
            <w:pPr>
              <w:pStyle w:val="105"/>
              <w:rPr>
                <w:color w:val="000000" w:themeColor="text1"/>
                <w14:textFill>
                  <w14:solidFill>
                    <w14:schemeClr w14:val="tx1"/>
                  </w14:solidFill>
                </w14:textFill>
              </w:rPr>
            </w:pPr>
            <w:r>
              <w:rPr>
                <w:color w:val="000000" w:themeColor="text1"/>
                <w14:textFill>
                  <w14:solidFill>
                    <w14:schemeClr w14:val="tx1"/>
                  </w14:solidFill>
                </w14:textFill>
              </w:rPr>
              <w:t>实施费用</w:t>
            </w:r>
          </w:p>
        </w:tc>
      </w:tr>
      <w:tr w14:paraId="26BD7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6" w:type="pct"/>
            <w:vAlign w:val="center"/>
          </w:tcPr>
          <w:p w14:paraId="516B736F">
            <w:pPr>
              <w:pStyle w:val="105"/>
              <w:rPr>
                <w:color w:val="000000" w:themeColor="text1"/>
                <w14:textFill>
                  <w14:solidFill>
                    <w14:schemeClr w14:val="tx1"/>
                  </w14:solidFill>
                </w14:textFill>
              </w:rPr>
            </w:pPr>
            <w:r>
              <w:rPr>
                <w:color w:val="000000" w:themeColor="text1"/>
                <w14:textFill>
                  <w14:solidFill>
                    <w14:schemeClr w14:val="tx1"/>
                  </w14:solidFill>
                </w14:textFill>
              </w:rPr>
              <w:t>搬迁</w:t>
            </w:r>
          </w:p>
        </w:tc>
        <w:tc>
          <w:tcPr>
            <w:tcW w:w="1207" w:type="pct"/>
            <w:vAlign w:val="center"/>
          </w:tcPr>
          <w:p w14:paraId="2A3CC797">
            <w:pPr>
              <w:pStyle w:val="105"/>
              <w:rPr>
                <w:color w:val="000000" w:themeColor="text1"/>
                <w14:textFill>
                  <w14:solidFill>
                    <w14:schemeClr w14:val="tx1"/>
                  </w14:solidFill>
                </w14:textFill>
              </w:rPr>
            </w:pPr>
            <w:r>
              <w:rPr>
                <w:color w:val="000000" w:themeColor="text1"/>
                <w14:textFill>
                  <w14:solidFill>
                    <w14:schemeClr w14:val="tx1"/>
                  </w14:solidFill>
                </w14:textFill>
              </w:rPr>
              <w:t>超标严重的个别用户搬迁到不受影响的地方</w:t>
            </w:r>
          </w:p>
        </w:tc>
        <w:tc>
          <w:tcPr>
            <w:tcW w:w="485" w:type="pct"/>
            <w:vAlign w:val="center"/>
          </w:tcPr>
          <w:p w14:paraId="23AC338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消除影响</w:t>
            </w:r>
          </w:p>
        </w:tc>
        <w:tc>
          <w:tcPr>
            <w:tcW w:w="1055" w:type="pct"/>
            <w:vAlign w:val="center"/>
          </w:tcPr>
          <w:p w14:paraId="4E2CDE43">
            <w:pPr>
              <w:pStyle w:val="105"/>
              <w:rPr>
                <w:color w:val="000000" w:themeColor="text1"/>
                <w14:textFill>
                  <w14:solidFill>
                    <w14:schemeClr w14:val="tx1"/>
                  </w14:solidFill>
                </w14:textFill>
              </w:rPr>
            </w:pPr>
            <w:r>
              <w:rPr>
                <w:color w:val="000000" w:themeColor="text1"/>
                <w14:textFill>
                  <w14:solidFill>
                    <w14:schemeClr w14:val="tx1"/>
                  </w14:solidFill>
                </w14:textFill>
              </w:rPr>
              <w:t>降噪彻底，可以完全消除噪声影响</w:t>
            </w:r>
          </w:p>
        </w:tc>
        <w:tc>
          <w:tcPr>
            <w:tcW w:w="1344" w:type="pct"/>
            <w:vAlign w:val="center"/>
          </w:tcPr>
          <w:p w14:paraId="074F0E68">
            <w:pPr>
              <w:pStyle w:val="105"/>
              <w:rPr>
                <w:color w:val="000000" w:themeColor="text1"/>
                <w14:textFill>
                  <w14:solidFill>
                    <w14:schemeClr w14:val="tx1"/>
                  </w14:solidFill>
                </w14:textFill>
              </w:rPr>
            </w:pPr>
            <w:r>
              <w:rPr>
                <w:color w:val="000000" w:themeColor="text1"/>
                <w14:textFill>
                  <w14:solidFill>
                    <w14:schemeClr w14:val="tx1"/>
                  </w14:solidFill>
                </w14:textFill>
              </w:rPr>
              <w:t>考虑重新征用土地进行开发建设，综合投资巨大，同时实施搬迁也会产生新的环境问题</w:t>
            </w:r>
          </w:p>
        </w:tc>
        <w:tc>
          <w:tcPr>
            <w:tcW w:w="553" w:type="pct"/>
            <w:vAlign w:val="center"/>
          </w:tcPr>
          <w:p w14:paraId="0ACE345C">
            <w:pPr>
              <w:pStyle w:val="105"/>
              <w:rPr>
                <w:color w:val="000000" w:themeColor="text1"/>
                <w14:textFill>
                  <w14:solidFill>
                    <w14:schemeClr w14:val="tx1"/>
                  </w14:solidFill>
                </w14:textFill>
              </w:rPr>
            </w:pPr>
            <w:r>
              <w:rPr>
                <w:color w:val="000000" w:themeColor="text1"/>
                <w14:textFill>
                  <w14:solidFill>
                    <w14:schemeClr w14:val="tx1"/>
                  </w14:solidFill>
                </w14:textFill>
              </w:rPr>
              <w:t>按</w:t>
            </w:r>
            <w:r>
              <w:rPr>
                <w:rFonts w:hint="eastAsia"/>
                <w:color w:val="000000" w:themeColor="text1"/>
                <w14:textFill>
                  <w14:solidFill>
                    <w14:schemeClr w14:val="tx1"/>
                  </w14:solidFill>
                </w14:textFill>
              </w:rPr>
              <w:t>50万～100万</w:t>
            </w:r>
            <w:r>
              <w:rPr>
                <w:color w:val="000000" w:themeColor="text1"/>
                <w14:textFill>
                  <w14:solidFill>
                    <w14:schemeClr w14:val="tx1"/>
                  </w14:solidFill>
                </w14:textFill>
              </w:rPr>
              <w:t>元/户</w:t>
            </w:r>
          </w:p>
        </w:tc>
      </w:tr>
      <w:tr w14:paraId="3D9208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6" w:type="pct"/>
            <w:vAlign w:val="center"/>
          </w:tcPr>
          <w:p w14:paraId="4BCFA17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普通隔声</w:t>
            </w:r>
          </w:p>
          <w:p w14:paraId="6000B6D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窗</w:t>
            </w:r>
          </w:p>
        </w:tc>
        <w:tc>
          <w:tcPr>
            <w:tcW w:w="1207" w:type="pct"/>
            <w:vAlign w:val="center"/>
          </w:tcPr>
          <w:p w14:paraId="44CCE5F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超标严重、分布分散、距离公路稍远的居民点或学校、医院。</w:t>
            </w:r>
          </w:p>
        </w:tc>
        <w:tc>
          <w:tcPr>
            <w:tcW w:w="485" w:type="pct"/>
            <w:vAlign w:val="center"/>
          </w:tcPr>
          <w:p w14:paraId="747BDE1B">
            <w:pPr>
              <w:pStyle w:val="105"/>
              <w:rPr>
                <w:color w:val="000000" w:themeColor="text1"/>
                <w14:textFill>
                  <w14:solidFill>
                    <w14:schemeClr w14:val="tx1"/>
                  </w14:solidFill>
                </w14:textFill>
              </w:rPr>
            </w:pPr>
            <w:r>
              <w:rPr>
                <w:color w:val="000000" w:themeColor="text1"/>
                <w14:textFill>
                  <w14:solidFill>
                    <w14:schemeClr w14:val="tx1"/>
                  </w14:solidFill>
                </w14:textFill>
              </w:rPr>
              <w:t>6-15dB(A)</w:t>
            </w:r>
          </w:p>
        </w:tc>
        <w:tc>
          <w:tcPr>
            <w:tcW w:w="1055" w:type="pct"/>
            <w:vAlign w:val="center"/>
          </w:tcPr>
          <w:p w14:paraId="1EA62D9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降噪效果较好，费用适中，适用性强，对居民生活影响小。</w:t>
            </w:r>
          </w:p>
        </w:tc>
        <w:tc>
          <w:tcPr>
            <w:tcW w:w="1344" w:type="pct"/>
            <w:vAlign w:val="center"/>
          </w:tcPr>
          <w:p w14:paraId="76F4EC7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不通风，特别是夏天影响居民纳凉，实施较难，特别是农村地区。</w:t>
            </w:r>
          </w:p>
        </w:tc>
        <w:tc>
          <w:tcPr>
            <w:tcW w:w="553" w:type="pct"/>
            <w:vAlign w:val="center"/>
          </w:tcPr>
          <w:p w14:paraId="1A5D4544">
            <w:pPr>
              <w:pStyle w:val="105"/>
              <w:rPr>
                <w:color w:val="000000" w:themeColor="text1"/>
                <w14:textFill>
                  <w14:solidFill>
                    <w14:schemeClr w14:val="tx1"/>
                  </w14:solidFill>
                </w14:textFill>
              </w:rPr>
            </w:pPr>
            <w:r>
              <w:rPr>
                <w:color w:val="000000" w:themeColor="text1"/>
                <w14:textFill>
                  <w14:solidFill>
                    <w14:schemeClr w14:val="tx1"/>
                  </w14:solidFill>
                </w14:textFill>
              </w:rPr>
              <w:t>4</w:t>
            </w:r>
            <w:r>
              <w:rPr>
                <w:rFonts w:hint="eastAsia"/>
                <w:color w:val="000000" w:themeColor="text1"/>
                <w14:textFill>
                  <w14:solidFill>
                    <w14:schemeClr w14:val="tx1"/>
                  </w14:solidFill>
                </w14:textFill>
              </w:rPr>
              <w:t>00-</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00 元/m</w:t>
            </w:r>
            <w:r>
              <w:rPr>
                <w:rFonts w:hint="eastAsia"/>
                <w:color w:val="000000" w:themeColor="text1"/>
                <w:vertAlign w:val="superscript"/>
                <w14:textFill>
                  <w14:solidFill>
                    <w14:schemeClr w14:val="tx1"/>
                  </w14:solidFill>
                </w14:textFill>
              </w:rPr>
              <w:t>2</w:t>
            </w:r>
          </w:p>
        </w:tc>
      </w:tr>
      <w:tr w14:paraId="684787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356" w:type="pct"/>
            <w:vAlign w:val="center"/>
          </w:tcPr>
          <w:p w14:paraId="37E0E49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通风隔声窗</w:t>
            </w:r>
          </w:p>
        </w:tc>
        <w:tc>
          <w:tcPr>
            <w:tcW w:w="1207" w:type="pct"/>
            <w:vAlign w:val="center"/>
          </w:tcPr>
          <w:p w14:paraId="489B31E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超标严重、分布分散、距离公路较远的居民点或学校、医院。</w:t>
            </w:r>
          </w:p>
        </w:tc>
        <w:tc>
          <w:tcPr>
            <w:tcW w:w="485" w:type="pct"/>
            <w:vAlign w:val="center"/>
          </w:tcPr>
          <w:p w14:paraId="2716B0B8">
            <w:pPr>
              <w:pStyle w:val="105"/>
              <w:rPr>
                <w:color w:val="000000" w:themeColor="text1"/>
                <w14:textFill>
                  <w14:solidFill>
                    <w14:schemeClr w14:val="tx1"/>
                  </w14:solidFill>
                </w14:textFill>
              </w:rPr>
            </w:pPr>
            <w:r>
              <w:rPr>
                <w:color w:val="000000" w:themeColor="text1"/>
                <w14:textFill>
                  <w14:solidFill>
                    <w14:schemeClr w14:val="tx1"/>
                  </w14:solidFill>
                </w14:textFill>
              </w:rPr>
              <w:t>8-20dB(A)</w:t>
            </w:r>
          </w:p>
        </w:tc>
        <w:tc>
          <w:tcPr>
            <w:tcW w:w="1055" w:type="pct"/>
            <w:vAlign w:val="center"/>
          </w:tcPr>
          <w:p w14:paraId="0E5F457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效果较好，降噪同时兼顾通风，费用适中。</w:t>
            </w:r>
          </w:p>
        </w:tc>
        <w:tc>
          <w:tcPr>
            <w:tcW w:w="1344" w:type="pct"/>
            <w:vAlign w:val="center"/>
          </w:tcPr>
          <w:p w14:paraId="20D860B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实施较难，特别是</w:t>
            </w:r>
            <w:bookmarkStart w:id="865" w:name="hmcheck_1c39cd0fe7104827be49547f83d1f315"/>
            <w:r>
              <w:rPr>
                <w:rFonts w:hint="eastAsia"/>
                <w:color w:val="000000" w:themeColor="text1"/>
                <w:shd w:val="clear" w:fill="FFAFAA"/>
                <w14:textFill>
                  <w14:solidFill>
                    <w14:schemeClr w14:val="tx1"/>
                  </w14:solidFill>
                </w14:textFill>
              </w:rPr>
              <w:t>农</w:t>
            </w:r>
            <w:bookmarkEnd w:id="865"/>
          </w:p>
          <w:p w14:paraId="7698759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村地区。</w:t>
            </w:r>
          </w:p>
        </w:tc>
        <w:tc>
          <w:tcPr>
            <w:tcW w:w="553" w:type="pct"/>
            <w:vAlign w:val="center"/>
          </w:tcPr>
          <w:p w14:paraId="095C9317">
            <w:pPr>
              <w:pStyle w:val="105"/>
              <w:rPr>
                <w:color w:val="000000" w:themeColor="text1"/>
                <w14:textFill>
                  <w14:solidFill>
                    <w14:schemeClr w14:val="tx1"/>
                  </w14:solidFill>
                </w14:textFill>
              </w:rPr>
            </w:pPr>
            <w:r>
              <w:rPr>
                <w:color w:val="000000" w:themeColor="text1"/>
                <w14:textFill>
                  <w14:solidFill>
                    <w14:schemeClr w14:val="tx1"/>
                  </w14:solidFill>
                </w14:textFill>
              </w:rPr>
              <w:t>800</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12</w:t>
            </w:r>
            <w:r>
              <w:rPr>
                <w:rFonts w:hint="eastAsia"/>
                <w:color w:val="000000" w:themeColor="text1"/>
                <w14:textFill>
                  <w14:solidFill>
                    <w14:schemeClr w14:val="tx1"/>
                  </w14:solidFill>
                </w14:textFill>
              </w:rPr>
              <w:t>00 元/m</w:t>
            </w:r>
            <w:r>
              <w:rPr>
                <w:rFonts w:hint="eastAsia"/>
                <w:color w:val="000000" w:themeColor="text1"/>
                <w:vertAlign w:val="superscript"/>
                <w14:textFill>
                  <w14:solidFill>
                    <w14:schemeClr w14:val="tx1"/>
                  </w14:solidFill>
                </w14:textFill>
              </w:rPr>
              <w:t>2</w:t>
            </w:r>
          </w:p>
        </w:tc>
      </w:tr>
    </w:tbl>
    <w:p w14:paraId="3EA76077">
      <w:pPr>
        <w:pStyle w:val="851"/>
        <w:spacing w:before="163"/>
        <w:ind w:firstLine="480"/>
        <w:rPr>
          <w:color w:val="000000" w:themeColor="text1"/>
          <w:highlight w:val="yellow"/>
          <w14:textFill>
            <w14:solidFill>
              <w14:schemeClr w14:val="tx1"/>
            </w14:solidFill>
          </w14:textFill>
        </w:rPr>
      </w:pPr>
      <w:bookmarkStart w:id="866" w:name="_Hlk153908122"/>
      <w:bookmarkStart w:id="867" w:name="_Toc439084321"/>
      <w:r>
        <w:rPr>
          <w:rFonts w:hint="eastAsia"/>
          <w:color w:val="000000" w:themeColor="text1"/>
          <w14:textFill>
            <w14:solidFill>
              <w14:schemeClr w14:val="tx1"/>
            </w14:solidFill>
          </w14:textFill>
        </w:rPr>
        <w:t>从预测结果可以看出，项目运营期沿线敏感目标受交通噪声影响不大，仅临路第一排部分敏感点夜间出现部分超标，主要有牌边村新桥、上张村王房、联华村后郑、联华村西山近中远期夜间均出现</w:t>
      </w:r>
      <w:bookmarkStart w:id="868" w:name="hmcheck_4b10d29b20c44c3ea6627766bb79aa71"/>
      <w:r>
        <w:rPr>
          <w:rFonts w:hint="eastAsia"/>
          <w:color w:val="000000" w:themeColor="text1"/>
          <w:shd w:val="clear" w:fill="FFAFAA"/>
          <w14:textFill>
            <w14:solidFill>
              <w14:schemeClr w14:val="tx1"/>
            </w14:solidFill>
          </w14:textFill>
        </w:rPr>
        <w:t>不用</w:t>
      </w:r>
      <w:bookmarkEnd w:id="868"/>
      <w:r>
        <w:rPr>
          <w:rFonts w:hint="eastAsia"/>
          <w:color w:val="000000" w:themeColor="text1"/>
          <w14:textFill>
            <w14:solidFill>
              <w14:schemeClr w14:val="tx1"/>
            </w14:solidFill>
          </w14:textFill>
        </w:rPr>
        <w:t>程度超标，超标量近中远分别为</w:t>
      </w:r>
      <w:r>
        <w:rPr>
          <w:color w:val="000000" w:themeColor="text1"/>
          <w14:textFill>
            <w14:solidFill>
              <w14:schemeClr w14:val="tx1"/>
            </w14:solidFill>
          </w14:textFill>
        </w:rPr>
        <w:t>2.6~8.0</w:t>
      </w:r>
      <w:r>
        <w:rPr>
          <w:rFonts w:hint="eastAsia"/>
          <w:color w:val="000000" w:themeColor="text1"/>
          <w14:textFill>
            <w14:solidFill>
              <w14:schemeClr w14:val="tx1"/>
            </w14:solidFill>
          </w14:textFill>
        </w:rPr>
        <w:t xml:space="preserve">dB（A）、3.0 </w:t>
      </w:r>
      <w:r>
        <w:rPr>
          <w:color w:val="000000" w:themeColor="text1"/>
          <w14:textFill>
            <w14:solidFill>
              <w14:schemeClr w14:val="tx1"/>
            </w14:solidFill>
          </w14:textFill>
        </w:rPr>
        <w:t>~8.0</w:t>
      </w:r>
      <w:r>
        <w:rPr>
          <w:rFonts w:hint="eastAsia"/>
          <w:color w:val="000000" w:themeColor="text1"/>
          <w14:textFill>
            <w14:solidFill>
              <w14:schemeClr w14:val="tx1"/>
            </w14:solidFill>
          </w14:textFill>
        </w:rPr>
        <w:t>dB（A）、3</w:t>
      </w:r>
      <w:r>
        <w:rPr>
          <w:color w:val="000000" w:themeColor="text1"/>
          <w14:textFill>
            <w14:solidFill>
              <w14:schemeClr w14:val="tx1"/>
            </w14:solidFill>
          </w14:textFill>
        </w:rPr>
        <w:t>.3~8.1</w:t>
      </w:r>
      <w:r>
        <w:rPr>
          <w:rFonts w:hint="eastAsia"/>
          <w:color w:val="000000" w:themeColor="text1"/>
          <w14:textFill>
            <w14:solidFill>
              <w14:schemeClr w14:val="tx1"/>
            </w14:solidFill>
          </w14:textFill>
        </w:rPr>
        <w:t>dB（A）。因此，本项目针对近中远夜间超标的牌边村新桥、上张村王房、联华村后郑、联华村西山设置通风隔声窗，同时预留资金，用于中远期跟踪监测。</w:t>
      </w:r>
      <w:bookmarkEnd w:id="866"/>
    </w:p>
    <w:p w14:paraId="425C459F">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工程及管理措施</w:t>
      </w:r>
    </w:p>
    <w:p w14:paraId="4B6A027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①完善公路警示标志，临近村庄路段设立禁鸣、禁停等标志，以提醒过往车辆禁止鸣笛，不随意停车。</w:t>
      </w:r>
    </w:p>
    <w:p w14:paraId="3725EF8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②加强公路的维修保养，保持路面平整，尽可能减少路面下沉、裂缝、凹凸不平现象，减少汽车刹车、启动过程中产生的高声级，减少交通噪声扰民事件的发生。</w:t>
      </w:r>
    </w:p>
    <w:p w14:paraId="1215160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③加强运营期沿线敏感点的噪声监测，根据实际监测结果及时调整和完善噪声防治措施。</w:t>
      </w:r>
    </w:p>
    <w:p w14:paraId="6F6E09E9">
      <w:pPr>
        <w:pStyle w:val="118"/>
        <w:rPr>
          <w:color w:val="000000" w:themeColor="text1"/>
          <w14:textFill>
            <w14:solidFill>
              <w14:schemeClr w14:val="tx1"/>
            </w14:solidFill>
          </w14:textFill>
        </w:rPr>
      </w:pPr>
      <w:r>
        <w:rPr>
          <w:rFonts w:hint="eastAsia"/>
          <w:color w:val="000000" w:themeColor="text1"/>
          <w14:textFill>
            <w14:solidFill>
              <w14:schemeClr w14:val="tx1"/>
            </w14:solidFill>
          </w14:textFill>
        </w:rPr>
        <w:t>小结</w:t>
      </w:r>
    </w:p>
    <w:p w14:paraId="3E8700FB">
      <w:pPr>
        <w:ind w:firstLine="480"/>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项目运营期沿线敏感目标受交通噪声影响不大，仅部分敏感点夜间出现部分超标，因此，本项目针对超标敏感目标设置通风隔声窗，同时预留资金，用于中远期跟踪监测。</w:t>
      </w:r>
    </w:p>
    <w:p w14:paraId="200EE5BD">
      <w:pPr>
        <w:pStyle w:val="124"/>
        <w:spacing w:before="163"/>
        <w:rPr>
          <w:color w:val="000000" w:themeColor="text1"/>
          <w:highlight w:val="yellow"/>
          <w14:textFill>
            <w14:solidFill>
              <w14:schemeClr w14:val="tx1"/>
            </w14:solidFill>
          </w14:textFill>
        </w:rPr>
        <w:sectPr>
          <w:pgSz w:w="11906" w:h="16838"/>
          <w:pgMar w:top="1418" w:right="1418" w:bottom="1418" w:left="1418" w:header="851" w:footer="850" w:gutter="0"/>
          <w:cols w:space="425" w:num="1"/>
          <w:docGrid w:type="lines" w:linePitch="326" w:charSpace="0"/>
        </w:sectPr>
      </w:pPr>
    </w:p>
    <w:p w14:paraId="67E1030D">
      <w:pPr>
        <w:pStyle w:val="124"/>
        <w:spacing w:before="163"/>
        <w:rPr>
          <w:color w:val="000000" w:themeColor="text1"/>
          <w:highlight w:val="yellow"/>
          <w14:textFill>
            <w14:solidFill>
              <w14:schemeClr w14:val="tx1"/>
            </w14:solidFill>
          </w14:textFill>
        </w:rPr>
        <w:sectPr>
          <w:type w:val="continuous"/>
          <w:pgSz w:w="11906" w:h="16838"/>
          <w:pgMar w:top="1418" w:right="1418" w:bottom="1418" w:left="1418" w:header="851" w:footer="850" w:gutter="0"/>
          <w:cols w:space="425" w:num="1"/>
          <w:docGrid w:type="lines" w:linePitch="326" w:charSpace="0"/>
        </w:sectPr>
      </w:pPr>
    </w:p>
    <w:p w14:paraId="56F40233">
      <w:pPr>
        <w:pStyle w:val="87"/>
        <w:spacing w:before="163"/>
        <w:ind w:left="480"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公路交通噪声控制措施及投资表</w:t>
      </w:r>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478"/>
        <w:gridCol w:w="1482"/>
        <w:gridCol w:w="1291"/>
        <w:gridCol w:w="770"/>
        <w:gridCol w:w="762"/>
        <w:gridCol w:w="1006"/>
        <w:gridCol w:w="485"/>
        <w:gridCol w:w="518"/>
        <w:gridCol w:w="518"/>
        <w:gridCol w:w="521"/>
        <w:gridCol w:w="605"/>
        <w:gridCol w:w="605"/>
        <w:gridCol w:w="611"/>
        <w:gridCol w:w="776"/>
        <w:gridCol w:w="753"/>
        <w:gridCol w:w="664"/>
        <w:gridCol w:w="1210"/>
        <w:gridCol w:w="947"/>
      </w:tblGrid>
      <w:tr w14:paraId="31D25D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50" w:hRule="atLeast"/>
          <w:tblHeader/>
          <w:jc w:val="center"/>
        </w:trPr>
        <w:tc>
          <w:tcPr>
            <w:tcW w:w="171" w:type="pct"/>
            <w:vMerge w:val="restart"/>
            <w:vAlign w:val="center"/>
          </w:tcPr>
          <w:p w14:paraId="50C8385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序号</w:t>
            </w:r>
          </w:p>
        </w:tc>
        <w:tc>
          <w:tcPr>
            <w:tcW w:w="529" w:type="pct"/>
            <w:vMerge w:val="restart"/>
            <w:vAlign w:val="center"/>
          </w:tcPr>
          <w:p w14:paraId="34DE94D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声环境</w:t>
            </w:r>
          </w:p>
          <w:p w14:paraId="08E609D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保护目</w:t>
            </w:r>
          </w:p>
          <w:p w14:paraId="3FD9FA1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标名称</w:t>
            </w:r>
          </w:p>
        </w:tc>
        <w:tc>
          <w:tcPr>
            <w:tcW w:w="461" w:type="pct"/>
            <w:vMerge w:val="restart"/>
            <w:vAlign w:val="center"/>
          </w:tcPr>
          <w:p w14:paraId="01F536D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里程</w:t>
            </w:r>
          </w:p>
          <w:p w14:paraId="40F6AD0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范围</w:t>
            </w:r>
          </w:p>
        </w:tc>
        <w:tc>
          <w:tcPr>
            <w:tcW w:w="275" w:type="pct"/>
            <w:vMerge w:val="restart"/>
            <w:vAlign w:val="center"/>
          </w:tcPr>
          <w:p w14:paraId="598B945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距离路中心线/m</w:t>
            </w:r>
          </w:p>
        </w:tc>
        <w:tc>
          <w:tcPr>
            <w:tcW w:w="272" w:type="pct"/>
            <w:vMerge w:val="restart"/>
            <w:vAlign w:val="center"/>
          </w:tcPr>
          <w:p w14:paraId="72F3F5F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高差/m</w:t>
            </w:r>
          </w:p>
        </w:tc>
        <w:tc>
          <w:tcPr>
            <w:tcW w:w="359" w:type="pct"/>
            <w:vMerge w:val="restart"/>
            <w:vAlign w:val="center"/>
          </w:tcPr>
          <w:p w14:paraId="7C14437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声环境</w:t>
            </w:r>
          </w:p>
          <w:p w14:paraId="73C544A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功能区划</w:t>
            </w:r>
          </w:p>
        </w:tc>
        <w:tc>
          <w:tcPr>
            <w:tcW w:w="173" w:type="pct"/>
            <w:vMerge w:val="restart"/>
            <w:vAlign w:val="center"/>
          </w:tcPr>
          <w:p w14:paraId="4D80A0D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时段</w:t>
            </w:r>
          </w:p>
        </w:tc>
        <w:tc>
          <w:tcPr>
            <w:tcW w:w="556" w:type="pct"/>
            <w:gridSpan w:val="3"/>
            <w:vAlign w:val="center"/>
          </w:tcPr>
          <w:p w14:paraId="53DD2AF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噪声预测值</w:t>
            </w:r>
            <w:r>
              <w:rPr>
                <w:color w:val="000000" w:themeColor="text1"/>
                <w:sz w:val="18"/>
                <w:szCs w:val="18"/>
                <w14:textFill>
                  <w14:solidFill>
                    <w14:schemeClr w14:val="tx1"/>
                  </w14:solidFill>
                </w14:textFill>
              </w:rPr>
              <w:t>/dB</w:t>
            </w:r>
          </w:p>
        </w:tc>
        <w:tc>
          <w:tcPr>
            <w:tcW w:w="650" w:type="pct"/>
            <w:gridSpan w:val="3"/>
            <w:vAlign w:val="center"/>
          </w:tcPr>
          <w:p w14:paraId="0AE6B17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运营期超标量/dB</w:t>
            </w:r>
          </w:p>
        </w:tc>
        <w:tc>
          <w:tcPr>
            <w:tcW w:w="277" w:type="pct"/>
            <w:vMerge w:val="restart"/>
            <w:vAlign w:val="center"/>
          </w:tcPr>
          <w:p w14:paraId="708970B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受影响户数/户</w:t>
            </w:r>
          </w:p>
        </w:tc>
        <w:tc>
          <w:tcPr>
            <w:tcW w:w="1276" w:type="pct"/>
            <w:gridSpan w:val="4"/>
            <w:vAlign w:val="center"/>
          </w:tcPr>
          <w:p w14:paraId="5C88BB6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噪声防治措施及投资</w:t>
            </w:r>
          </w:p>
        </w:tc>
      </w:tr>
      <w:tr w14:paraId="21FA75C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50" w:hRule="atLeast"/>
          <w:tblHeader/>
          <w:jc w:val="center"/>
        </w:trPr>
        <w:tc>
          <w:tcPr>
            <w:tcW w:w="171" w:type="pct"/>
            <w:vMerge w:val="continue"/>
            <w:vAlign w:val="center"/>
          </w:tcPr>
          <w:p w14:paraId="28C92955">
            <w:pPr>
              <w:pStyle w:val="105"/>
              <w:jc w:val="center"/>
              <w:rPr>
                <w:color w:val="000000" w:themeColor="text1"/>
                <w:sz w:val="18"/>
                <w:szCs w:val="18"/>
                <w14:textFill>
                  <w14:solidFill>
                    <w14:schemeClr w14:val="tx1"/>
                  </w14:solidFill>
                </w14:textFill>
              </w:rPr>
            </w:pPr>
          </w:p>
        </w:tc>
        <w:tc>
          <w:tcPr>
            <w:tcW w:w="529" w:type="pct"/>
            <w:vMerge w:val="continue"/>
            <w:vAlign w:val="center"/>
          </w:tcPr>
          <w:p w14:paraId="794A8892">
            <w:pPr>
              <w:pStyle w:val="105"/>
              <w:jc w:val="center"/>
              <w:rPr>
                <w:color w:val="000000" w:themeColor="text1"/>
                <w:sz w:val="18"/>
                <w:szCs w:val="18"/>
                <w14:textFill>
                  <w14:solidFill>
                    <w14:schemeClr w14:val="tx1"/>
                  </w14:solidFill>
                </w14:textFill>
              </w:rPr>
            </w:pPr>
          </w:p>
        </w:tc>
        <w:tc>
          <w:tcPr>
            <w:tcW w:w="461" w:type="pct"/>
            <w:vMerge w:val="continue"/>
            <w:vAlign w:val="center"/>
          </w:tcPr>
          <w:p w14:paraId="6B868F74">
            <w:pPr>
              <w:pStyle w:val="105"/>
              <w:jc w:val="center"/>
              <w:rPr>
                <w:color w:val="000000" w:themeColor="text1"/>
                <w:sz w:val="18"/>
                <w:szCs w:val="18"/>
                <w14:textFill>
                  <w14:solidFill>
                    <w14:schemeClr w14:val="tx1"/>
                  </w14:solidFill>
                </w14:textFill>
              </w:rPr>
            </w:pPr>
          </w:p>
        </w:tc>
        <w:tc>
          <w:tcPr>
            <w:tcW w:w="275" w:type="pct"/>
            <w:vMerge w:val="continue"/>
            <w:vAlign w:val="center"/>
          </w:tcPr>
          <w:p w14:paraId="34D469F0">
            <w:pPr>
              <w:pStyle w:val="105"/>
              <w:jc w:val="center"/>
              <w:rPr>
                <w:color w:val="000000" w:themeColor="text1"/>
                <w:sz w:val="18"/>
                <w:szCs w:val="18"/>
                <w14:textFill>
                  <w14:solidFill>
                    <w14:schemeClr w14:val="tx1"/>
                  </w14:solidFill>
                </w14:textFill>
              </w:rPr>
            </w:pPr>
          </w:p>
        </w:tc>
        <w:tc>
          <w:tcPr>
            <w:tcW w:w="272" w:type="pct"/>
            <w:vMerge w:val="continue"/>
            <w:vAlign w:val="center"/>
          </w:tcPr>
          <w:p w14:paraId="2AD7E9A3">
            <w:pPr>
              <w:pStyle w:val="105"/>
              <w:jc w:val="center"/>
              <w:rPr>
                <w:color w:val="000000" w:themeColor="text1"/>
                <w:sz w:val="18"/>
                <w:szCs w:val="18"/>
                <w14:textFill>
                  <w14:solidFill>
                    <w14:schemeClr w14:val="tx1"/>
                  </w14:solidFill>
                </w14:textFill>
              </w:rPr>
            </w:pPr>
          </w:p>
        </w:tc>
        <w:tc>
          <w:tcPr>
            <w:tcW w:w="359" w:type="pct"/>
            <w:vMerge w:val="continue"/>
            <w:vAlign w:val="center"/>
          </w:tcPr>
          <w:p w14:paraId="7A814E8D">
            <w:pPr>
              <w:pStyle w:val="105"/>
              <w:jc w:val="center"/>
              <w:rPr>
                <w:color w:val="000000" w:themeColor="text1"/>
                <w:sz w:val="18"/>
                <w:szCs w:val="18"/>
                <w14:textFill>
                  <w14:solidFill>
                    <w14:schemeClr w14:val="tx1"/>
                  </w14:solidFill>
                </w14:textFill>
              </w:rPr>
            </w:pPr>
          </w:p>
        </w:tc>
        <w:tc>
          <w:tcPr>
            <w:tcW w:w="173" w:type="pct"/>
            <w:vMerge w:val="continue"/>
            <w:vAlign w:val="center"/>
          </w:tcPr>
          <w:p w14:paraId="481A1503">
            <w:pPr>
              <w:pStyle w:val="105"/>
              <w:jc w:val="center"/>
              <w:rPr>
                <w:color w:val="000000" w:themeColor="text1"/>
                <w:sz w:val="18"/>
                <w:szCs w:val="18"/>
                <w14:textFill>
                  <w14:solidFill>
                    <w14:schemeClr w14:val="tx1"/>
                  </w14:solidFill>
                </w14:textFill>
              </w:rPr>
            </w:pPr>
          </w:p>
        </w:tc>
        <w:tc>
          <w:tcPr>
            <w:tcW w:w="185" w:type="pct"/>
            <w:vAlign w:val="center"/>
          </w:tcPr>
          <w:p w14:paraId="3D8433C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近期</w:t>
            </w:r>
          </w:p>
        </w:tc>
        <w:tc>
          <w:tcPr>
            <w:tcW w:w="185" w:type="pct"/>
            <w:vAlign w:val="center"/>
          </w:tcPr>
          <w:p w14:paraId="29461D4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中期</w:t>
            </w:r>
          </w:p>
        </w:tc>
        <w:tc>
          <w:tcPr>
            <w:tcW w:w="186" w:type="pct"/>
            <w:vAlign w:val="center"/>
          </w:tcPr>
          <w:p w14:paraId="116BD97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远期</w:t>
            </w:r>
          </w:p>
        </w:tc>
        <w:tc>
          <w:tcPr>
            <w:tcW w:w="216" w:type="pct"/>
            <w:vAlign w:val="center"/>
          </w:tcPr>
          <w:p w14:paraId="6C006F2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近期</w:t>
            </w:r>
          </w:p>
        </w:tc>
        <w:tc>
          <w:tcPr>
            <w:tcW w:w="216" w:type="pct"/>
            <w:vAlign w:val="center"/>
          </w:tcPr>
          <w:p w14:paraId="07958B6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中期</w:t>
            </w:r>
          </w:p>
        </w:tc>
        <w:tc>
          <w:tcPr>
            <w:tcW w:w="218" w:type="pct"/>
            <w:vAlign w:val="center"/>
          </w:tcPr>
          <w:p w14:paraId="29E63BF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远期</w:t>
            </w:r>
          </w:p>
        </w:tc>
        <w:tc>
          <w:tcPr>
            <w:tcW w:w="277" w:type="pct"/>
            <w:vMerge w:val="continue"/>
            <w:vAlign w:val="center"/>
          </w:tcPr>
          <w:p w14:paraId="1AD06984">
            <w:pPr>
              <w:pStyle w:val="105"/>
              <w:jc w:val="center"/>
              <w:rPr>
                <w:color w:val="000000" w:themeColor="text1"/>
                <w:sz w:val="18"/>
                <w:szCs w:val="18"/>
                <w14:textFill>
                  <w14:solidFill>
                    <w14:schemeClr w14:val="tx1"/>
                  </w14:solidFill>
                </w14:textFill>
              </w:rPr>
            </w:pPr>
          </w:p>
        </w:tc>
        <w:tc>
          <w:tcPr>
            <w:tcW w:w="269" w:type="pct"/>
            <w:vAlign w:val="center"/>
          </w:tcPr>
          <w:p w14:paraId="6B79D26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类型</w:t>
            </w:r>
          </w:p>
        </w:tc>
        <w:tc>
          <w:tcPr>
            <w:tcW w:w="237" w:type="pct"/>
            <w:vAlign w:val="center"/>
          </w:tcPr>
          <w:p w14:paraId="14DF790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规模</w:t>
            </w:r>
          </w:p>
        </w:tc>
        <w:tc>
          <w:tcPr>
            <w:tcW w:w="432" w:type="pct"/>
            <w:vAlign w:val="center"/>
          </w:tcPr>
          <w:p w14:paraId="5D5F0B5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噪声控制措施效果</w:t>
            </w:r>
          </w:p>
        </w:tc>
        <w:tc>
          <w:tcPr>
            <w:tcW w:w="338" w:type="pct"/>
            <w:vAlign w:val="center"/>
          </w:tcPr>
          <w:p w14:paraId="78EFC7DF">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措施投资</w:t>
            </w:r>
          </w:p>
          <w:p w14:paraId="545966E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/万元</w:t>
            </w:r>
          </w:p>
        </w:tc>
      </w:tr>
      <w:tr w14:paraId="17C80F6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restart"/>
            <w:vAlign w:val="center"/>
          </w:tcPr>
          <w:p w14:paraId="5E92D02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p>
        </w:tc>
        <w:tc>
          <w:tcPr>
            <w:tcW w:w="529" w:type="pct"/>
            <w:vMerge w:val="restart"/>
            <w:vAlign w:val="center"/>
          </w:tcPr>
          <w:p w14:paraId="0E74CA5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牌边村新桥临——拟建公路第一排（G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国道后排）</w:t>
            </w:r>
          </w:p>
        </w:tc>
        <w:tc>
          <w:tcPr>
            <w:tcW w:w="461" w:type="pct"/>
            <w:vMerge w:val="restart"/>
            <w:vAlign w:val="center"/>
          </w:tcPr>
          <w:p w14:paraId="1D393AA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起点</w:t>
            </w:r>
            <w:bookmarkStart w:id="869" w:name="hmcheck_a5b62fd06cf34eae8132f133db062871"/>
            <w:r>
              <w:rPr>
                <w:rFonts w:hint="eastAsia"/>
                <w:color w:val="000000" w:themeColor="text1"/>
                <w:sz w:val="18"/>
                <w:szCs w:val="18"/>
                <w:shd w:val="clear" w:fill="FFAFAA"/>
                <w14:textFill>
                  <w14:solidFill>
                    <w14:schemeClr w14:val="tx1"/>
                  </w14:solidFill>
                </w14:textFill>
              </w:rPr>
              <w:t>~</w:t>
            </w:r>
            <w:bookmarkEnd w:id="869"/>
            <w:r>
              <w:rPr>
                <w:rFonts w:hint="eastAsia"/>
                <w:color w:val="000000" w:themeColor="text1"/>
                <w:sz w:val="18"/>
                <w:szCs w:val="18"/>
                <w14:textFill>
                  <w14:solidFill>
                    <w14:schemeClr w14:val="tx1"/>
                  </w14:solidFill>
                </w14:textFill>
              </w:rPr>
              <w:t>K0+140</w:t>
            </w:r>
          </w:p>
        </w:tc>
        <w:tc>
          <w:tcPr>
            <w:tcW w:w="275" w:type="pct"/>
            <w:vMerge w:val="restart"/>
            <w:vAlign w:val="center"/>
          </w:tcPr>
          <w:p w14:paraId="3C2A70B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13</w:t>
            </w:r>
          </w:p>
        </w:tc>
        <w:tc>
          <w:tcPr>
            <w:tcW w:w="272" w:type="pct"/>
            <w:vMerge w:val="restart"/>
            <w:vAlign w:val="center"/>
          </w:tcPr>
          <w:p w14:paraId="1C64BB9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~2</w:t>
            </w:r>
          </w:p>
        </w:tc>
        <w:tc>
          <w:tcPr>
            <w:tcW w:w="359" w:type="pct"/>
            <w:vMerge w:val="restart"/>
            <w:vAlign w:val="center"/>
          </w:tcPr>
          <w:p w14:paraId="4CB9394E">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a类区</w:t>
            </w:r>
          </w:p>
        </w:tc>
        <w:tc>
          <w:tcPr>
            <w:tcW w:w="173" w:type="pct"/>
            <w:vAlign w:val="center"/>
          </w:tcPr>
          <w:p w14:paraId="1D2D830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185" w:type="pct"/>
            <w:vAlign w:val="center"/>
          </w:tcPr>
          <w:p w14:paraId="35143B8F">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65.9 </w:t>
            </w:r>
          </w:p>
        </w:tc>
        <w:tc>
          <w:tcPr>
            <w:tcW w:w="185" w:type="pct"/>
            <w:vAlign w:val="center"/>
          </w:tcPr>
          <w:p w14:paraId="740CC17D">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67.4 </w:t>
            </w:r>
          </w:p>
        </w:tc>
        <w:tc>
          <w:tcPr>
            <w:tcW w:w="186" w:type="pct"/>
            <w:vAlign w:val="center"/>
          </w:tcPr>
          <w:p w14:paraId="3338D1CB">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67.7 </w:t>
            </w:r>
          </w:p>
        </w:tc>
        <w:tc>
          <w:tcPr>
            <w:tcW w:w="216" w:type="pct"/>
            <w:vAlign w:val="center"/>
          </w:tcPr>
          <w:p w14:paraId="646BEDE2">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w:t>
            </w:r>
          </w:p>
        </w:tc>
        <w:tc>
          <w:tcPr>
            <w:tcW w:w="216" w:type="pct"/>
            <w:vAlign w:val="center"/>
          </w:tcPr>
          <w:p w14:paraId="73C4A546">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w:t>
            </w:r>
          </w:p>
        </w:tc>
        <w:tc>
          <w:tcPr>
            <w:tcW w:w="218" w:type="pct"/>
            <w:vAlign w:val="center"/>
          </w:tcPr>
          <w:p w14:paraId="5F111107">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w:t>
            </w:r>
          </w:p>
        </w:tc>
        <w:tc>
          <w:tcPr>
            <w:tcW w:w="277" w:type="pct"/>
            <w:vMerge w:val="restart"/>
            <w:vAlign w:val="center"/>
          </w:tcPr>
          <w:p w14:paraId="2BBB551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w:t>
            </w:r>
            <w:r>
              <w:rPr>
                <w:rFonts w:hint="eastAsia"/>
                <w:color w:val="000000" w:themeColor="text1"/>
                <w:sz w:val="18"/>
                <w:szCs w:val="18"/>
                <w14:textFill>
                  <w14:solidFill>
                    <w14:schemeClr w14:val="tx1"/>
                  </w14:solidFill>
                </w14:textFill>
              </w:rPr>
              <w:t>户自建房</w:t>
            </w:r>
          </w:p>
        </w:tc>
        <w:tc>
          <w:tcPr>
            <w:tcW w:w="269" w:type="pct"/>
            <w:vMerge w:val="restart"/>
            <w:vAlign w:val="center"/>
          </w:tcPr>
          <w:p w14:paraId="692CB53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通风隔声窗</w:t>
            </w:r>
          </w:p>
        </w:tc>
        <w:tc>
          <w:tcPr>
            <w:tcW w:w="237" w:type="pct"/>
            <w:vMerge w:val="restart"/>
            <w:vAlign w:val="center"/>
          </w:tcPr>
          <w:p w14:paraId="2198DA67">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60</w:t>
            </w:r>
            <w:r>
              <w:rPr>
                <w:rFonts w:hint="eastAsia"/>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隔声窗</w:t>
            </w:r>
          </w:p>
        </w:tc>
        <w:tc>
          <w:tcPr>
            <w:tcW w:w="432" w:type="pct"/>
            <w:vMerge w:val="restart"/>
            <w:vAlign w:val="center"/>
          </w:tcPr>
          <w:p w14:paraId="4E48C3A7">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隔声量≥</w:t>
            </w:r>
            <w:r>
              <w:rPr>
                <w:color w:val="000000" w:themeColor="text1"/>
                <w:sz w:val="18"/>
                <w:szCs w:val="18"/>
                <w14:textFill>
                  <w14:solidFill>
                    <w14:schemeClr w14:val="tx1"/>
                  </w14:solidFill>
                </w14:textFill>
              </w:rPr>
              <w:t>20</w:t>
            </w:r>
            <w:r>
              <w:rPr>
                <w:rFonts w:hint="eastAsia"/>
                <w:color w:val="000000" w:themeColor="text1"/>
                <w:sz w:val="18"/>
                <w:szCs w:val="18"/>
                <w14:textFill>
                  <w14:solidFill>
                    <w14:schemeClr w14:val="tx1"/>
                  </w14:solidFill>
                </w14:textFill>
              </w:rPr>
              <w:t>dB</w:t>
            </w:r>
          </w:p>
        </w:tc>
        <w:tc>
          <w:tcPr>
            <w:tcW w:w="338" w:type="pct"/>
            <w:vMerge w:val="restart"/>
            <w:vAlign w:val="center"/>
          </w:tcPr>
          <w:p w14:paraId="3D7A4D6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6.0</w:t>
            </w:r>
          </w:p>
        </w:tc>
      </w:tr>
      <w:tr w14:paraId="07A3766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151" w:hRule="atLeast"/>
          <w:tblHeader/>
          <w:jc w:val="center"/>
        </w:trPr>
        <w:tc>
          <w:tcPr>
            <w:tcW w:w="171" w:type="pct"/>
            <w:vMerge w:val="continue"/>
            <w:vAlign w:val="center"/>
          </w:tcPr>
          <w:p w14:paraId="1DD25D29">
            <w:pPr>
              <w:pStyle w:val="105"/>
              <w:jc w:val="center"/>
              <w:rPr>
                <w:color w:val="000000" w:themeColor="text1"/>
                <w:sz w:val="18"/>
                <w:szCs w:val="18"/>
                <w14:textFill>
                  <w14:solidFill>
                    <w14:schemeClr w14:val="tx1"/>
                  </w14:solidFill>
                </w14:textFill>
              </w:rPr>
            </w:pPr>
          </w:p>
        </w:tc>
        <w:tc>
          <w:tcPr>
            <w:tcW w:w="529" w:type="pct"/>
            <w:vMerge w:val="continue"/>
            <w:vAlign w:val="center"/>
          </w:tcPr>
          <w:p w14:paraId="6EC80713">
            <w:pPr>
              <w:pStyle w:val="105"/>
              <w:jc w:val="center"/>
              <w:rPr>
                <w:color w:val="000000" w:themeColor="text1"/>
                <w:sz w:val="18"/>
                <w:szCs w:val="18"/>
                <w14:textFill>
                  <w14:solidFill>
                    <w14:schemeClr w14:val="tx1"/>
                  </w14:solidFill>
                </w14:textFill>
              </w:rPr>
            </w:pPr>
          </w:p>
        </w:tc>
        <w:tc>
          <w:tcPr>
            <w:tcW w:w="461" w:type="pct"/>
            <w:vMerge w:val="continue"/>
            <w:vAlign w:val="center"/>
          </w:tcPr>
          <w:p w14:paraId="44E36860">
            <w:pPr>
              <w:pStyle w:val="105"/>
              <w:jc w:val="center"/>
              <w:rPr>
                <w:color w:val="000000" w:themeColor="text1"/>
                <w:sz w:val="18"/>
                <w:szCs w:val="18"/>
                <w14:textFill>
                  <w14:solidFill>
                    <w14:schemeClr w14:val="tx1"/>
                  </w14:solidFill>
                </w14:textFill>
              </w:rPr>
            </w:pPr>
          </w:p>
        </w:tc>
        <w:tc>
          <w:tcPr>
            <w:tcW w:w="275" w:type="pct"/>
            <w:vMerge w:val="continue"/>
            <w:vAlign w:val="center"/>
          </w:tcPr>
          <w:p w14:paraId="500E3839">
            <w:pPr>
              <w:pStyle w:val="105"/>
              <w:jc w:val="center"/>
              <w:rPr>
                <w:color w:val="000000" w:themeColor="text1"/>
                <w:sz w:val="18"/>
                <w:szCs w:val="18"/>
                <w14:textFill>
                  <w14:solidFill>
                    <w14:schemeClr w14:val="tx1"/>
                  </w14:solidFill>
                </w14:textFill>
              </w:rPr>
            </w:pPr>
          </w:p>
        </w:tc>
        <w:tc>
          <w:tcPr>
            <w:tcW w:w="272" w:type="pct"/>
            <w:vMerge w:val="continue"/>
            <w:vAlign w:val="center"/>
          </w:tcPr>
          <w:p w14:paraId="26079CA6">
            <w:pPr>
              <w:pStyle w:val="105"/>
              <w:jc w:val="center"/>
              <w:rPr>
                <w:color w:val="000000" w:themeColor="text1"/>
                <w:sz w:val="18"/>
                <w:szCs w:val="18"/>
                <w14:textFill>
                  <w14:solidFill>
                    <w14:schemeClr w14:val="tx1"/>
                  </w14:solidFill>
                </w14:textFill>
              </w:rPr>
            </w:pPr>
          </w:p>
        </w:tc>
        <w:tc>
          <w:tcPr>
            <w:tcW w:w="359" w:type="pct"/>
            <w:vMerge w:val="continue"/>
            <w:vAlign w:val="center"/>
          </w:tcPr>
          <w:p w14:paraId="5BF8004B">
            <w:pPr>
              <w:pStyle w:val="105"/>
              <w:jc w:val="center"/>
              <w:rPr>
                <w:color w:val="000000" w:themeColor="text1"/>
                <w:sz w:val="18"/>
                <w:szCs w:val="18"/>
                <w14:textFill>
                  <w14:solidFill>
                    <w14:schemeClr w14:val="tx1"/>
                  </w14:solidFill>
                </w14:textFill>
              </w:rPr>
            </w:pPr>
          </w:p>
        </w:tc>
        <w:tc>
          <w:tcPr>
            <w:tcW w:w="173" w:type="pct"/>
            <w:vAlign w:val="center"/>
          </w:tcPr>
          <w:p w14:paraId="713B27A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185" w:type="pct"/>
            <w:vAlign w:val="center"/>
          </w:tcPr>
          <w:p w14:paraId="22EC2D26">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58.3 </w:t>
            </w:r>
          </w:p>
        </w:tc>
        <w:tc>
          <w:tcPr>
            <w:tcW w:w="185" w:type="pct"/>
            <w:vAlign w:val="center"/>
          </w:tcPr>
          <w:p w14:paraId="4809D942">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58.7 </w:t>
            </w:r>
          </w:p>
        </w:tc>
        <w:tc>
          <w:tcPr>
            <w:tcW w:w="186" w:type="pct"/>
            <w:vAlign w:val="center"/>
          </w:tcPr>
          <w:p w14:paraId="4F6F6FEB">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59.0 </w:t>
            </w:r>
          </w:p>
        </w:tc>
        <w:tc>
          <w:tcPr>
            <w:tcW w:w="216" w:type="pct"/>
            <w:vAlign w:val="center"/>
          </w:tcPr>
          <w:p w14:paraId="5C6F4315">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3.3 </w:t>
            </w:r>
          </w:p>
        </w:tc>
        <w:tc>
          <w:tcPr>
            <w:tcW w:w="216" w:type="pct"/>
            <w:vAlign w:val="center"/>
          </w:tcPr>
          <w:p w14:paraId="54E20234">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3.7 </w:t>
            </w:r>
          </w:p>
        </w:tc>
        <w:tc>
          <w:tcPr>
            <w:tcW w:w="218" w:type="pct"/>
            <w:vAlign w:val="center"/>
          </w:tcPr>
          <w:p w14:paraId="26A9D542">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4.0 </w:t>
            </w:r>
          </w:p>
        </w:tc>
        <w:tc>
          <w:tcPr>
            <w:tcW w:w="277" w:type="pct"/>
            <w:vMerge w:val="continue"/>
            <w:vAlign w:val="center"/>
          </w:tcPr>
          <w:p w14:paraId="2FA26E8D">
            <w:pPr>
              <w:pStyle w:val="105"/>
              <w:jc w:val="center"/>
              <w:rPr>
                <w:color w:val="000000" w:themeColor="text1"/>
                <w:sz w:val="18"/>
                <w:szCs w:val="18"/>
                <w14:textFill>
                  <w14:solidFill>
                    <w14:schemeClr w14:val="tx1"/>
                  </w14:solidFill>
                </w14:textFill>
              </w:rPr>
            </w:pPr>
          </w:p>
        </w:tc>
        <w:tc>
          <w:tcPr>
            <w:tcW w:w="269" w:type="pct"/>
            <w:vMerge w:val="continue"/>
            <w:vAlign w:val="center"/>
          </w:tcPr>
          <w:p w14:paraId="06CF1B7A">
            <w:pPr>
              <w:pStyle w:val="105"/>
              <w:jc w:val="center"/>
              <w:rPr>
                <w:color w:val="000000" w:themeColor="text1"/>
                <w:sz w:val="18"/>
                <w:szCs w:val="18"/>
                <w14:textFill>
                  <w14:solidFill>
                    <w14:schemeClr w14:val="tx1"/>
                  </w14:solidFill>
                </w14:textFill>
              </w:rPr>
            </w:pPr>
          </w:p>
        </w:tc>
        <w:tc>
          <w:tcPr>
            <w:tcW w:w="237" w:type="pct"/>
            <w:vMerge w:val="continue"/>
            <w:vAlign w:val="center"/>
          </w:tcPr>
          <w:p w14:paraId="3C52B2E0">
            <w:pPr>
              <w:pStyle w:val="105"/>
              <w:jc w:val="center"/>
              <w:rPr>
                <w:color w:val="000000" w:themeColor="text1"/>
                <w:sz w:val="18"/>
                <w:szCs w:val="18"/>
                <w14:textFill>
                  <w14:solidFill>
                    <w14:schemeClr w14:val="tx1"/>
                  </w14:solidFill>
                </w14:textFill>
              </w:rPr>
            </w:pPr>
          </w:p>
        </w:tc>
        <w:tc>
          <w:tcPr>
            <w:tcW w:w="432" w:type="pct"/>
            <w:vMerge w:val="continue"/>
            <w:vAlign w:val="center"/>
          </w:tcPr>
          <w:p w14:paraId="6BF1F6B3">
            <w:pPr>
              <w:pStyle w:val="105"/>
              <w:jc w:val="center"/>
              <w:rPr>
                <w:color w:val="000000" w:themeColor="text1"/>
                <w:sz w:val="18"/>
                <w:szCs w:val="18"/>
                <w14:textFill>
                  <w14:solidFill>
                    <w14:schemeClr w14:val="tx1"/>
                  </w14:solidFill>
                </w14:textFill>
              </w:rPr>
            </w:pPr>
          </w:p>
        </w:tc>
        <w:tc>
          <w:tcPr>
            <w:tcW w:w="338" w:type="pct"/>
            <w:vMerge w:val="continue"/>
            <w:vAlign w:val="center"/>
          </w:tcPr>
          <w:p w14:paraId="5F6F1DEE">
            <w:pPr>
              <w:pStyle w:val="105"/>
              <w:jc w:val="center"/>
              <w:rPr>
                <w:color w:val="000000" w:themeColor="text1"/>
                <w:sz w:val="18"/>
                <w:szCs w:val="18"/>
                <w14:textFill>
                  <w14:solidFill>
                    <w14:schemeClr w14:val="tx1"/>
                  </w14:solidFill>
                </w14:textFill>
              </w:rPr>
            </w:pPr>
          </w:p>
        </w:tc>
      </w:tr>
      <w:tr w14:paraId="0F04895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restart"/>
            <w:vAlign w:val="center"/>
          </w:tcPr>
          <w:p w14:paraId="4FFEDC0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2</w:t>
            </w:r>
          </w:p>
        </w:tc>
        <w:tc>
          <w:tcPr>
            <w:tcW w:w="529" w:type="pct"/>
            <w:vMerge w:val="restart"/>
            <w:vAlign w:val="center"/>
          </w:tcPr>
          <w:p w14:paraId="04B31CB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牌边村新桥——临G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国道第一排</w:t>
            </w:r>
          </w:p>
        </w:tc>
        <w:tc>
          <w:tcPr>
            <w:tcW w:w="461" w:type="pct"/>
            <w:vMerge w:val="restart"/>
            <w:vAlign w:val="center"/>
          </w:tcPr>
          <w:p w14:paraId="509BA1B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起点左侧</w:t>
            </w:r>
          </w:p>
        </w:tc>
        <w:tc>
          <w:tcPr>
            <w:tcW w:w="275" w:type="pct"/>
            <w:vMerge w:val="restart"/>
            <w:vAlign w:val="center"/>
          </w:tcPr>
          <w:p w14:paraId="1DE5B47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57</w:t>
            </w:r>
          </w:p>
        </w:tc>
        <w:tc>
          <w:tcPr>
            <w:tcW w:w="272" w:type="pct"/>
            <w:vMerge w:val="restart"/>
            <w:vAlign w:val="center"/>
          </w:tcPr>
          <w:p w14:paraId="2BFABA9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r>
              <w:rPr>
                <w:color w:val="000000" w:themeColor="text1"/>
                <w:sz w:val="18"/>
                <w:szCs w:val="18"/>
                <w14:textFill>
                  <w14:solidFill>
                    <w14:schemeClr w14:val="tx1"/>
                  </w14:solidFill>
                </w14:textFill>
              </w:rPr>
              <w:t>~2</w:t>
            </w:r>
          </w:p>
        </w:tc>
        <w:tc>
          <w:tcPr>
            <w:tcW w:w="359" w:type="pct"/>
            <w:vMerge w:val="restart"/>
            <w:vAlign w:val="center"/>
          </w:tcPr>
          <w:p w14:paraId="5273C535">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a类区</w:t>
            </w:r>
          </w:p>
        </w:tc>
        <w:tc>
          <w:tcPr>
            <w:tcW w:w="173" w:type="pct"/>
            <w:vAlign w:val="center"/>
          </w:tcPr>
          <w:p w14:paraId="01E50B7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185" w:type="pct"/>
            <w:vAlign w:val="center"/>
          </w:tcPr>
          <w:p w14:paraId="4367692E">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68.1 </w:t>
            </w:r>
          </w:p>
        </w:tc>
        <w:tc>
          <w:tcPr>
            <w:tcW w:w="185" w:type="pct"/>
            <w:vAlign w:val="center"/>
          </w:tcPr>
          <w:p w14:paraId="0C331D8C">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68.2 </w:t>
            </w:r>
          </w:p>
        </w:tc>
        <w:tc>
          <w:tcPr>
            <w:tcW w:w="186" w:type="pct"/>
            <w:vAlign w:val="center"/>
          </w:tcPr>
          <w:p w14:paraId="340C8EF9">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68.2 </w:t>
            </w:r>
          </w:p>
        </w:tc>
        <w:tc>
          <w:tcPr>
            <w:tcW w:w="216" w:type="pct"/>
            <w:vAlign w:val="center"/>
          </w:tcPr>
          <w:p w14:paraId="37C896AB">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w:t>
            </w:r>
          </w:p>
        </w:tc>
        <w:tc>
          <w:tcPr>
            <w:tcW w:w="216" w:type="pct"/>
            <w:vAlign w:val="center"/>
          </w:tcPr>
          <w:p w14:paraId="12398C5F">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w:t>
            </w:r>
          </w:p>
        </w:tc>
        <w:tc>
          <w:tcPr>
            <w:tcW w:w="218" w:type="pct"/>
            <w:vAlign w:val="center"/>
          </w:tcPr>
          <w:p w14:paraId="3A7FD1BA">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w:t>
            </w:r>
          </w:p>
        </w:tc>
        <w:tc>
          <w:tcPr>
            <w:tcW w:w="277" w:type="pct"/>
            <w:vMerge w:val="restart"/>
            <w:vAlign w:val="center"/>
          </w:tcPr>
          <w:p w14:paraId="4245A8E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7户自建房</w:t>
            </w:r>
          </w:p>
        </w:tc>
        <w:tc>
          <w:tcPr>
            <w:tcW w:w="1276" w:type="pct"/>
            <w:gridSpan w:val="4"/>
            <w:vMerge w:val="restart"/>
            <w:vAlign w:val="center"/>
          </w:tcPr>
          <w:p w14:paraId="37A87B7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受国道G</w:t>
            </w:r>
            <w:r>
              <w:rPr>
                <w:color w:val="000000" w:themeColor="text1"/>
                <w:sz w:val="18"/>
                <w:szCs w:val="18"/>
                <w14:textFill>
                  <w14:solidFill>
                    <w14:schemeClr w14:val="tx1"/>
                  </w14:solidFill>
                </w14:textFill>
              </w:rPr>
              <w:t>324</w:t>
            </w:r>
            <w:r>
              <w:rPr>
                <w:rFonts w:hint="eastAsia"/>
                <w:color w:val="000000" w:themeColor="text1"/>
                <w:sz w:val="18"/>
                <w:szCs w:val="18"/>
                <w14:textFill>
                  <w14:solidFill>
                    <w14:schemeClr w14:val="tx1"/>
                  </w14:solidFill>
                </w14:textFill>
              </w:rPr>
              <w:t>影响，已自行采取隔声窗，隔声量≥</w:t>
            </w:r>
            <w:r>
              <w:rPr>
                <w:color w:val="000000" w:themeColor="text1"/>
                <w:sz w:val="18"/>
                <w:szCs w:val="18"/>
                <w14:textFill>
                  <w14:solidFill>
                    <w14:schemeClr w14:val="tx1"/>
                  </w14:solidFill>
                </w14:textFill>
              </w:rPr>
              <w:t>30</w:t>
            </w:r>
            <w:r>
              <w:rPr>
                <w:rFonts w:hint="eastAsia"/>
                <w:color w:val="000000" w:themeColor="text1"/>
                <w:sz w:val="18"/>
                <w:szCs w:val="18"/>
                <w14:textFill>
                  <w14:solidFill>
                    <w14:schemeClr w14:val="tx1"/>
                  </w14:solidFill>
                </w14:textFill>
              </w:rPr>
              <w:t>dB。本项目对其影响增量0</w:t>
            </w:r>
            <w:r>
              <w:rPr>
                <w:color w:val="000000" w:themeColor="text1"/>
                <w:sz w:val="18"/>
                <w:szCs w:val="18"/>
                <w14:textFill>
                  <w14:solidFill>
                    <w14:schemeClr w14:val="tx1"/>
                  </w14:solidFill>
                </w14:textFill>
              </w:rPr>
              <w:t>.1~0.2 dB</w:t>
            </w:r>
            <w:r>
              <w:rPr>
                <w:rFonts w:hint="eastAsia"/>
                <w:color w:val="000000" w:themeColor="text1"/>
                <w:sz w:val="18"/>
                <w:szCs w:val="18"/>
                <w14:textFill>
                  <w14:solidFill>
                    <w14:schemeClr w14:val="tx1"/>
                  </w14:solidFill>
                </w14:textFill>
              </w:rPr>
              <w:t>。</w:t>
            </w:r>
          </w:p>
        </w:tc>
      </w:tr>
      <w:tr w14:paraId="760F1D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continue"/>
            <w:vAlign w:val="center"/>
          </w:tcPr>
          <w:p w14:paraId="004DD40A">
            <w:pPr>
              <w:pStyle w:val="105"/>
              <w:jc w:val="center"/>
              <w:rPr>
                <w:color w:val="000000" w:themeColor="text1"/>
                <w:sz w:val="18"/>
                <w:szCs w:val="18"/>
                <w14:textFill>
                  <w14:solidFill>
                    <w14:schemeClr w14:val="tx1"/>
                  </w14:solidFill>
                </w14:textFill>
              </w:rPr>
            </w:pPr>
          </w:p>
        </w:tc>
        <w:tc>
          <w:tcPr>
            <w:tcW w:w="529" w:type="pct"/>
            <w:vMerge w:val="continue"/>
            <w:vAlign w:val="center"/>
          </w:tcPr>
          <w:p w14:paraId="74E47260">
            <w:pPr>
              <w:pStyle w:val="105"/>
              <w:jc w:val="center"/>
              <w:rPr>
                <w:color w:val="000000" w:themeColor="text1"/>
                <w:sz w:val="18"/>
                <w:szCs w:val="18"/>
                <w14:textFill>
                  <w14:solidFill>
                    <w14:schemeClr w14:val="tx1"/>
                  </w14:solidFill>
                </w14:textFill>
              </w:rPr>
            </w:pPr>
          </w:p>
        </w:tc>
        <w:tc>
          <w:tcPr>
            <w:tcW w:w="461" w:type="pct"/>
            <w:vMerge w:val="continue"/>
            <w:vAlign w:val="center"/>
          </w:tcPr>
          <w:p w14:paraId="7E5EF114">
            <w:pPr>
              <w:pStyle w:val="105"/>
              <w:jc w:val="center"/>
              <w:rPr>
                <w:color w:val="000000" w:themeColor="text1"/>
                <w:sz w:val="18"/>
                <w:szCs w:val="18"/>
                <w14:textFill>
                  <w14:solidFill>
                    <w14:schemeClr w14:val="tx1"/>
                  </w14:solidFill>
                </w14:textFill>
              </w:rPr>
            </w:pPr>
          </w:p>
        </w:tc>
        <w:tc>
          <w:tcPr>
            <w:tcW w:w="275" w:type="pct"/>
            <w:vMerge w:val="continue"/>
            <w:vAlign w:val="center"/>
          </w:tcPr>
          <w:p w14:paraId="0AD57A6D">
            <w:pPr>
              <w:pStyle w:val="105"/>
              <w:jc w:val="center"/>
              <w:rPr>
                <w:color w:val="000000" w:themeColor="text1"/>
                <w:sz w:val="18"/>
                <w:szCs w:val="18"/>
                <w14:textFill>
                  <w14:solidFill>
                    <w14:schemeClr w14:val="tx1"/>
                  </w14:solidFill>
                </w14:textFill>
              </w:rPr>
            </w:pPr>
          </w:p>
        </w:tc>
        <w:tc>
          <w:tcPr>
            <w:tcW w:w="272" w:type="pct"/>
            <w:vMerge w:val="continue"/>
            <w:vAlign w:val="center"/>
          </w:tcPr>
          <w:p w14:paraId="2A163325">
            <w:pPr>
              <w:pStyle w:val="105"/>
              <w:jc w:val="center"/>
              <w:rPr>
                <w:color w:val="000000" w:themeColor="text1"/>
                <w:sz w:val="18"/>
                <w:szCs w:val="18"/>
                <w14:textFill>
                  <w14:solidFill>
                    <w14:schemeClr w14:val="tx1"/>
                  </w14:solidFill>
                </w14:textFill>
              </w:rPr>
            </w:pPr>
          </w:p>
        </w:tc>
        <w:tc>
          <w:tcPr>
            <w:tcW w:w="359" w:type="pct"/>
            <w:vMerge w:val="continue"/>
            <w:vAlign w:val="center"/>
          </w:tcPr>
          <w:p w14:paraId="2CAD8487">
            <w:pPr>
              <w:pStyle w:val="105"/>
              <w:jc w:val="center"/>
              <w:rPr>
                <w:color w:val="000000" w:themeColor="text1"/>
                <w:sz w:val="18"/>
                <w:szCs w:val="18"/>
                <w14:textFill>
                  <w14:solidFill>
                    <w14:schemeClr w14:val="tx1"/>
                  </w14:solidFill>
                </w14:textFill>
              </w:rPr>
            </w:pPr>
          </w:p>
        </w:tc>
        <w:tc>
          <w:tcPr>
            <w:tcW w:w="173" w:type="pct"/>
            <w:vAlign w:val="center"/>
          </w:tcPr>
          <w:p w14:paraId="747EECF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185" w:type="pct"/>
            <w:vAlign w:val="center"/>
          </w:tcPr>
          <w:p w14:paraId="66FA0E3E">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63.0 </w:t>
            </w:r>
          </w:p>
        </w:tc>
        <w:tc>
          <w:tcPr>
            <w:tcW w:w="185" w:type="pct"/>
            <w:vAlign w:val="center"/>
          </w:tcPr>
          <w:p w14:paraId="584B4866">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63.0 </w:t>
            </w:r>
          </w:p>
        </w:tc>
        <w:tc>
          <w:tcPr>
            <w:tcW w:w="186" w:type="pct"/>
            <w:vAlign w:val="center"/>
          </w:tcPr>
          <w:p w14:paraId="3CC587F0">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63.1 </w:t>
            </w:r>
          </w:p>
        </w:tc>
        <w:tc>
          <w:tcPr>
            <w:tcW w:w="216" w:type="pct"/>
            <w:vAlign w:val="center"/>
          </w:tcPr>
          <w:p w14:paraId="0E4B5937">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 xml:space="preserve">8.0 </w:t>
            </w:r>
          </w:p>
        </w:tc>
        <w:tc>
          <w:tcPr>
            <w:tcW w:w="216" w:type="pct"/>
            <w:vAlign w:val="center"/>
          </w:tcPr>
          <w:p w14:paraId="7C655B1D">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 xml:space="preserve">8.0 </w:t>
            </w:r>
          </w:p>
        </w:tc>
        <w:tc>
          <w:tcPr>
            <w:tcW w:w="218" w:type="pct"/>
            <w:vAlign w:val="center"/>
          </w:tcPr>
          <w:p w14:paraId="5BC46D44">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8.1 </w:t>
            </w:r>
          </w:p>
        </w:tc>
        <w:tc>
          <w:tcPr>
            <w:tcW w:w="277" w:type="pct"/>
            <w:vMerge w:val="continue"/>
            <w:vAlign w:val="center"/>
          </w:tcPr>
          <w:p w14:paraId="1AE12EB1">
            <w:pPr>
              <w:pStyle w:val="105"/>
              <w:jc w:val="center"/>
              <w:rPr>
                <w:color w:val="000000" w:themeColor="text1"/>
                <w:sz w:val="18"/>
                <w:szCs w:val="18"/>
                <w14:textFill>
                  <w14:solidFill>
                    <w14:schemeClr w14:val="tx1"/>
                  </w14:solidFill>
                </w14:textFill>
              </w:rPr>
            </w:pPr>
          </w:p>
        </w:tc>
        <w:tc>
          <w:tcPr>
            <w:tcW w:w="1276" w:type="pct"/>
            <w:gridSpan w:val="4"/>
            <w:vMerge w:val="continue"/>
            <w:vAlign w:val="center"/>
          </w:tcPr>
          <w:p w14:paraId="0562F03A">
            <w:pPr>
              <w:pStyle w:val="105"/>
              <w:jc w:val="center"/>
              <w:rPr>
                <w:color w:val="000000" w:themeColor="text1"/>
                <w:sz w:val="18"/>
                <w:szCs w:val="18"/>
                <w14:textFill>
                  <w14:solidFill>
                    <w14:schemeClr w14:val="tx1"/>
                  </w14:solidFill>
                </w14:textFill>
              </w:rPr>
            </w:pPr>
          </w:p>
        </w:tc>
      </w:tr>
      <w:tr w14:paraId="1644924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restart"/>
            <w:vAlign w:val="center"/>
          </w:tcPr>
          <w:p w14:paraId="7AA7B1D5">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3</w:t>
            </w:r>
          </w:p>
        </w:tc>
        <w:tc>
          <w:tcPr>
            <w:tcW w:w="529" w:type="pct"/>
            <w:vMerge w:val="restart"/>
            <w:vAlign w:val="center"/>
          </w:tcPr>
          <w:p w14:paraId="02EFF20B">
            <w:pPr>
              <w:pStyle w:val="105"/>
              <w:jc w:val="center"/>
              <w:rPr>
                <w:color w:val="000000" w:themeColor="text1"/>
                <w:sz w:val="18"/>
                <w:szCs w:val="18"/>
                <w14:textFill>
                  <w14:solidFill>
                    <w14:schemeClr w14:val="tx1"/>
                  </w14:solidFill>
                </w14:textFill>
              </w:rPr>
            </w:pPr>
            <w:bookmarkStart w:id="870" w:name="_Hlk193727041"/>
            <w:r>
              <w:rPr>
                <w:rFonts w:hint="eastAsia"/>
                <w:color w:val="000000" w:themeColor="text1"/>
                <w:sz w:val="18"/>
                <w:szCs w:val="18"/>
                <w14:textFill>
                  <w14:solidFill>
                    <w14:schemeClr w14:val="tx1"/>
                  </w14:solidFill>
                </w14:textFill>
              </w:rPr>
              <w:t>上张村王房</w:t>
            </w:r>
            <w:bookmarkEnd w:id="870"/>
            <w:r>
              <w:rPr>
                <w:rFonts w:hint="eastAsia"/>
                <w:color w:val="000000" w:themeColor="text1"/>
                <w:sz w:val="18"/>
                <w:szCs w:val="18"/>
                <w14:textFill>
                  <w14:solidFill>
                    <w14:schemeClr w14:val="tx1"/>
                  </w14:solidFill>
                </w14:textFill>
              </w:rPr>
              <w:t>——临拟建公路第一排</w:t>
            </w:r>
          </w:p>
        </w:tc>
        <w:tc>
          <w:tcPr>
            <w:tcW w:w="461" w:type="pct"/>
            <w:vMerge w:val="restart"/>
            <w:vAlign w:val="center"/>
          </w:tcPr>
          <w:p w14:paraId="460C5DF0">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K1+200~ K1+550</w:t>
            </w:r>
          </w:p>
        </w:tc>
        <w:tc>
          <w:tcPr>
            <w:tcW w:w="275" w:type="pct"/>
            <w:vMerge w:val="restart"/>
            <w:vAlign w:val="center"/>
          </w:tcPr>
          <w:p w14:paraId="4A1D384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4</w:t>
            </w:r>
          </w:p>
        </w:tc>
        <w:tc>
          <w:tcPr>
            <w:tcW w:w="272" w:type="pct"/>
            <w:vMerge w:val="restart"/>
            <w:vAlign w:val="center"/>
          </w:tcPr>
          <w:p w14:paraId="759DD17B">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w:t>
            </w:r>
            <w:r>
              <w:rPr>
                <w:color w:val="000000" w:themeColor="text1"/>
                <w:sz w:val="18"/>
                <w:szCs w:val="18"/>
                <w14:textFill>
                  <w14:solidFill>
                    <w14:schemeClr w14:val="tx1"/>
                  </w14:solidFill>
                </w14:textFill>
              </w:rPr>
              <w:t>1</w:t>
            </w:r>
          </w:p>
        </w:tc>
        <w:tc>
          <w:tcPr>
            <w:tcW w:w="359" w:type="pct"/>
            <w:vMerge w:val="restart"/>
            <w:vAlign w:val="center"/>
          </w:tcPr>
          <w:p w14:paraId="1BE8A2D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173" w:type="pct"/>
            <w:vAlign w:val="center"/>
          </w:tcPr>
          <w:p w14:paraId="196213F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185" w:type="pct"/>
            <w:vAlign w:val="center"/>
          </w:tcPr>
          <w:p w14:paraId="1422507F">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65.8 </w:t>
            </w:r>
          </w:p>
        </w:tc>
        <w:tc>
          <w:tcPr>
            <w:tcW w:w="185" w:type="pct"/>
            <w:vAlign w:val="center"/>
          </w:tcPr>
          <w:p w14:paraId="0E911DA9">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67.3 </w:t>
            </w:r>
          </w:p>
        </w:tc>
        <w:tc>
          <w:tcPr>
            <w:tcW w:w="186" w:type="pct"/>
            <w:vAlign w:val="center"/>
          </w:tcPr>
          <w:p w14:paraId="149F428D">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67.6 </w:t>
            </w:r>
          </w:p>
        </w:tc>
        <w:tc>
          <w:tcPr>
            <w:tcW w:w="216" w:type="pct"/>
            <w:vAlign w:val="center"/>
          </w:tcPr>
          <w:p w14:paraId="4D7D55BA">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w:t>
            </w:r>
          </w:p>
        </w:tc>
        <w:tc>
          <w:tcPr>
            <w:tcW w:w="216" w:type="pct"/>
            <w:vAlign w:val="center"/>
          </w:tcPr>
          <w:p w14:paraId="6FFCEBD5">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w:t>
            </w:r>
          </w:p>
        </w:tc>
        <w:tc>
          <w:tcPr>
            <w:tcW w:w="218" w:type="pct"/>
            <w:vAlign w:val="center"/>
          </w:tcPr>
          <w:p w14:paraId="30A6A504">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w:t>
            </w:r>
          </w:p>
        </w:tc>
        <w:tc>
          <w:tcPr>
            <w:tcW w:w="277" w:type="pct"/>
            <w:vMerge w:val="restart"/>
            <w:vAlign w:val="center"/>
          </w:tcPr>
          <w:p w14:paraId="069E0CA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户自建房</w:t>
            </w:r>
          </w:p>
        </w:tc>
        <w:tc>
          <w:tcPr>
            <w:tcW w:w="269" w:type="pct"/>
            <w:vMerge w:val="restart"/>
            <w:vAlign w:val="center"/>
          </w:tcPr>
          <w:p w14:paraId="6B24E74A">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通风隔声窗</w:t>
            </w:r>
          </w:p>
        </w:tc>
        <w:tc>
          <w:tcPr>
            <w:tcW w:w="237" w:type="pct"/>
            <w:vMerge w:val="restart"/>
            <w:vAlign w:val="center"/>
          </w:tcPr>
          <w:p w14:paraId="7DD7C2E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30</w:t>
            </w:r>
            <w:r>
              <w:rPr>
                <w:rFonts w:hint="eastAsia"/>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隔声窗</w:t>
            </w:r>
          </w:p>
        </w:tc>
        <w:tc>
          <w:tcPr>
            <w:tcW w:w="432" w:type="pct"/>
            <w:vMerge w:val="restart"/>
            <w:vAlign w:val="center"/>
          </w:tcPr>
          <w:p w14:paraId="69132F8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隔声量≥</w:t>
            </w:r>
            <w:r>
              <w:rPr>
                <w:color w:val="000000" w:themeColor="text1"/>
                <w:sz w:val="18"/>
                <w:szCs w:val="18"/>
                <w14:textFill>
                  <w14:solidFill>
                    <w14:schemeClr w14:val="tx1"/>
                  </w14:solidFill>
                </w14:textFill>
              </w:rPr>
              <w:t>20</w:t>
            </w:r>
            <w:r>
              <w:rPr>
                <w:rFonts w:hint="eastAsia"/>
                <w:color w:val="000000" w:themeColor="text1"/>
                <w:sz w:val="18"/>
                <w:szCs w:val="18"/>
                <w14:textFill>
                  <w14:solidFill>
                    <w14:schemeClr w14:val="tx1"/>
                  </w14:solidFill>
                </w14:textFill>
              </w:rPr>
              <w:t>dB</w:t>
            </w:r>
          </w:p>
        </w:tc>
        <w:tc>
          <w:tcPr>
            <w:tcW w:w="338" w:type="pct"/>
            <w:vMerge w:val="restart"/>
            <w:vAlign w:val="center"/>
          </w:tcPr>
          <w:p w14:paraId="639C281A">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3.0</w:t>
            </w:r>
          </w:p>
        </w:tc>
      </w:tr>
      <w:tr w14:paraId="65CC888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continue"/>
            <w:vAlign w:val="center"/>
          </w:tcPr>
          <w:p w14:paraId="2A683E59">
            <w:pPr>
              <w:pStyle w:val="105"/>
              <w:jc w:val="center"/>
              <w:rPr>
                <w:color w:val="000000" w:themeColor="text1"/>
                <w:sz w:val="18"/>
                <w:szCs w:val="18"/>
                <w14:textFill>
                  <w14:solidFill>
                    <w14:schemeClr w14:val="tx1"/>
                  </w14:solidFill>
                </w14:textFill>
              </w:rPr>
            </w:pPr>
          </w:p>
        </w:tc>
        <w:tc>
          <w:tcPr>
            <w:tcW w:w="529" w:type="pct"/>
            <w:vMerge w:val="continue"/>
            <w:vAlign w:val="center"/>
          </w:tcPr>
          <w:p w14:paraId="1D5AFD33">
            <w:pPr>
              <w:pStyle w:val="105"/>
              <w:jc w:val="center"/>
              <w:rPr>
                <w:color w:val="000000" w:themeColor="text1"/>
                <w:sz w:val="18"/>
                <w:szCs w:val="18"/>
                <w14:textFill>
                  <w14:solidFill>
                    <w14:schemeClr w14:val="tx1"/>
                  </w14:solidFill>
                </w14:textFill>
              </w:rPr>
            </w:pPr>
          </w:p>
        </w:tc>
        <w:tc>
          <w:tcPr>
            <w:tcW w:w="461" w:type="pct"/>
            <w:vMerge w:val="continue"/>
            <w:vAlign w:val="center"/>
          </w:tcPr>
          <w:p w14:paraId="4AC2D413">
            <w:pPr>
              <w:pStyle w:val="105"/>
              <w:jc w:val="center"/>
              <w:rPr>
                <w:color w:val="000000" w:themeColor="text1"/>
                <w:sz w:val="18"/>
                <w:szCs w:val="18"/>
                <w14:textFill>
                  <w14:solidFill>
                    <w14:schemeClr w14:val="tx1"/>
                  </w14:solidFill>
                </w14:textFill>
              </w:rPr>
            </w:pPr>
          </w:p>
        </w:tc>
        <w:tc>
          <w:tcPr>
            <w:tcW w:w="275" w:type="pct"/>
            <w:vMerge w:val="continue"/>
            <w:vAlign w:val="center"/>
          </w:tcPr>
          <w:p w14:paraId="67A3938A">
            <w:pPr>
              <w:pStyle w:val="105"/>
              <w:jc w:val="center"/>
              <w:rPr>
                <w:color w:val="000000" w:themeColor="text1"/>
                <w:sz w:val="18"/>
                <w:szCs w:val="18"/>
                <w14:textFill>
                  <w14:solidFill>
                    <w14:schemeClr w14:val="tx1"/>
                  </w14:solidFill>
                </w14:textFill>
              </w:rPr>
            </w:pPr>
          </w:p>
        </w:tc>
        <w:tc>
          <w:tcPr>
            <w:tcW w:w="272" w:type="pct"/>
            <w:vMerge w:val="continue"/>
            <w:vAlign w:val="center"/>
          </w:tcPr>
          <w:p w14:paraId="76BBFC6E">
            <w:pPr>
              <w:pStyle w:val="105"/>
              <w:jc w:val="center"/>
              <w:rPr>
                <w:color w:val="000000" w:themeColor="text1"/>
                <w:sz w:val="18"/>
                <w:szCs w:val="18"/>
                <w14:textFill>
                  <w14:solidFill>
                    <w14:schemeClr w14:val="tx1"/>
                  </w14:solidFill>
                </w14:textFill>
              </w:rPr>
            </w:pPr>
          </w:p>
        </w:tc>
        <w:tc>
          <w:tcPr>
            <w:tcW w:w="359" w:type="pct"/>
            <w:vMerge w:val="continue"/>
            <w:vAlign w:val="center"/>
          </w:tcPr>
          <w:p w14:paraId="11E65F3B">
            <w:pPr>
              <w:pStyle w:val="105"/>
              <w:jc w:val="center"/>
              <w:rPr>
                <w:color w:val="000000" w:themeColor="text1"/>
                <w:sz w:val="18"/>
                <w:szCs w:val="18"/>
                <w14:textFill>
                  <w14:solidFill>
                    <w14:schemeClr w14:val="tx1"/>
                  </w14:solidFill>
                </w14:textFill>
              </w:rPr>
            </w:pPr>
          </w:p>
        </w:tc>
        <w:tc>
          <w:tcPr>
            <w:tcW w:w="173" w:type="pct"/>
            <w:vAlign w:val="center"/>
          </w:tcPr>
          <w:p w14:paraId="1B3ACF3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185" w:type="pct"/>
            <w:vAlign w:val="center"/>
          </w:tcPr>
          <w:p w14:paraId="0C03FD27">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57.6 </w:t>
            </w:r>
          </w:p>
        </w:tc>
        <w:tc>
          <w:tcPr>
            <w:tcW w:w="185" w:type="pct"/>
            <w:vAlign w:val="center"/>
          </w:tcPr>
          <w:p w14:paraId="067E7F25">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58.0 </w:t>
            </w:r>
          </w:p>
        </w:tc>
        <w:tc>
          <w:tcPr>
            <w:tcW w:w="186" w:type="pct"/>
            <w:vAlign w:val="center"/>
          </w:tcPr>
          <w:p w14:paraId="14A5A38B">
            <w:pPr>
              <w:pStyle w:val="105"/>
              <w:jc w:val="center"/>
              <w:rPr>
                <w:color w:val="000000" w:themeColor="text1"/>
                <w:sz w:val="18"/>
                <w:szCs w:val="22"/>
                <w14:textFill>
                  <w14:solidFill>
                    <w14:schemeClr w14:val="tx1"/>
                  </w14:solidFill>
                </w14:textFill>
              </w:rPr>
            </w:pPr>
            <w:r>
              <w:rPr>
                <w:color w:val="000000" w:themeColor="text1"/>
                <w:sz w:val="18"/>
                <w:szCs w:val="22"/>
                <w14:textFill>
                  <w14:solidFill>
                    <w14:schemeClr w14:val="tx1"/>
                  </w14:solidFill>
                </w14:textFill>
              </w:rPr>
              <w:t xml:space="preserve">58.3 </w:t>
            </w:r>
          </w:p>
        </w:tc>
        <w:tc>
          <w:tcPr>
            <w:tcW w:w="216" w:type="pct"/>
            <w:vAlign w:val="center"/>
          </w:tcPr>
          <w:p w14:paraId="1A68C8B3">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 xml:space="preserve">2.6 </w:t>
            </w:r>
          </w:p>
        </w:tc>
        <w:tc>
          <w:tcPr>
            <w:tcW w:w="216" w:type="pct"/>
            <w:vAlign w:val="center"/>
          </w:tcPr>
          <w:p w14:paraId="1249D714">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 xml:space="preserve">3.0 </w:t>
            </w:r>
          </w:p>
        </w:tc>
        <w:tc>
          <w:tcPr>
            <w:tcW w:w="218" w:type="pct"/>
            <w:vAlign w:val="center"/>
          </w:tcPr>
          <w:p w14:paraId="6C0F2A31">
            <w:pPr>
              <w:pStyle w:val="105"/>
              <w:jc w:val="center"/>
              <w:rPr>
                <w:color w:val="000000" w:themeColor="text1"/>
                <w:sz w:val="18"/>
                <w:szCs w:val="22"/>
                <w:highlight w:val="yellow"/>
                <w14:textFill>
                  <w14:solidFill>
                    <w14:schemeClr w14:val="tx1"/>
                  </w14:solidFill>
                </w14:textFill>
              </w:rPr>
            </w:pPr>
            <w:r>
              <w:rPr>
                <w:color w:val="000000" w:themeColor="text1"/>
                <w:sz w:val="18"/>
                <w:szCs w:val="22"/>
                <w14:textFill>
                  <w14:solidFill>
                    <w14:schemeClr w14:val="tx1"/>
                  </w14:solidFill>
                </w14:textFill>
              </w:rPr>
              <w:t xml:space="preserve">3.3 </w:t>
            </w:r>
          </w:p>
        </w:tc>
        <w:tc>
          <w:tcPr>
            <w:tcW w:w="277" w:type="pct"/>
            <w:vMerge w:val="continue"/>
            <w:vAlign w:val="center"/>
          </w:tcPr>
          <w:p w14:paraId="62BAF28C">
            <w:pPr>
              <w:pStyle w:val="105"/>
              <w:jc w:val="center"/>
              <w:rPr>
                <w:color w:val="000000" w:themeColor="text1"/>
                <w:sz w:val="18"/>
                <w:szCs w:val="18"/>
                <w14:textFill>
                  <w14:solidFill>
                    <w14:schemeClr w14:val="tx1"/>
                  </w14:solidFill>
                </w14:textFill>
              </w:rPr>
            </w:pPr>
          </w:p>
        </w:tc>
        <w:tc>
          <w:tcPr>
            <w:tcW w:w="269" w:type="pct"/>
            <w:vMerge w:val="continue"/>
            <w:vAlign w:val="center"/>
          </w:tcPr>
          <w:p w14:paraId="5BD53AB9">
            <w:pPr>
              <w:pStyle w:val="105"/>
              <w:jc w:val="center"/>
              <w:rPr>
                <w:color w:val="000000" w:themeColor="text1"/>
                <w:sz w:val="18"/>
                <w:szCs w:val="18"/>
                <w14:textFill>
                  <w14:solidFill>
                    <w14:schemeClr w14:val="tx1"/>
                  </w14:solidFill>
                </w14:textFill>
              </w:rPr>
            </w:pPr>
          </w:p>
        </w:tc>
        <w:tc>
          <w:tcPr>
            <w:tcW w:w="237" w:type="pct"/>
            <w:vMerge w:val="continue"/>
            <w:vAlign w:val="center"/>
          </w:tcPr>
          <w:p w14:paraId="5DBB5470">
            <w:pPr>
              <w:pStyle w:val="105"/>
              <w:jc w:val="center"/>
              <w:rPr>
                <w:color w:val="000000" w:themeColor="text1"/>
                <w:sz w:val="18"/>
                <w:szCs w:val="18"/>
                <w14:textFill>
                  <w14:solidFill>
                    <w14:schemeClr w14:val="tx1"/>
                  </w14:solidFill>
                </w14:textFill>
              </w:rPr>
            </w:pPr>
          </w:p>
        </w:tc>
        <w:tc>
          <w:tcPr>
            <w:tcW w:w="432" w:type="pct"/>
            <w:vMerge w:val="continue"/>
            <w:vAlign w:val="center"/>
          </w:tcPr>
          <w:p w14:paraId="62A7E217">
            <w:pPr>
              <w:pStyle w:val="105"/>
              <w:jc w:val="center"/>
              <w:rPr>
                <w:color w:val="000000" w:themeColor="text1"/>
                <w:sz w:val="18"/>
                <w:szCs w:val="18"/>
                <w14:textFill>
                  <w14:solidFill>
                    <w14:schemeClr w14:val="tx1"/>
                  </w14:solidFill>
                </w14:textFill>
              </w:rPr>
            </w:pPr>
          </w:p>
        </w:tc>
        <w:tc>
          <w:tcPr>
            <w:tcW w:w="338" w:type="pct"/>
            <w:vMerge w:val="continue"/>
            <w:vAlign w:val="center"/>
          </w:tcPr>
          <w:p w14:paraId="2A48F1A0">
            <w:pPr>
              <w:pStyle w:val="105"/>
              <w:jc w:val="center"/>
              <w:rPr>
                <w:color w:val="000000" w:themeColor="text1"/>
                <w:sz w:val="18"/>
                <w:szCs w:val="18"/>
                <w14:textFill>
                  <w14:solidFill>
                    <w14:schemeClr w14:val="tx1"/>
                  </w14:solidFill>
                </w14:textFill>
              </w:rPr>
            </w:pPr>
          </w:p>
        </w:tc>
      </w:tr>
      <w:tr w14:paraId="486C450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restart"/>
            <w:vAlign w:val="center"/>
          </w:tcPr>
          <w:p w14:paraId="4C80902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w:t>
            </w:r>
          </w:p>
        </w:tc>
        <w:tc>
          <w:tcPr>
            <w:tcW w:w="529" w:type="pct"/>
            <w:vMerge w:val="restart"/>
            <w:vAlign w:val="center"/>
          </w:tcPr>
          <w:p w14:paraId="62CC4492">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联华村后郑</w:t>
            </w:r>
          </w:p>
        </w:tc>
        <w:tc>
          <w:tcPr>
            <w:tcW w:w="461" w:type="pct"/>
            <w:vMerge w:val="restart"/>
            <w:vAlign w:val="center"/>
          </w:tcPr>
          <w:p w14:paraId="08EEE6C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1+560~K1+820</w:t>
            </w:r>
          </w:p>
        </w:tc>
        <w:tc>
          <w:tcPr>
            <w:tcW w:w="275" w:type="pct"/>
            <w:vMerge w:val="restart"/>
            <w:vAlign w:val="center"/>
          </w:tcPr>
          <w:p w14:paraId="419A31A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1</w:t>
            </w:r>
          </w:p>
        </w:tc>
        <w:tc>
          <w:tcPr>
            <w:tcW w:w="272" w:type="pct"/>
            <w:vMerge w:val="restart"/>
            <w:vAlign w:val="center"/>
          </w:tcPr>
          <w:p w14:paraId="02FE84CC">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359" w:type="pct"/>
            <w:vMerge w:val="restart"/>
            <w:vAlign w:val="center"/>
          </w:tcPr>
          <w:p w14:paraId="44387FA1">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173" w:type="pct"/>
            <w:vAlign w:val="center"/>
          </w:tcPr>
          <w:p w14:paraId="498A5B21">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185" w:type="pct"/>
            <w:vAlign w:val="center"/>
          </w:tcPr>
          <w:p w14:paraId="01E16E69">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66.9 </w:t>
            </w:r>
          </w:p>
        </w:tc>
        <w:tc>
          <w:tcPr>
            <w:tcW w:w="185" w:type="pct"/>
            <w:vAlign w:val="center"/>
          </w:tcPr>
          <w:p w14:paraId="1ED78DDC">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68.2 </w:t>
            </w:r>
          </w:p>
        </w:tc>
        <w:tc>
          <w:tcPr>
            <w:tcW w:w="186" w:type="pct"/>
            <w:vAlign w:val="center"/>
          </w:tcPr>
          <w:p w14:paraId="561A3F1C">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68.4 </w:t>
            </w:r>
          </w:p>
        </w:tc>
        <w:tc>
          <w:tcPr>
            <w:tcW w:w="216" w:type="pct"/>
            <w:vAlign w:val="center"/>
          </w:tcPr>
          <w:p w14:paraId="15DD5006">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w:t>
            </w:r>
          </w:p>
        </w:tc>
        <w:tc>
          <w:tcPr>
            <w:tcW w:w="216" w:type="pct"/>
            <w:vAlign w:val="center"/>
          </w:tcPr>
          <w:p w14:paraId="0B802011">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w:t>
            </w:r>
          </w:p>
        </w:tc>
        <w:tc>
          <w:tcPr>
            <w:tcW w:w="218" w:type="pct"/>
            <w:vAlign w:val="center"/>
          </w:tcPr>
          <w:p w14:paraId="642FDF44">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w:t>
            </w:r>
          </w:p>
        </w:tc>
        <w:tc>
          <w:tcPr>
            <w:tcW w:w="277" w:type="pct"/>
            <w:vMerge w:val="restart"/>
            <w:vAlign w:val="center"/>
          </w:tcPr>
          <w:p w14:paraId="0668383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2</w:t>
            </w:r>
            <w:r>
              <w:rPr>
                <w:rFonts w:hint="eastAsia"/>
                <w:color w:val="000000" w:themeColor="text1"/>
                <w:sz w:val="18"/>
                <w:szCs w:val="18"/>
                <w14:textFill>
                  <w14:solidFill>
                    <w14:schemeClr w14:val="tx1"/>
                  </w14:solidFill>
                </w14:textFill>
              </w:rPr>
              <w:t>户自建房</w:t>
            </w:r>
          </w:p>
        </w:tc>
        <w:tc>
          <w:tcPr>
            <w:tcW w:w="269" w:type="pct"/>
            <w:vMerge w:val="restart"/>
            <w:vAlign w:val="center"/>
          </w:tcPr>
          <w:p w14:paraId="1A28A446">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通风隔声窗</w:t>
            </w:r>
          </w:p>
        </w:tc>
        <w:tc>
          <w:tcPr>
            <w:tcW w:w="237" w:type="pct"/>
            <w:vMerge w:val="restart"/>
            <w:vAlign w:val="center"/>
          </w:tcPr>
          <w:p w14:paraId="0E720E26">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30</w:t>
            </w:r>
            <w:r>
              <w:rPr>
                <w:rFonts w:hint="eastAsia"/>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隔声窗</w:t>
            </w:r>
          </w:p>
        </w:tc>
        <w:tc>
          <w:tcPr>
            <w:tcW w:w="432" w:type="pct"/>
            <w:vMerge w:val="restart"/>
            <w:vAlign w:val="center"/>
          </w:tcPr>
          <w:p w14:paraId="4A64E330">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隔声量≥</w:t>
            </w:r>
            <w:r>
              <w:rPr>
                <w:color w:val="000000" w:themeColor="text1"/>
                <w:sz w:val="18"/>
                <w:szCs w:val="18"/>
                <w14:textFill>
                  <w14:solidFill>
                    <w14:schemeClr w14:val="tx1"/>
                  </w14:solidFill>
                </w14:textFill>
              </w:rPr>
              <w:t>20</w:t>
            </w:r>
            <w:r>
              <w:rPr>
                <w:rFonts w:hint="eastAsia"/>
                <w:color w:val="000000" w:themeColor="text1"/>
                <w:sz w:val="18"/>
                <w:szCs w:val="18"/>
                <w14:textFill>
                  <w14:solidFill>
                    <w14:schemeClr w14:val="tx1"/>
                  </w14:solidFill>
                </w14:textFill>
              </w:rPr>
              <w:t>dB</w:t>
            </w:r>
          </w:p>
        </w:tc>
        <w:tc>
          <w:tcPr>
            <w:tcW w:w="338" w:type="pct"/>
            <w:vMerge w:val="restart"/>
            <w:vAlign w:val="center"/>
          </w:tcPr>
          <w:p w14:paraId="7F3FAFDF">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3.0</w:t>
            </w:r>
          </w:p>
        </w:tc>
      </w:tr>
      <w:tr w14:paraId="233BE16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continue"/>
            <w:vAlign w:val="center"/>
          </w:tcPr>
          <w:p w14:paraId="17138777">
            <w:pPr>
              <w:pStyle w:val="105"/>
              <w:jc w:val="center"/>
              <w:rPr>
                <w:color w:val="000000" w:themeColor="text1"/>
                <w:sz w:val="18"/>
                <w:szCs w:val="18"/>
                <w14:textFill>
                  <w14:solidFill>
                    <w14:schemeClr w14:val="tx1"/>
                  </w14:solidFill>
                </w14:textFill>
              </w:rPr>
            </w:pPr>
          </w:p>
        </w:tc>
        <w:tc>
          <w:tcPr>
            <w:tcW w:w="529" w:type="pct"/>
            <w:vMerge w:val="continue"/>
            <w:vAlign w:val="center"/>
          </w:tcPr>
          <w:p w14:paraId="01B8B2D7">
            <w:pPr>
              <w:pStyle w:val="105"/>
              <w:jc w:val="center"/>
              <w:rPr>
                <w:color w:val="000000" w:themeColor="text1"/>
                <w:sz w:val="18"/>
                <w:szCs w:val="18"/>
                <w14:textFill>
                  <w14:solidFill>
                    <w14:schemeClr w14:val="tx1"/>
                  </w14:solidFill>
                </w14:textFill>
              </w:rPr>
            </w:pPr>
          </w:p>
        </w:tc>
        <w:tc>
          <w:tcPr>
            <w:tcW w:w="461" w:type="pct"/>
            <w:vMerge w:val="continue"/>
            <w:vAlign w:val="center"/>
          </w:tcPr>
          <w:p w14:paraId="4BDF04AF">
            <w:pPr>
              <w:pStyle w:val="105"/>
              <w:jc w:val="center"/>
              <w:rPr>
                <w:color w:val="000000" w:themeColor="text1"/>
                <w:sz w:val="18"/>
                <w:szCs w:val="18"/>
                <w14:textFill>
                  <w14:solidFill>
                    <w14:schemeClr w14:val="tx1"/>
                  </w14:solidFill>
                </w14:textFill>
              </w:rPr>
            </w:pPr>
          </w:p>
        </w:tc>
        <w:tc>
          <w:tcPr>
            <w:tcW w:w="275" w:type="pct"/>
            <w:vMerge w:val="continue"/>
            <w:vAlign w:val="center"/>
          </w:tcPr>
          <w:p w14:paraId="40D30903">
            <w:pPr>
              <w:pStyle w:val="105"/>
              <w:jc w:val="center"/>
              <w:rPr>
                <w:color w:val="000000" w:themeColor="text1"/>
                <w:sz w:val="18"/>
                <w:szCs w:val="18"/>
                <w14:textFill>
                  <w14:solidFill>
                    <w14:schemeClr w14:val="tx1"/>
                  </w14:solidFill>
                </w14:textFill>
              </w:rPr>
            </w:pPr>
          </w:p>
        </w:tc>
        <w:tc>
          <w:tcPr>
            <w:tcW w:w="272" w:type="pct"/>
            <w:vMerge w:val="continue"/>
            <w:vAlign w:val="center"/>
          </w:tcPr>
          <w:p w14:paraId="4106001A">
            <w:pPr>
              <w:pStyle w:val="105"/>
              <w:jc w:val="center"/>
              <w:rPr>
                <w:color w:val="000000" w:themeColor="text1"/>
                <w:sz w:val="18"/>
                <w:szCs w:val="18"/>
                <w14:textFill>
                  <w14:solidFill>
                    <w14:schemeClr w14:val="tx1"/>
                  </w14:solidFill>
                </w14:textFill>
              </w:rPr>
            </w:pPr>
          </w:p>
        </w:tc>
        <w:tc>
          <w:tcPr>
            <w:tcW w:w="359" w:type="pct"/>
            <w:vMerge w:val="continue"/>
            <w:vAlign w:val="center"/>
          </w:tcPr>
          <w:p w14:paraId="62CA857A">
            <w:pPr>
              <w:pStyle w:val="105"/>
              <w:jc w:val="center"/>
              <w:rPr>
                <w:color w:val="000000" w:themeColor="text1"/>
                <w:sz w:val="18"/>
                <w:szCs w:val="18"/>
                <w14:textFill>
                  <w14:solidFill>
                    <w14:schemeClr w14:val="tx1"/>
                  </w14:solidFill>
                </w14:textFill>
              </w:rPr>
            </w:pPr>
          </w:p>
        </w:tc>
        <w:tc>
          <w:tcPr>
            <w:tcW w:w="173" w:type="pct"/>
            <w:vAlign w:val="center"/>
          </w:tcPr>
          <w:p w14:paraId="77D4E77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185" w:type="pct"/>
            <w:vAlign w:val="center"/>
          </w:tcPr>
          <w:p w14:paraId="3FB14D88">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59.4 </w:t>
            </w:r>
          </w:p>
        </w:tc>
        <w:tc>
          <w:tcPr>
            <w:tcW w:w="185" w:type="pct"/>
            <w:vAlign w:val="center"/>
          </w:tcPr>
          <w:p w14:paraId="008B2E3F">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59.8 </w:t>
            </w:r>
          </w:p>
        </w:tc>
        <w:tc>
          <w:tcPr>
            <w:tcW w:w="186" w:type="pct"/>
            <w:vAlign w:val="center"/>
          </w:tcPr>
          <w:p w14:paraId="23F39C17">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60.1 </w:t>
            </w:r>
          </w:p>
        </w:tc>
        <w:tc>
          <w:tcPr>
            <w:tcW w:w="216" w:type="pct"/>
            <w:vAlign w:val="center"/>
          </w:tcPr>
          <w:p w14:paraId="67EBE966">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 xml:space="preserve">4.4 </w:t>
            </w:r>
          </w:p>
        </w:tc>
        <w:tc>
          <w:tcPr>
            <w:tcW w:w="216" w:type="pct"/>
            <w:vAlign w:val="center"/>
          </w:tcPr>
          <w:p w14:paraId="3CDA1969">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 xml:space="preserve">4.8 </w:t>
            </w:r>
          </w:p>
        </w:tc>
        <w:tc>
          <w:tcPr>
            <w:tcW w:w="218" w:type="pct"/>
            <w:vAlign w:val="center"/>
          </w:tcPr>
          <w:p w14:paraId="79C8AC6A">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 xml:space="preserve">5.1 </w:t>
            </w:r>
          </w:p>
        </w:tc>
        <w:tc>
          <w:tcPr>
            <w:tcW w:w="277" w:type="pct"/>
            <w:vMerge w:val="continue"/>
            <w:vAlign w:val="center"/>
          </w:tcPr>
          <w:p w14:paraId="2DB1A6DE">
            <w:pPr>
              <w:pStyle w:val="105"/>
              <w:jc w:val="center"/>
              <w:rPr>
                <w:color w:val="000000" w:themeColor="text1"/>
                <w:sz w:val="18"/>
                <w:szCs w:val="18"/>
                <w14:textFill>
                  <w14:solidFill>
                    <w14:schemeClr w14:val="tx1"/>
                  </w14:solidFill>
                </w14:textFill>
              </w:rPr>
            </w:pPr>
          </w:p>
        </w:tc>
        <w:tc>
          <w:tcPr>
            <w:tcW w:w="269" w:type="pct"/>
            <w:vMerge w:val="continue"/>
            <w:vAlign w:val="center"/>
          </w:tcPr>
          <w:p w14:paraId="2B82AD9C">
            <w:pPr>
              <w:pStyle w:val="105"/>
              <w:jc w:val="center"/>
              <w:rPr>
                <w:color w:val="000000" w:themeColor="text1"/>
                <w:sz w:val="18"/>
                <w:szCs w:val="18"/>
                <w14:textFill>
                  <w14:solidFill>
                    <w14:schemeClr w14:val="tx1"/>
                  </w14:solidFill>
                </w14:textFill>
              </w:rPr>
            </w:pPr>
          </w:p>
        </w:tc>
        <w:tc>
          <w:tcPr>
            <w:tcW w:w="237" w:type="pct"/>
            <w:vMerge w:val="continue"/>
            <w:vAlign w:val="center"/>
          </w:tcPr>
          <w:p w14:paraId="2AD1226B">
            <w:pPr>
              <w:pStyle w:val="105"/>
              <w:jc w:val="center"/>
              <w:rPr>
                <w:color w:val="000000" w:themeColor="text1"/>
                <w:sz w:val="18"/>
                <w:szCs w:val="18"/>
                <w14:textFill>
                  <w14:solidFill>
                    <w14:schemeClr w14:val="tx1"/>
                  </w14:solidFill>
                </w14:textFill>
              </w:rPr>
            </w:pPr>
          </w:p>
        </w:tc>
        <w:tc>
          <w:tcPr>
            <w:tcW w:w="432" w:type="pct"/>
            <w:vMerge w:val="continue"/>
            <w:vAlign w:val="center"/>
          </w:tcPr>
          <w:p w14:paraId="360859FB">
            <w:pPr>
              <w:pStyle w:val="105"/>
              <w:jc w:val="center"/>
              <w:rPr>
                <w:color w:val="000000" w:themeColor="text1"/>
                <w:sz w:val="18"/>
                <w:szCs w:val="18"/>
                <w14:textFill>
                  <w14:solidFill>
                    <w14:schemeClr w14:val="tx1"/>
                  </w14:solidFill>
                </w14:textFill>
              </w:rPr>
            </w:pPr>
          </w:p>
        </w:tc>
        <w:tc>
          <w:tcPr>
            <w:tcW w:w="338" w:type="pct"/>
            <w:vMerge w:val="continue"/>
            <w:vAlign w:val="center"/>
          </w:tcPr>
          <w:p w14:paraId="2DBC1810">
            <w:pPr>
              <w:pStyle w:val="105"/>
              <w:jc w:val="center"/>
              <w:rPr>
                <w:color w:val="000000" w:themeColor="text1"/>
                <w:sz w:val="18"/>
                <w:szCs w:val="18"/>
                <w14:textFill>
                  <w14:solidFill>
                    <w14:schemeClr w14:val="tx1"/>
                  </w14:solidFill>
                </w14:textFill>
              </w:rPr>
            </w:pPr>
          </w:p>
        </w:tc>
      </w:tr>
      <w:tr w14:paraId="027978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restart"/>
            <w:vAlign w:val="center"/>
          </w:tcPr>
          <w:p w14:paraId="6EF7AD0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5</w:t>
            </w:r>
          </w:p>
        </w:tc>
        <w:tc>
          <w:tcPr>
            <w:tcW w:w="529" w:type="pct"/>
            <w:vMerge w:val="restart"/>
            <w:vAlign w:val="center"/>
          </w:tcPr>
          <w:p w14:paraId="24A80F1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联华村西山</w:t>
            </w:r>
          </w:p>
        </w:tc>
        <w:tc>
          <w:tcPr>
            <w:tcW w:w="461" w:type="pct"/>
            <w:vMerge w:val="restart"/>
            <w:vAlign w:val="center"/>
          </w:tcPr>
          <w:p w14:paraId="2349DD94">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K</w:t>
            </w:r>
            <w:r>
              <w:rPr>
                <w:color w:val="000000" w:themeColor="text1"/>
                <w:sz w:val="18"/>
                <w:szCs w:val="18"/>
                <w14:textFill>
                  <w14:solidFill>
                    <w14:schemeClr w14:val="tx1"/>
                  </w14:solidFill>
                </w14:textFill>
              </w:rPr>
              <w:t>2+940~</w:t>
            </w:r>
            <w:r>
              <w:rPr>
                <w:rFonts w:hint="eastAsia"/>
                <w:color w:val="000000" w:themeColor="text1"/>
                <w:sz w:val="18"/>
                <w:szCs w:val="18"/>
                <w14:textFill>
                  <w14:solidFill>
                    <w14:schemeClr w14:val="tx1"/>
                  </w14:solidFill>
                </w14:textFill>
              </w:rPr>
              <w:t xml:space="preserve"> K</w:t>
            </w:r>
            <w:r>
              <w:rPr>
                <w:color w:val="000000" w:themeColor="text1"/>
                <w:sz w:val="18"/>
                <w:szCs w:val="18"/>
                <w14:textFill>
                  <w14:solidFill>
                    <w14:schemeClr w14:val="tx1"/>
                  </w14:solidFill>
                </w14:textFill>
              </w:rPr>
              <w:t>3+540</w:t>
            </w:r>
          </w:p>
        </w:tc>
        <w:tc>
          <w:tcPr>
            <w:tcW w:w="275" w:type="pct"/>
            <w:vMerge w:val="restart"/>
            <w:vAlign w:val="center"/>
          </w:tcPr>
          <w:p w14:paraId="4E9E4A18">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1</w:t>
            </w:r>
            <w:r>
              <w:rPr>
                <w:color w:val="000000" w:themeColor="text1"/>
                <w:sz w:val="18"/>
                <w:szCs w:val="18"/>
                <w14:textFill>
                  <w14:solidFill>
                    <w14:schemeClr w14:val="tx1"/>
                  </w14:solidFill>
                </w14:textFill>
              </w:rPr>
              <w:t>0</w:t>
            </w:r>
          </w:p>
        </w:tc>
        <w:tc>
          <w:tcPr>
            <w:tcW w:w="272" w:type="pct"/>
            <w:vMerge w:val="restart"/>
            <w:vAlign w:val="center"/>
          </w:tcPr>
          <w:p w14:paraId="3977578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0</w:t>
            </w:r>
          </w:p>
        </w:tc>
        <w:tc>
          <w:tcPr>
            <w:tcW w:w="359" w:type="pct"/>
            <w:vMerge w:val="restart"/>
            <w:vAlign w:val="center"/>
          </w:tcPr>
          <w:p w14:paraId="2FC9BF73">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w:t>
            </w:r>
            <w:r>
              <w:rPr>
                <w:rFonts w:hint="eastAsia"/>
                <w:color w:val="000000" w:themeColor="text1"/>
                <w:sz w:val="18"/>
                <w:szCs w:val="18"/>
                <w14:textFill>
                  <w14:solidFill>
                    <w14:schemeClr w14:val="tx1"/>
                  </w14:solidFill>
                </w14:textFill>
              </w:rPr>
              <w:t>a类</w:t>
            </w:r>
          </w:p>
        </w:tc>
        <w:tc>
          <w:tcPr>
            <w:tcW w:w="173" w:type="pct"/>
            <w:vAlign w:val="center"/>
          </w:tcPr>
          <w:p w14:paraId="773489A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昼间</w:t>
            </w:r>
          </w:p>
        </w:tc>
        <w:tc>
          <w:tcPr>
            <w:tcW w:w="185" w:type="pct"/>
            <w:vAlign w:val="center"/>
          </w:tcPr>
          <w:p w14:paraId="602CA696">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67.6 </w:t>
            </w:r>
          </w:p>
        </w:tc>
        <w:tc>
          <w:tcPr>
            <w:tcW w:w="185" w:type="pct"/>
            <w:vAlign w:val="center"/>
          </w:tcPr>
          <w:p w14:paraId="77B6CBB5">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68.6 </w:t>
            </w:r>
          </w:p>
        </w:tc>
        <w:tc>
          <w:tcPr>
            <w:tcW w:w="186" w:type="pct"/>
            <w:vAlign w:val="center"/>
          </w:tcPr>
          <w:p w14:paraId="3F383135">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68.9 </w:t>
            </w:r>
          </w:p>
        </w:tc>
        <w:tc>
          <w:tcPr>
            <w:tcW w:w="216" w:type="pct"/>
            <w:vAlign w:val="center"/>
          </w:tcPr>
          <w:p w14:paraId="704646B8">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w:t>
            </w:r>
          </w:p>
        </w:tc>
        <w:tc>
          <w:tcPr>
            <w:tcW w:w="216" w:type="pct"/>
            <w:vAlign w:val="center"/>
          </w:tcPr>
          <w:p w14:paraId="559FAF50">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w:t>
            </w:r>
          </w:p>
        </w:tc>
        <w:tc>
          <w:tcPr>
            <w:tcW w:w="218" w:type="pct"/>
            <w:vAlign w:val="center"/>
          </w:tcPr>
          <w:p w14:paraId="4B52F271">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w:t>
            </w:r>
          </w:p>
        </w:tc>
        <w:tc>
          <w:tcPr>
            <w:tcW w:w="277" w:type="pct"/>
            <w:vMerge w:val="restart"/>
            <w:vAlign w:val="center"/>
          </w:tcPr>
          <w:p w14:paraId="7D18C8D3">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4户自建房</w:t>
            </w:r>
          </w:p>
        </w:tc>
        <w:tc>
          <w:tcPr>
            <w:tcW w:w="269" w:type="pct"/>
            <w:vMerge w:val="restart"/>
            <w:vAlign w:val="center"/>
          </w:tcPr>
          <w:p w14:paraId="20D14A5D">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通风隔声窗</w:t>
            </w:r>
          </w:p>
        </w:tc>
        <w:tc>
          <w:tcPr>
            <w:tcW w:w="237" w:type="pct"/>
            <w:vMerge w:val="restart"/>
            <w:vAlign w:val="center"/>
          </w:tcPr>
          <w:p w14:paraId="59288F92">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40</w:t>
            </w:r>
            <w:r>
              <w:rPr>
                <w:rFonts w:hint="eastAsia"/>
                <w:color w:val="000000" w:themeColor="text1"/>
                <w:sz w:val="18"/>
                <w:szCs w:val="18"/>
                <w14:textFill>
                  <w14:solidFill>
                    <w14:schemeClr w14:val="tx1"/>
                  </w14:solidFill>
                </w14:textFill>
              </w:rPr>
              <w:t>m</w:t>
            </w:r>
            <w:r>
              <w:rPr>
                <w:color w:val="000000" w:themeColor="text1"/>
                <w:sz w:val="18"/>
                <w:szCs w:val="18"/>
                <w:vertAlign w:val="superscript"/>
                <w14:textFill>
                  <w14:solidFill>
                    <w14:schemeClr w14:val="tx1"/>
                  </w14:solidFill>
                </w14:textFill>
              </w:rPr>
              <w:t>2</w:t>
            </w:r>
            <w:r>
              <w:rPr>
                <w:rFonts w:hint="eastAsia"/>
                <w:color w:val="000000" w:themeColor="text1"/>
                <w:sz w:val="18"/>
                <w:szCs w:val="18"/>
                <w14:textFill>
                  <w14:solidFill>
                    <w14:schemeClr w14:val="tx1"/>
                  </w14:solidFill>
                </w14:textFill>
              </w:rPr>
              <w:t>隔声窗</w:t>
            </w:r>
          </w:p>
        </w:tc>
        <w:tc>
          <w:tcPr>
            <w:tcW w:w="432" w:type="pct"/>
            <w:vMerge w:val="restart"/>
            <w:vAlign w:val="center"/>
          </w:tcPr>
          <w:p w14:paraId="06A3828E">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隔声量≥</w:t>
            </w:r>
            <w:r>
              <w:rPr>
                <w:color w:val="000000" w:themeColor="text1"/>
                <w:sz w:val="18"/>
                <w:szCs w:val="18"/>
                <w14:textFill>
                  <w14:solidFill>
                    <w14:schemeClr w14:val="tx1"/>
                  </w14:solidFill>
                </w14:textFill>
              </w:rPr>
              <w:t>20</w:t>
            </w:r>
            <w:r>
              <w:rPr>
                <w:rFonts w:hint="eastAsia"/>
                <w:color w:val="000000" w:themeColor="text1"/>
                <w:sz w:val="18"/>
                <w:szCs w:val="18"/>
                <w14:textFill>
                  <w14:solidFill>
                    <w14:schemeClr w14:val="tx1"/>
                  </w14:solidFill>
                </w14:textFill>
              </w:rPr>
              <w:t>dB</w:t>
            </w:r>
          </w:p>
        </w:tc>
        <w:tc>
          <w:tcPr>
            <w:tcW w:w="338" w:type="pct"/>
            <w:vMerge w:val="restart"/>
            <w:vAlign w:val="center"/>
          </w:tcPr>
          <w:p w14:paraId="346C489C">
            <w:pPr>
              <w:pStyle w:val="105"/>
              <w:jc w:val="center"/>
              <w:rPr>
                <w:color w:val="000000" w:themeColor="text1"/>
                <w:sz w:val="18"/>
                <w:szCs w:val="18"/>
                <w14:textFill>
                  <w14:solidFill>
                    <w14:schemeClr w14:val="tx1"/>
                  </w14:solidFill>
                </w14:textFill>
              </w:rPr>
            </w:pPr>
            <w:r>
              <w:rPr>
                <w:color w:val="000000" w:themeColor="text1"/>
                <w:sz w:val="18"/>
                <w:szCs w:val="18"/>
                <w14:textFill>
                  <w14:solidFill>
                    <w14:schemeClr w14:val="tx1"/>
                  </w14:solidFill>
                </w14:textFill>
              </w:rPr>
              <w:t>4.0</w:t>
            </w:r>
          </w:p>
        </w:tc>
      </w:tr>
      <w:tr w14:paraId="6B77906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blHeader/>
          <w:jc w:val="center"/>
        </w:trPr>
        <w:tc>
          <w:tcPr>
            <w:tcW w:w="171" w:type="pct"/>
            <w:vMerge w:val="continue"/>
            <w:vAlign w:val="center"/>
          </w:tcPr>
          <w:p w14:paraId="780EABB3">
            <w:pPr>
              <w:pStyle w:val="105"/>
              <w:jc w:val="center"/>
              <w:rPr>
                <w:color w:val="000000" w:themeColor="text1"/>
                <w:sz w:val="18"/>
                <w:szCs w:val="18"/>
                <w14:textFill>
                  <w14:solidFill>
                    <w14:schemeClr w14:val="tx1"/>
                  </w14:solidFill>
                </w14:textFill>
              </w:rPr>
            </w:pPr>
          </w:p>
        </w:tc>
        <w:tc>
          <w:tcPr>
            <w:tcW w:w="529" w:type="pct"/>
            <w:vMerge w:val="continue"/>
            <w:vAlign w:val="center"/>
          </w:tcPr>
          <w:p w14:paraId="05FB938B">
            <w:pPr>
              <w:pStyle w:val="105"/>
              <w:jc w:val="center"/>
              <w:rPr>
                <w:color w:val="000000" w:themeColor="text1"/>
                <w:sz w:val="18"/>
                <w:szCs w:val="18"/>
                <w14:textFill>
                  <w14:solidFill>
                    <w14:schemeClr w14:val="tx1"/>
                  </w14:solidFill>
                </w14:textFill>
              </w:rPr>
            </w:pPr>
          </w:p>
        </w:tc>
        <w:tc>
          <w:tcPr>
            <w:tcW w:w="461" w:type="pct"/>
            <w:vMerge w:val="continue"/>
            <w:vAlign w:val="center"/>
          </w:tcPr>
          <w:p w14:paraId="1704AC35">
            <w:pPr>
              <w:pStyle w:val="105"/>
              <w:jc w:val="center"/>
              <w:rPr>
                <w:color w:val="000000" w:themeColor="text1"/>
                <w:sz w:val="18"/>
                <w:szCs w:val="18"/>
                <w14:textFill>
                  <w14:solidFill>
                    <w14:schemeClr w14:val="tx1"/>
                  </w14:solidFill>
                </w14:textFill>
              </w:rPr>
            </w:pPr>
          </w:p>
        </w:tc>
        <w:tc>
          <w:tcPr>
            <w:tcW w:w="275" w:type="pct"/>
            <w:vMerge w:val="continue"/>
            <w:vAlign w:val="center"/>
          </w:tcPr>
          <w:p w14:paraId="43A3A6D4">
            <w:pPr>
              <w:pStyle w:val="105"/>
              <w:jc w:val="center"/>
              <w:rPr>
                <w:color w:val="000000" w:themeColor="text1"/>
                <w:sz w:val="18"/>
                <w:szCs w:val="18"/>
                <w14:textFill>
                  <w14:solidFill>
                    <w14:schemeClr w14:val="tx1"/>
                  </w14:solidFill>
                </w14:textFill>
              </w:rPr>
            </w:pPr>
          </w:p>
        </w:tc>
        <w:tc>
          <w:tcPr>
            <w:tcW w:w="272" w:type="pct"/>
            <w:vMerge w:val="continue"/>
            <w:vAlign w:val="center"/>
          </w:tcPr>
          <w:p w14:paraId="5FBADDF3">
            <w:pPr>
              <w:pStyle w:val="105"/>
              <w:jc w:val="center"/>
              <w:rPr>
                <w:color w:val="000000" w:themeColor="text1"/>
                <w:sz w:val="18"/>
                <w:szCs w:val="18"/>
                <w14:textFill>
                  <w14:solidFill>
                    <w14:schemeClr w14:val="tx1"/>
                  </w14:solidFill>
                </w14:textFill>
              </w:rPr>
            </w:pPr>
          </w:p>
        </w:tc>
        <w:tc>
          <w:tcPr>
            <w:tcW w:w="359" w:type="pct"/>
            <w:vMerge w:val="continue"/>
            <w:vAlign w:val="center"/>
          </w:tcPr>
          <w:p w14:paraId="6A032D75">
            <w:pPr>
              <w:pStyle w:val="105"/>
              <w:jc w:val="center"/>
              <w:rPr>
                <w:color w:val="000000" w:themeColor="text1"/>
                <w:sz w:val="18"/>
                <w:szCs w:val="18"/>
                <w14:textFill>
                  <w14:solidFill>
                    <w14:schemeClr w14:val="tx1"/>
                  </w14:solidFill>
                </w14:textFill>
              </w:rPr>
            </w:pPr>
          </w:p>
        </w:tc>
        <w:tc>
          <w:tcPr>
            <w:tcW w:w="173" w:type="pct"/>
            <w:vAlign w:val="center"/>
          </w:tcPr>
          <w:p w14:paraId="66D7D089">
            <w:pPr>
              <w:pStyle w:val="105"/>
              <w:jc w:val="center"/>
              <w:rPr>
                <w:color w:val="000000" w:themeColor="text1"/>
                <w:sz w:val="18"/>
                <w:szCs w:val="18"/>
                <w14:textFill>
                  <w14:solidFill>
                    <w14:schemeClr w14:val="tx1"/>
                  </w14:solidFill>
                </w14:textFill>
              </w:rPr>
            </w:pPr>
            <w:r>
              <w:rPr>
                <w:rFonts w:hint="eastAsia"/>
                <w:color w:val="000000" w:themeColor="text1"/>
                <w:sz w:val="18"/>
                <w:szCs w:val="18"/>
                <w14:textFill>
                  <w14:solidFill>
                    <w14:schemeClr w14:val="tx1"/>
                  </w14:solidFill>
                </w14:textFill>
              </w:rPr>
              <w:t>夜间</w:t>
            </w:r>
          </w:p>
        </w:tc>
        <w:tc>
          <w:tcPr>
            <w:tcW w:w="185" w:type="pct"/>
            <w:vAlign w:val="center"/>
          </w:tcPr>
          <w:p w14:paraId="39160927">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60.0 </w:t>
            </w:r>
          </w:p>
        </w:tc>
        <w:tc>
          <w:tcPr>
            <w:tcW w:w="185" w:type="pct"/>
            <w:vAlign w:val="center"/>
          </w:tcPr>
          <w:p w14:paraId="7EDB2A03">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60.5 </w:t>
            </w:r>
          </w:p>
        </w:tc>
        <w:tc>
          <w:tcPr>
            <w:tcW w:w="186" w:type="pct"/>
            <w:vAlign w:val="center"/>
          </w:tcPr>
          <w:p w14:paraId="3F8BFD8B">
            <w:pPr>
              <w:pStyle w:val="105"/>
              <w:jc w:val="center"/>
              <w:rPr>
                <w:color w:val="000000" w:themeColor="text1"/>
                <w:sz w:val="18"/>
                <w:szCs w:val="18"/>
                <w14:textFill>
                  <w14:solidFill>
                    <w14:schemeClr w14:val="tx1"/>
                  </w14:solidFill>
                </w14:textFill>
              </w:rPr>
            </w:pPr>
            <w:r>
              <w:rPr>
                <w:rFonts w:cs="Times New Roman"/>
                <w:color w:val="000000" w:themeColor="text1"/>
                <w:sz w:val="20"/>
                <w:szCs w:val="20"/>
                <w14:textFill>
                  <w14:solidFill>
                    <w14:schemeClr w14:val="tx1"/>
                  </w14:solidFill>
                </w14:textFill>
              </w:rPr>
              <w:t xml:space="preserve">60.7 </w:t>
            </w:r>
          </w:p>
        </w:tc>
        <w:tc>
          <w:tcPr>
            <w:tcW w:w="216" w:type="pct"/>
            <w:vAlign w:val="center"/>
          </w:tcPr>
          <w:p w14:paraId="3C5F1BD5">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 xml:space="preserve">5.0 </w:t>
            </w:r>
          </w:p>
        </w:tc>
        <w:tc>
          <w:tcPr>
            <w:tcW w:w="216" w:type="pct"/>
            <w:vAlign w:val="center"/>
          </w:tcPr>
          <w:p w14:paraId="30831030">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 xml:space="preserve">5.5 </w:t>
            </w:r>
          </w:p>
        </w:tc>
        <w:tc>
          <w:tcPr>
            <w:tcW w:w="218" w:type="pct"/>
            <w:vAlign w:val="center"/>
          </w:tcPr>
          <w:p w14:paraId="2816839F">
            <w:pPr>
              <w:pStyle w:val="105"/>
              <w:jc w:val="center"/>
              <w:rPr>
                <w:color w:val="000000" w:themeColor="text1"/>
                <w:sz w:val="18"/>
                <w:szCs w:val="18"/>
                <w:highlight w:val="yellow"/>
                <w14:textFill>
                  <w14:solidFill>
                    <w14:schemeClr w14:val="tx1"/>
                  </w14:solidFill>
                </w14:textFill>
              </w:rPr>
            </w:pPr>
            <w:r>
              <w:rPr>
                <w:rFonts w:cs="Times New Roman"/>
                <w:color w:val="000000" w:themeColor="text1"/>
                <w:sz w:val="20"/>
                <w:szCs w:val="20"/>
                <w14:textFill>
                  <w14:solidFill>
                    <w14:schemeClr w14:val="tx1"/>
                  </w14:solidFill>
                </w14:textFill>
              </w:rPr>
              <w:t xml:space="preserve">5.7 </w:t>
            </w:r>
          </w:p>
        </w:tc>
        <w:tc>
          <w:tcPr>
            <w:tcW w:w="277" w:type="pct"/>
            <w:vMerge w:val="continue"/>
            <w:vAlign w:val="center"/>
          </w:tcPr>
          <w:p w14:paraId="31A98645">
            <w:pPr>
              <w:pStyle w:val="105"/>
              <w:jc w:val="center"/>
              <w:rPr>
                <w:color w:val="000000" w:themeColor="text1"/>
                <w:sz w:val="18"/>
                <w:szCs w:val="18"/>
                <w14:textFill>
                  <w14:solidFill>
                    <w14:schemeClr w14:val="tx1"/>
                  </w14:solidFill>
                </w14:textFill>
              </w:rPr>
            </w:pPr>
          </w:p>
        </w:tc>
        <w:tc>
          <w:tcPr>
            <w:tcW w:w="269" w:type="pct"/>
            <w:vMerge w:val="continue"/>
            <w:vAlign w:val="center"/>
          </w:tcPr>
          <w:p w14:paraId="600998C8">
            <w:pPr>
              <w:pStyle w:val="105"/>
              <w:jc w:val="center"/>
              <w:rPr>
                <w:color w:val="000000" w:themeColor="text1"/>
                <w:sz w:val="18"/>
                <w:szCs w:val="18"/>
                <w14:textFill>
                  <w14:solidFill>
                    <w14:schemeClr w14:val="tx1"/>
                  </w14:solidFill>
                </w14:textFill>
              </w:rPr>
            </w:pPr>
          </w:p>
        </w:tc>
        <w:tc>
          <w:tcPr>
            <w:tcW w:w="237" w:type="pct"/>
            <w:vMerge w:val="continue"/>
            <w:vAlign w:val="center"/>
          </w:tcPr>
          <w:p w14:paraId="65206E56">
            <w:pPr>
              <w:pStyle w:val="105"/>
              <w:jc w:val="center"/>
              <w:rPr>
                <w:color w:val="000000" w:themeColor="text1"/>
                <w:sz w:val="18"/>
                <w:szCs w:val="18"/>
                <w14:textFill>
                  <w14:solidFill>
                    <w14:schemeClr w14:val="tx1"/>
                  </w14:solidFill>
                </w14:textFill>
              </w:rPr>
            </w:pPr>
          </w:p>
        </w:tc>
        <w:tc>
          <w:tcPr>
            <w:tcW w:w="432" w:type="pct"/>
            <w:vMerge w:val="continue"/>
            <w:vAlign w:val="center"/>
          </w:tcPr>
          <w:p w14:paraId="29790683">
            <w:pPr>
              <w:pStyle w:val="105"/>
              <w:jc w:val="center"/>
              <w:rPr>
                <w:color w:val="000000" w:themeColor="text1"/>
                <w:sz w:val="18"/>
                <w:szCs w:val="18"/>
                <w14:textFill>
                  <w14:solidFill>
                    <w14:schemeClr w14:val="tx1"/>
                  </w14:solidFill>
                </w14:textFill>
              </w:rPr>
            </w:pPr>
          </w:p>
        </w:tc>
        <w:tc>
          <w:tcPr>
            <w:tcW w:w="338" w:type="pct"/>
            <w:vMerge w:val="continue"/>
            <w:vAlign w:val="center"/>
          </w:tcPr>
          <w:p w14:paraId="07A797D8">
            <w:pPr>
              <w:pStyle w:val="105"/>
              <w:jc w:val="center"/>
              <w:rPr>
                <w:color w:val="000000" w:themeColor="text1"/>
                <w:sz w:val="18"/>
                <w:szCs w:val="18"/>
                <w14:textFill>
                  <w14:solidFill>
                    <w14:schemeClr w14:val="tx1"/>
                  </w14:solidFill>
                </w14:textFill>
              </w:rPr>
            </w:pPr>
          </w:p>
        </w:tc>
      </w:tr>
    </w:tbl>
    <w:p w14:paraId="6F5EE78E">
      <w:pPr>
        <w:pStyle w:val="124"/>
        <w:spacing w:before="163"/>
        <w:rPr>
          <w:color w:val="000000" w:themeColor="text1"/>
          <w14:textFill>
            <w14:solidFill>
              <w14:schemeClr w14:val="tx1"/>
            </w14:solidFill>
          </w14:textFill>
        </w:rPr>
      </w:pPr>
    </w:p>
    <w:p w14:paraId="1289DB1D">
      <w:pPr>
        <w:pStyle w:val="124"/>
        <w:spacing w:before="163"/>
        <w:rPr>
          <w:color w:val="000000" w:themeColor="text1"/>
          <w14:textFill>
            <w14:solidFill>
              <w14:schemeClr w14:val="tx1"/>
            </w14:solidFill>
          </w14:textFill>
        </w:rPr>
      </w:pPr>
    </w:p>
    <w:p w14:paraId="57AB4E16">
      <w:pPr>
        <w:pStyle w:val="124"/>
        <w:spacing w:before="163"/>
        <w:rPr>
          <w:color w:val="000000" w:themeColor="text1"/>
          <w14:textFill>
            <w14:solidFill>
              <w14:schemeClr w14:val="tx1"/>
            </w14:solidFill>
          </w14:textFill>
        </w:rPr>
      </w:pPr>
    </w:p>
    <w:p w14:paraId="63168954">
      <w:pPr>
        <w:pStyle w:val="124"/>
        <w:spacing w:before="163"/>
        <w:rPr>
          <w:color w:val="000000" w:themeColor="text1"/>
          <w14:textFill>
            <w14:solidFill>
              <w14:schemeClr w14:val="tx1"/>
            </w14:solidFill>
          </w14:textFill>
        </w:rPr>
        <w:sectPr>
          <w:pgSz w:w="16838" w:h="11906" w:orient="landscape"/>
          <w:pgMar w:top="1418" w:right="1418" w:bottom="1418" w:left="1418" w:header="851" w:footer="850" w:gutter="0"/>
          <w:cols w:space="425" w:num="1"/>
          <w:docGrid w:type="lines" w:linePitch="326" w:charSpace="0"/>
        </w:sectPr>
      </w:pPr>
    </w:p>
    <w:bookmarkEnd w:id="867"/>
    <w:p w14:paraId="519F9E2A">
      <w:pPr>
        <w:pStyle w:val="116"/>
        <w:rPr>
          <w:color w:val="000000" w:themeColor="text1"/>
          <w14:textFill>
            <w14:solidFill>
              <w14:schemeClr w14:val="tx1"/>
            </w14:solidFill>
          </w14:textFill>
        </w:rPr>
      </w:pPr>
      <w:bookmarkStart w:id="871" w:name="_Toc159405490"/>
      <w:bookmarkStart w:id="872" w:name="_Toc193912396"/>
      <w:bookmarkStart w:id="873" w:name="_Toc154668066"/>
      <w:bookmarkStart w:id="874" w:name="_Toc152236631"/>
      <w:r>
        <w:rPr>
          <w:rFonts w:hint="eastAsia"/>
          <w:color w:val="000000" w:themeColor="text1"/>
          <w14:textFill>
            <w14:solidFill>
              <w14:schemeClr w14:val="tx1"/>
            </w14:solidFill>
          </w14:textFill>
        </w:rPr>
        <w:t>固体废物防治措施</w:t>
      </w:r>
      <w:bookmarkEnd w:id="871"/>
      <w:bookmarkEnd w:id="872"/>
      <w:bookmarkEnd w:id="873"/>
      <w:bookmarkEnd w:id="874"/>
    </w:p>
    <w:p w14:paraId="100E1888">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施工期固体废物处置措施</w:t>
      </w:r>
    </w:p>
    <w:p w14:paraId="4CF2724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）施工产生的固体废弃物应采用减量化、无害化、资源化的原则进行处理，产生的固废如不能利用，应及时进行清理，避免长时间暴露。应加强固体废物管理，生活垃圾与建筑垃圾应分开堆置。</w:t>
      </w:r>
    </w:p>
    <w:p w14:paraId="4290872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施工中产生的建筑材料下脚料、断残管材、包装袋以及建筑碎料、石子、沙子等固体废物，断残钢筋、管材、管件等金属废物，可由废品回收部门回收再生利用，不可再生利用的施工垃圾可运送至指定建筑垃圾收集点堆存。</w:t>
      </w:r>
    </w:p>
    <w:p w14:paraId="2483EC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（3）施工现场应当设置废物收集桶（或其他容器）用于及时清理、收集生产和生活废物，禁止随意抛洒；集中收集后送入垃圾</w:t>
      </w:r>
      <w:bookmarkStart w:id="875" w:name="hmcheck_02172c15884b4192841e282040cdf4d7"/>
      <w:r>
        <w:rPr>
          <w:rFonts w:hint="eastAsia"/>
          <w:color w:val="000000" w:themeColor="text1"/>
          <w:shd w:val="clear" w:fill="FFAFAA"/>
          <w14:textFill>
            <w14:solidFill>
              <w14:schemeClr w14:val="tx1"/>
            </w14:solidFill>
          </w14:textFill>
        </w:rPr>
        <w:t>处理场</w:t>
      </w:r>
      <w:bookmarkEnd w:id="875"/>
      <w:r>
        <w:rPr>
          <w:rFonts w:hint="eastAsia"/>
          <w:color w:val="000000" w:themeColor="text1"/>
          <w14:textFill>
            <w14:solidFill>
              <w14:schemeClr w14:val="tx1"/>
            </w14:solidFill>
          </w14:textFill>
        </w:rPr>
        <w:t xml:space="preserve">。施工营地的生活垃圾设置垃圾箱全部收集，定期清运。 </w:t>
      </w:r>
    </w:p>
    <w:p w14:paraId="7FCE312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（4）拆迁建筑垃圾应尽可能回用，对于不能回收利用的垃圾应运至指定的建筑垃圾</w:t>
      </w:r>
      <w:bookmarkStart w:id="876" w:name="hmcheck_095fcd20f6ca4e5491e9dd724d02fc0b"/>
      <w:r>
        <w:rPr>
          <w:rFonts w:hint="eastAsia"/>
          <w:color w:val="000000" w:themeColor="text1"/>
          <w:shd w:val="clear" w:fill="FFAFAA"/>
          <w14:textFill>
            <w14:solidFill>
              <w14:schemeClr w14:val="tx1"/>
            </w14:solidFill>
          </w14:textFill>
        </w:rPr>
        <w:t>处理场</w:t>
      </w:r>
      <w:bookmarkEnd w:id="876"/>
      <w:r>
        <w:rPr>
          <w:rFonts w:hint="eastAsia"/>
          <w:color w:val="000000" w:themeColor="text1"/>
          <w14:textFill>
            <w14:solidFill>
              <w14:schemeClr w14:val="tx1"/>
            </w14:solidFill>
          </w14:textFill>
        </w:rPr>
        <w:t xml:space="preserve">处理，严禁乱丢乱弃。 </w:t>
      </w:r>
    </w:p>
    <w:p w14:paraId="210B88A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）施工结束后，施工单位应立即拆除各种临时施工设施，并负责将工地的剩余建筑垃圾、工程渣土处理干净。</w:t>
      </w:r>
    </w:p>
    <w:p w14:paraId="77992882">
      <w:pPr>
        <w:ind w:firstLine="480"/>
        <w:rPr>
          <w:color w:val="000000" w:themeColor="text1"/>
          <w14:textFill>
            <w14:solidFill>
              <w14:schemeClr w14:val="tx1"/>
            </w14:solidFill>
          </w14:textFill>
        </w:rPr>
      </w:pPr>
      <w:r>
        <w:rPr>
          <w:color w:val="000000" w:themeColor="text1"/>
          <w14:textFill>
            <w14:solidFill>
              <w14:schemeClr w14:val="tx1"/>
            </w14:solidFill>
          </w14:textFill>
        </w:rPr>
        <w:t>（6）</w:t>
      </w:r>
      <w:r>
        <w:rPr>
          <w:color w:val="000000" w:themeColor="text1"/>
          <w:spacing w:val="-3"/>
          <w14:textFill>
            <w14:solidFill>
              <w14:schemeClr w14:val="tx1"/>
            </w14:solidFill>
          </w14:textFill>
        </w:rPr>
        <w:t>土石方、物料等运输车辆应有遮盖或密闭措施，减少砂石土途中的遗撒、尽量避</w:t>
      </w:r>
      <w:r>
        <w:rPr>
          <w:color w:val="000000" w:themeColor="text1"/>
          <w14:textFill>
            <w14:solidFill>
              <w14:schemeClr w14:val="tx1"/>
            </w14:solidFill>
          </w14:textFill>
        </w:rPr>
        <w:t>免产生不必要的固废。施工场地内的表土应集中放置妥善保存，以后可作为绿化用土，以充分利用土地资源。</w:t>
      </w:r>
    </w:p>
    <w:p w14:paraId="19A2BE6F">
      <w:pPr>
        <w:ind w:firstLine="480"/>
        <w:rPr>
          <w:color w:val="000000" w:themeColor="text1"/>
          <w14:textFill>
            <w14:solidFill>
              <w14:schemeClr w14:val="tx1"/>
            </w14:solidFill>
          </w14:textFill>
        </w:rPr>
      </w:pPr>
      <w:r>
        <w:rPr>
          <w:color w:val="000000" w:themeColor="text1"/>
          <w14:textFill>
            <w14:solidFill>
              <w14:schemeClr w14:val="tx1"/>
            </w14:solidFill>
          </w14:textFill>
        </w:rPr>
        <w:t>（7）</w:t>
      </w:r>
      <w:r>
        <w:rPr>
          <w:color w:val="000000" w:themeColor="text1"/>
          <w:spacing w:val="-3"/>
          <w14:textFill>
            <w14:solidFill>
              <w14:schemeClr w14:val="tx1"/>
            </w14:solidFill>
          </w14:textFill>
        </w:rPr>
        <w:t>强化施工</w:t>
      </w:r>
      <w:bookmarkStart w:id="877" w:name="hmcheck_31d0119301d340b8bcbf88a8a818d254"/>
      <w:r>
        <w:rPr>
          <w:color w:val="000000" w:themeColor="text1"/>
          <w:spacing w:val="-3"/>
          <w:shd w:val="clear" w:fill="FFAFAA"/>
          <w14:textFill>
            <w14:solidFill>
              <w14:schemeClr w14:val="tx1"/>
            </w14:solidFill>
          </w14:textFill>
        </w:rPr>
        <w:t>期</w:t>
      </w:r>
      <w:bookmarkEnd w:id="877"/>
      <w:r>
        <w:rPr>
          <w:color w:val="000000" w:themeColor="text1"/>
          <w:spacing w:val="-3"/>
          <w14:textFill>
            <w14:solidFill>
              <w14:schemeClr w14:val="tx1"/>
            </w14:solidFill>
          </w14:textFill>
        </w:rPr>
        <w:t>的环境管理，倡导文明施工。施工期间产生的建筑、生活垃圾在分拣</w:t>
      </w:r>
      <w:r>
        <w:rPr>
          <w:color w:val="000000" w:themeColor="text1"/>
          <w14:textFill>
            <w14:solidFill>
              <w14:schemeClr w14:val="tx1"/>
            </w14:solidFill>
          </w14:textFill>
        </w:rPr>
        <w:t>回收可利用部分后，不得随意堆放和抛弃，应定点堆放收集、及时清运。禁止向周边</w:t>
      </w:r>
      <w:r>
        <w:rPr>
          <w:rFonts w:hint="eastAsia"/>
          <w:color w:val="000000" w:themeColor="text1"/>
          <w14:textFill>
            <w14:solidFill>
              <w14:schemeClr w14:val="tx1"/>
            </w14:solidFill>
          </w14:textFill>
        </w:rPr>
        <w:t>水域、</w:t>
      </w:r>
      <w:r>
        <w:rPr>
          <w:color w:val="000000" w:themeColor="text1"/>
          <w14:textFill>
            <w14:solidFill>
              <w14:schemeClr w14:val="tx1"/>
            </w14:solidFill>
          </w14:textFill>
        </w:rPr>
        <w:t>农田、生态林地等随意倾倒垃圾。</w:t>
      </w:r>
    </w:p>
    <w:p w14:paraId="0A7D3932">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运营期固体废物防治措施</w:t>
      </w:r>
    </w:p>
    <w:p w14:paraId="0465D74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1</w:t>
      </w:r>
      <w:bookmarkStart w:id="878" w:name="hmcheck_37c24f6a9ede48dcad14a4f7cdeca2fb"/>
      <w:r>
        <w:rPr>
          <w:rFonts w:hint="eastAsia"/>
          <w:color w:val="000000" w:themeColor="text1"/>
          <w:shd w:val="clear" w:fill="FFAFAA"/>
          <w14:textFill>
            <w14:solidFill>
              <w14:schemeClr w14:val="tx1"/>
            </w14:solidFill>
          </w14:textFill>
        </w:rPr>
        <w:t>）经</w:t>
      </w:r>
      <w:bookmarkEnd w:id="878"/>
      <w:r>
        <w:rPr>
          <w:rFonts w:hint="eastAsia"/>
          <w:color w:val="000000" w:themeColor="text1"/>
          <w14:textFill>
            <w14:solidFill>
              <w14:schemeClr w14:val="tx1"/>
            </w14:solidFill>
          </w14:textFill>
        </w:rPr>
        <w:t>环卫部门负责定期清除、收集、外运，保证日产日清、路面清洁；</w:t>
      </w:r>
    </w:p>
    <w:p w14:paraId="48859F1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）强化公路沿线的固体废弃物污染治理的监督工作，向司乘人员和行人加强宣传教育工作。</w:t>
      </w:r>
    </w:p>
    <w:p w14:paraId="47EB2BE9">
      <w:pPr>
        <w:ind w:firstLine="480"/>
        <w:rPr>
          <w:color w:val="000000" w:themeColor="text1"/>
          <w14:textFill>
            <w14:solidFill>
              <w14:schemeClr w14:val="tx1"/>
            </w14:solidFill>
          </w14:textFill>
        </w:rPr>
        <w:sectPr>
          <w:pgSz w:w="11906" w:h="16838"/>
          <w:pgMar w:top="1418" w:right="1418" w:bottom="1418" w:left="1418" w:header="851" w:footer="850" w:gutter="0"/>
          <w:cols w:space="425" w:num="1"/>
          <w:docGrid w:type="lines" w:linePitch="326" w:charSpace="0"/>
        </w:sectPr>
      </w:pPr>
    </w:p>
    <w:p w14:paraId="5AC84B39">
      <w:pPr>
        <w:pStyle w:val="116"/>
        <w:rPr>
          <w:color w:val="000000" w:themeColor="text1"/>
          <w14:textFill>
            <w14:solidFill>
              <w14:schemeClr w14:val="tx1"/>
            </w14:solidFill>
          </w14:textFill>
        </w:rPr>
      </w:pPr>
      <w:bookmarkStart w:id="879" w:name="_Toc193912397"/>
      <w:bookmarkStart w:id="880" w:name="_Toc159405491"/>
      <w:bookmarkStart w:id="881" w:name="_Toc154668067"/>
      <w:bookmarkStart w:id="882" w:name="_Toc146524996"/>
      <w:bookmarkStart w:id="883" w:name="_Toc152236632"/>
      <w:r>
        <w:rPr>
          <w:rFonts w:hint="eastAsia"/>
          <w:color w:val="000000" w:themeColor="text1"/>
          <w14:textFill>
            <w14:solidFill>
              <w14:schemeClr w14:val="tx1"/>
            </w14:solidFill>
          </w14:textFill>
        </w:rPr>
        <w:t>环保投资估算</w:t>
      </w:r>
      <w:bookmarkEnd w:id="879"/>
      <w:bookmarkEnd w:id="880"/>
      <w:bookmarkEnd w:id="881"/>
      <w:bookmarkEnd w:id="882"/>
      <w:bookmarkEnd w:id="883"/>
    </w:p>
    <w:p w14:paraId="76D43E2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本项目总投资为</w:t>
      </w:r>
      <w:r>
        <w:rPr>
          <w:color w:val="000000" w:themeColor="text1"/>
          <w14:textFill>
            <w14:solidFill>
              <w14:schemeClr w14:val="tx1"/>
            </w14:solidFill>
          </w14:textFill>
        </w:rPr>
        <w:t>27556.8</w:t>
      </w:r>
      <w:r>
        <w:rPr>
          <w:rFonts w:hint="eastAsia"/>
          <w:color w:val="000000" w:themeColor="text1"/>
          <w14:textFill>
            <w14:solidFill>
              <w14:schemeClr w14:val="tx1"/>
            </w14:solidFill>
          </w14:textFill>
        </w:rPr>
        <w:t>万元，其中环保投资为</w:t>
      </w:r>
      <w:bookmarkStart w:id="884" w:name="_Hlk153097945"/>
      <w:r>
        <w:rPr>
          <w:color w:val="000000" w:themeColor="text1"/>
          <w14:textFill>
            <w14:solidFill>
              <w14:schemeClr w14:val="tx1"/>
            </w14:solidFill>
          </w14:textFill>
        </w:rPr>
        <w:t>321</w:t>
      </w:r>
      <w:r>
        <w:rPr>
          <w:rFonts w:hint="eastAsia"/>
          <w:color w:val="000000" w:themeColor="text1"/>
          <w14:textFill>
            <w14:solidFill>
              <w14:schemeClr w14:val="tx1"/>
            </w14:solidFill>
          </w14:textFill>
        </w:rPr>
        <w:t>万元</w:t>
      </w:r>
      <w:bookmarkEnd w:id="884"/>
      <w:r>
        <w:rPr>
          <w:rFonts w:hint="eastAsia"/>
          <w:color w:val="000000" w:themeColor="text1"/>
          <w14:textFill>
            <w14:solidFill>
              <w14:schemeClr w14:val="tx1"/>
            </w14:solidFill>
          </w14:textFill>
        </w:rPr>
        <w:t>，占总投资的</w:t>
      </w:r>
      <w:r>
        <w:rPr>
          <w:color w:val="000000" w:themeColor="text1"/>
          <w14:textFill>
            <w14:solidFill>
              <w14:schemeClr w14:val="tx1"/>
            </w14:solidFill>
          </w14:textFill>
        </w:rPr>
        <w:t>1.16</w:t>
      </w:r>
      <w:r>
        <w:rPr>
          <w:rFonts w:hint="eastAsia"/>
          <w:color w:val="000000" w:themeColor="text1"/>
          <w14:textFill>
            <w14:solidFill>
              <w14:schemeClr w14:val="tx1"/>
            </w14:solidFill>
          </w14:textFill>
        </w:rPr>
        <w:t>%，具体投资项目和费用见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_Ref535081026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表7.6-1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42C5F545">
      <w:pPr>
        <w:pStyle w:val="87"/>
        <w:spacing w:before="120"/>
        <w:rPr>
          <w:color w:val="000000" w:themeColor="text1"/>
          <w14:textFill>
            <w14:solidFill>
              <w14:schemeClr w14:val="tx1"/>
            </w14:solidFill>
          </w14:textFill>
        </w:rPr>
      </w:pPr>
      <w:bookmarkStart w:id="885" w:name="_Ref535081026"/>
      <w:bookmarkStart w:id="886" w:name="_Toc61517123"/>
      <w:bookmarkStart w:id="887" w:name="_Toc66109054"/>
      <w:r>
        <w:rPr>
          <w:color w:val="000000" w:themeColor="text1"/>
          <w14:textFill>
            <w14:solidFill>
              <w14:schemeClr w14:val="tx1"/>
            </w14:solidFill>
          </w14:textFill>
        </w:rPr>
        <w:t>环保投资估算表</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 xml:space="preserve">  单位：万元</w:t>
      </w:r>
      <w:bookmarkEnd w:id="885"/>
    </w:p>
    <w:tbl>
      <w:tblPr>
        <w:tblStyle w:val="5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2"/>
        <w:gridCol w:w="1241"/>
        <w:gridCol w:w="5869"/>
        <w:gridCol w:w="1388"/>
      </w:tblGrid>
      <w:tr w14:paraId="09542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shd w:val="clear" w:color="auto" w:fill="auto"/>
            <w:vAlign w:val="center"/>
          </w:tcPr>
          <w:p w14:paraId="21A2D99F">
            <w:pPr>
              <w:pStyle w:val="10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68" w:type="pct"/>
            <w:shd w:val="clear" w:color="auto" w:fill="auto"/>
            <w:vAlign w:val="center"/>
          </w:tcPr>
          <w:p w14:paraId="7C05A8D7">
            <w:pPr>
              <w:pStyle w:val="105"/>
              <w:rPr>
                <w:color w:val="000000" w:themeColor="text1"/>
                <w14:textFill>
                  <w14:solidFill>
                    <w14:schemeClr w14:val="tx1"/>
                  </w14:solidFill>
                </w14:textFill>
              </w:rPr>
            </w:pPr>
            <w:r>
              <w:rPr>
                <w:color w:val="000000" w:themeColor="text1"/>
                <w14:textFill>
                  <w14:solidFill>
                    <w14:schemeClr w14:val="tx1"/>
                  </w14:solidFill>
                </w14:textFill>
              </w:rPr>
              <w:t>类别</w:t>
            </w:r>
          </w:p>
        </w:tc>
        <w:tc>
          <w:tcPr>
            <w:tcW w:w="3159" w:type="pct"/>
            <w:shd w:val="clear" w:color="auto" w:fill="auto"/>
            <w:vAlign w:val="center"/>
          </w:tcPr>
          <w:p w14:paraId="4199FBB7">
            <w:pPr>
              <w:pStyle w:val="105"/>
              <w:rPr>
                <w:color w:val="000000" w:themeColor="text1"/>
                <w14:textFill>
                  <w14:solidFill>
                    <w14:schemeClr w14:val="tx1"/>
                  </w14:solidFill>
                </w14:textFill>
              </w:rPr>
            </w:pPr>
            <w:r>
              <w:rPr>
                <w:color w:val="000000" w:themeColor="text1"/>
                <w14:textFill>
                  <w14:solidFill>
                    <w14:schemeClr w14:val="tx1"/>
                  </w14:solidFill>
                </w14:textFill>
              </w:rPr>
              <w:t>环保措施名称</w:t>
            </w:r>
          </w:p>
        </w:tc>
        <w:tc>
          <w:tcPr>
            <w:tcW w:w="747" w:type="pct"/>
            <w:shd w:val="clear" w:color="auto" w:fill="auto"/>
            <w:vAlign w:val="center"/>
          </w:tcPr>
          <w:p w14:paraId="6DCA023E">
            <w:pPr>
              <w:pStyle w:val="105"/>
              <w:rPr>
                <w:color w:val="000000" w:themeColor="text1"/>
                <w14:textFill>
                  <w14:solidFill>
                    <w14:schemeClr w14:val="tx1"/>
                  </w14:solidFill>
                </w14:textFill>
              </w:rPr>
            </w:pPr>
            <w:r>
              <w:rPr>
                <w:color w:val="000000" w:themeColor="text1"/>
                <w14:textFill>
                  <w14:solidFill>
                    <w14:schemeClr w14:val="tx1"/>
                  </w14:solidFill>
                </w14:textFill>
              </w:rPr>
              <w:t>投资</w:t>
            </w:r>
          </w:p>
        </w:tc>
      </w:tr>
      <w:tr w14:paraId="3D0A8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shd w:val="clear" w:color="auto" w:fill="auto"/>
            <w:vAlign w:val="center"/>
          </w:tcPr>
          <w:p w14:paraId="4F51C607">
            <w:pPr>
              <w:pStyle w:val="105"/>
              <w:rPr>
                <w:color w:val="000000" w:themeColor="text1"/>
                <w14:textFill>
                  <w14:solidFill>
                    <w14:schemeClr w14:val="tx1"/>
                  </w14:solidFill>
                </w14:textFill>
              </w:rPr>
            </w:pPr>
            <w:r>
              <w:rPr>
                <w:color w:val="000000" w:themeColor="text1"/>
                <w14:textFill>
                  <w14:solidFill>
                    <w14:schemeClr w14:val="tx1"/>
                  </w14:solidFill>
                </w14:textFill>
              </w:rPr>
              <w:t>施工期污染防治措施</w:t>
            </w:r>
          </w:p>
        </w:tc>
      </w:tr>
      <w:tr w14:paraId="52BD6A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restart"/>
            <w:shd w:val="clear" w:color="auto" w:fill="auto"/>
            <w:vAlign w:val="center"/>
          </w:tcPr>
          <w:p w14:paraId="4AB1A580">
            <w:pPr>
              <w:pStyle w:val="105"/>
              <w:rPr>
                <w:color w:val="000000" w:themeColor="text1"/>
                <w14:textFill>
                  <w14:solidFill>
                    <w14:schemeClr w14:val="tx1"/>
                  </w14:solidFill>
                </w14:textFill>
              </w:rPr>
            </w:pPr>
            <w:r>
              <w:rPr>
                <w:color w:val="000000" w:themeColor="text1"/>
                <w14:textFill>
                  <w14:solidFill>
                    <w14:schemeClr w14:val="tx1"/>
                  </w14:solidFill>
                </w14:textFill>
              </w:rPr>
              <w:t>1</w:t>
            </w:r>
          </w:p>
        </w:tc>
        <w:tc>
          <w:tcPr>
            <w:tcW w:w="668" w:type="pct"/>
            <w:vMerge w:val="restart"/>
            <w:shd w:val="clear" w:color="auto" w:fill="auto"/>
            <w:vAlign w:val="center"/>
          </w:tcPr>
          <w:p w14:paraId="238FF9CC">
            <w:pPr>
              <w:pStyle w:val="105"/>
              <w:rPr>
                <w:color w:val="000000" w:themeColor="text1"/>
                <w14:textFill>
                  <w14:solidFill>
                    <w14:schemeClr w14:val="tx1"/>
                  </w14:solidFill>
                </w14:textFill>
              </w:rPr>
            </w:pPr>
            <w:r>
              <w:rPr>
                <w:color w:val="000000" w:themeColor="text1"/>
                <w14:textFill>
                  <w14:solidFill>
                    <w14:schemeClr w14:val="tx1"/>
                  </w14:solidFill>
                </w14:textFill>
              </w:rPr>
              <w:t>施工废水</w:t>
            </w:r>
          </w:p>
        </w:tc>
        <w:tc>
          <w:tcPr>
            <w:tcW w:w="3159" w:type="pct"/>
            <w:shd w:val="clear" w:color="auto" w:fill="auto"/>
            <w:vAlign w:val="center"/>
          </w:tcPr>
          <w:p w14:paraId="0ED4955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施工废水隔油沉淀设施</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处，洗车平台沉淀池</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处</w:t>
            </w:r>
          </w:p>
        </w:tc>
        <w:tc>
          <w:tcPr>
            <w:tcW w:w="747" w:type="pct"/>
            <w:shd w:val="clear" w:color="auto" w:fill="auto"/>
            <w:vAlign w:val="center"/>
          </w:tcPr>
          <w:p w14:paraId="0B8E7627">
            <w:pPr>
              <w:pStyle w:val="105"/>
              <w:rPr>
                <w:color w:val="000000" w:themeColor="text1"/>
                <w14:textFill>
                  <w14:solidFill>
                    <w14:schemeClr w14:val="tx1"/>
                  </w14:solidFill>
                </w14:textFill>
              </w:rPr>
            </w:pPr>
            <w:r>
              <w:rPr>
                <w:color w:val="000000" w:themeColor="text1"/>
                <w14:textFill>
                  <w14:solidFill>
                    <w14:schemeClr w14:val="tx1"/>
                  </w14:solidFill>
                </w14:textFill>
              </w:rPr>
              <w:t>15</w:t>
            </w:r>
          </w:p>
        </w:tc>
      </w:tr>
      <w:tr w14:paraId="65332A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33155839">
            <w:pPr>
              <w:pStyle w:val="105"/>
              <w:rPr>
                <w:color w:val="000000" w:themeColor="text1"/>
                <w14:textFill>
                  <w14:solidFill>
                    <w14:schemeClr w14:val="tx1"/>
                  </w14:solidFill>
                </w14:textFill>
              </w:rPr>
            </w:pPr>
          </w:p>
        </w:tc>
        <w:tc>
          <w:tcPr>
            <w:tcW w:w="668" w:type="pct"/>
            <w:vMerge w:val="continue"/>
            <w:shd w:val="clear" w:color="auto" w:fill="auto"/>
            <w:vAlign w:val="center"/>
          </w:tcPr>
          <w:p w14:paraId="50F272C6">
            <w:pPr>
              <w:pStyle w:val="105"/>
              <w:rPr>
                <w:color w:val="000000" w:themeColor="text1"/>
                <w14:textFill>
                  <w14:solidFill>
                    <w14:schemeClr w14:val="tx1"/>
                  </w14:solidFill>
                </w14:textFill>
              </w:rPr>
            </w:pPr>
          </w:p>
        </w:tc>
        <w:tc>
          <w:tcPr>
            <w:tcW w:w="3159" w:type="pct"/>
            <w:shd w:val="clear" w:color="auto" w:fill="auto"/>
            <w:vAlign w:val="center"/>
          </w:tcPr>
          <w:p w14:paraId="01CDECA6">
            <w:pPr>
              <w:pStyle w:val="105"/>
              <w:rPr>
                <w:color w:val="000000" w:themeColor="text1"/>
                <w14:textFill>
                  <w14:solidFill>
                    <w14:schemeClr w14:val="tx1"/>
                  </w14:solidFill>
                </w14:textFill>
              </w:rPr>
            </w:pPr>
            <w:r>
              <w:rPr>
                <w:rFonts w:hint="eastAsia"/>
                <w:b/>
                <w:bCs/>
                <w:color w:val="000000" w:themeColor="text1"/>
                <w14:textFill>
                  <w14:solidFill>
                    <w14:schemeClr w14:val="tx1"/>
                  </w14:solidFill>
                </w14:textFill>
              </w:rPr>
              <w:t>桥梁、改河等涉水工程围堰、导流</w:t>
            </w:r>
          </w:p>
        </w:tc>
        <w:tc>
          <w:tcPr>
            <w:tcW w:w="747" w:type="pct"/>
            <w:shd w:val="clear" w:color="auto" w:fill="auto"/>
            <w:vAlign w:val="center"/>
          </w:tcPr>
          <w:p w14:paraId="2873BEA7">
            <w:pPr>
              <w:pStyle w:val="105"/>
              <w:rPr>
                <w:color w:val="000000" w:themeColor="text1"/>
                <w14:textFill>
                  <w14:solidFill>
                    <w14:schemeClr w14:val="tx1"/>
                  </w14:solidFill>
                </w14:textFill>
              </w:rPr>
            </w:pPr>
            <w:r>
              <w:rPr>
                <w:color w:val="000000" w:themeColor="text1"/>
                <w14:textFill>
                  <w14:solidFill>
                    <w14:schemeClr w14:val="tx1"/>
                  </w14:solidFill>
                </w14:textFill>
              </w:rPr>
              <w:t>20</w:t>
            </w:r>
          </w:p>
        </w:tc>
      </w:tr>
      <w:tr w14:paraId="6FE2E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0D9B459C">
            <w:pPr>
              <w:pStyle w:val="105"/>
              <w:rPr>
                <w:color w:val="000000" w:themeColor="text1"/>
                <w14:textFill>
                  <w14:solidFill>
                    <w14:schemeClr w14:val="tx1"/>
                  </w14:solidFill>
                </w14:textFill>
              </w:rPr>
            </w:pPr>
          </w:p>
        </w:tc>
        <w:tc>
          <w:tcPr>
            <w:tcW w:w="668" w:type="pct"/>
            <w:vMerge w:val="continue"/>
            <w:shd w:val="clear" w:color="auto" w:fill="auto"/>
            <w:vAlign w:val="center"/>
          </w:tcPr>
          <w:p w14:paraId="2063710E">
            <w:pPr>
              <w:pStyle w:val="105"/>
              <w:rPr>
                <w:color w:val="000000" w:themeColor="text1"/>
                <w14:textFill>
                  <w14:solidFill>
                    <w14:schemeClr w14:val="tx1"/>
                  </w14:solidFill>
                </w14:textFill>
              </w:rPr>
            </w:pPr>
          </w:p>
        </w:tc>
        <w:tc>
          <w:tcPr>
            <w:tcW w:w="3159" w:type="pct"/>
            <w:shd w:val="clear" w:color="auto" w:fill="auto"/>
            <w:vAlign w:val="center"/>
          </w:tcPr>
          <w:p w14:paraId="00AF8DB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施工场地办公区设置临时化粪池及委托清运肥田</w:t>
            </w:r>
          </w:p>
        </w:tc>
        <w:tc>
          <w:tcPr>
            <w:tcW w:w="747" w:type="pct"/>
            <w:shd w:val="clear" w:color="auto" w:fill="auto"/>
            <w:vAlign w:val="center"/>
          </w:tcPr>
          <w:p w14:paraId="4AE363C1">
            <w:pPr>
              <w:pStyle w:val="105"/>
              <w:rPr>
                <w:color w:val="000000" w:themeColor="text1"/>
                <w14:textFill>
                  <w14:solidFill>
                    <w14:schemeClr w14:val="tx1"/>
                  </w14:solidFill>
                </w14:textFill>
              </w:rPr>
            </w:pPr>
            <w:r>
              <w:rPr>
                <w:color w:val="000000" w:themeColor="text1"/>
                <w14:textFill>
                  <w14:solidFill>
                    <w14:schemeClr w14:val="tx1"/>
                  </w14:solidFill>
                </w14:textFill>
              </w:rPr>
              <w:t>2</w:t>
            </w:r>
          </w:p>
        </w:tc>
      </w:tr>
      <w:tr w14:paraId="393405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0B53F2F7">
            <w:pPr>
              <w:pStyle w:val="105"/>
              <w:rPr>
                <w:color w:val="000000" w:themeColor="text1"/>
                <w14:textFill>
                  <w14:solidFill>
                    <w14:schemeClr w14:val="tx1"/>
                  </w14:solidFill>
                </w14:textFill>
              </w:rPr>
            </w:pPr>
          </w:p>
        </w:tc>
        <w:tc>
          <w:tcPr>
            <w:tcW w:w="668" w:type="pct"/>
            <w:vMerge w:val="continue"/>
            <w:shd w:val="clear" w:color="auto" w:fill="auto"/>
            <w:vAlign w:val="center"/>
          </w:tcPr>
          <w:p w14:paraId="5B465442">
            <w:pPr>
              <w:pStyle w:val="105"/>
              <w:rPr>
                <w:color w:val="000000" w:themeColor="text1"/>
                <w14:textFill>
                  <w14:solidFill>
                    <w14:schemeClr w14:val="tx1"/>
                  </w14:solidFill>
                </w14:textFill>
              </w:rPr>
            </w:pPr>
          </w:p>
        </w:tc>
        <w:tc>
          <w:tcPr>
            <w:tcW w:w="3159" w:type="pct"/>
            <w:shd w:val="clear" w:color="auto" w:fill="auto"/>
            <w:vAlign w:val="center"/>
          </w:tcPr>
          <w:p w14:paraId="0D3EC80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临时工程导流沟、截水沟、沉沙池等</w:t>
            </w:r>
          </w:p>
        </w:tc>
        <w:tc>
          <w:tcPr>
            <w:tcW w:w="747" w:type="pct"/>
            <w:shd w:val="clear" w:color="auto" w:fill="auto"/>
            <w:vAlign w:val="center"/>
          </w:tcPr>
          <w:p w14:paraId="51AE15B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纳入水保</w:t>
            </w:r>
          </w:p>
        </w:tc>
      </w:tr>
      <w:tr w14:paraId="4AD8C0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restart"/>
            <w:shd w:val="clear" w:color="auto" w:fill="auto"/>
            <w:vAlign w:val="center"/>
          </w:tcPr>
          <w:p w14:paraId="018129E5">
            <w:pPr>
              <w:pStyle w:val="105"/>
              <w:rPr>
                <w:color w:val="000000" w:themeColor="text1"/>
                <w14:textFill>
                  <w14:solidFill>
                    <w14:schemeClr w14:val="tx1"/>
                  </w14:solidFill>
                </w14:textFill>
              </w:rPr>
            </w:pPr>
            <w:r>
              <w:rPr>
                <w:color w:val="000000" w:themeColor="text1"/>
                <w14:textFill>
                  <w14:solidFill>
                    <w14:schemeClr w14:val="tx1"/>
                  </w14:solidFill>
                </w14:textFill>
              </w:rPr>
              <w:t>2</w:t>
            </w:r>
          </w:p>
        </w:tc>
        <w:tc>
          <w:tcPr>
            <w:tcW w:w="668" w:type="pct"/>
            <w:vMerge w:val="restart"/>
            <w:shd w:val="clear" w:color="auto" w:fill="auto"/>
            <w:vAlign w:val="center"/>
          </w:tcPr>
          <w:p w14:paraId="2C0A6F14">
            <w:pPr>
              <w:pStyle w:val="105"/>
              <w:rPr>
                <w:color w:val="000000" w:themeColor="text1"/>
                <w14:textFill>
                  <w14:solidFill>
                    <w14:schemeClr w14:val="tx1"/>
                  </w14:solidFill>
                </w14:textFill>
              </w:rPr>
            </w:pPr>
            <w:r>
              <w:rPr>
                <w:color w:val="000000" w:themeColor="text1"/>
                <w14:textFill>
                  <w14:solidFill>
                    <w14:schemeClr w14:val="tx1"/>
                  </w14:solidFill>
                </w14:textFill>
              </w:rPr>
              <w:t>施工扬尘</w:t>
            </w:r>
          </w:p>
        </w:tc>
        <w:tc>
          <w:tcPr>
            <w:tcW w:w="3159" w:type="pct"/>
            <w:shd w:val="clear" w:color="auto" w:fill="auto"/>
            <w:vAlign w:val="center"/>
          </w:tcPr>
          <w:p w14:paraId="631EAFA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施工现场清扫、洒水车及运行费</w:t>
            </w:r>
          </w:p>
        </w:tc>
        <w:tc>
          <w:tcPr>
            <w:tcW w:w="747" w:type="pct"/>
            <w:shd w:val="clear" w:color="auto" w:fill="auto"/>
            <w:vAlign w:val="center"/>
          </w:tcPr>
          <w:p w14:paraId="17D764E1">
            <w:pPr>
              <w:pStyle w:val="105"/>
              <w:rPr>
                <w:color w:val="000000" w:themeColor="text1"/>
                <w14:textFill>
                  <w14:solidFill>
                    <w14:schemeClr w14:val="tx1"/>
                  </w14:solidFill>
                </w14:textFill>
              </w:rPr>
            </w:pPr>
            <w:r>
              <w:rPr>
                <w:color w:val="000000" w:themeColor="text1"/>
                <w14:textFill>
                  <w14:solidFill>
                    <w14:schemeClr w14:val="tx1"/>
                  </w14:solidFill>
                </w14:textFill>
              </w:rPr>
              <w:t>20</w:t>
            </w:r>
          </w:p>
        </w:tc>
      </w:tr>
      <w:tr w14:paraId="5574A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78A3035E">
            <w:pPr>
              <w:pStyle w:val="105"/>
              <w:rPr>
                <w:color w:val="000000" w:themeColor="text1"/>
                <w14:textFill>
                  <w14:solidFill>
                    <w14:schemeClr w14:val="tx1"/>
                  </w14:solidFill>
                </w14:textFill>
              </w:rPr>
            </w:pPr>
          </w:p>
        </w:tc>
        <w:tc>
          <w:tcPr>
            <w:tcW w:w="668" w:type="pct"/>
            <w:vMerge w:val="continue"/>
            <w:shd w:val="clear" w:color="auto" w:fill="auto"/>
            <w:vAlign w:val="center"/>
          </w:tcPr>
          <w:p w14:paraId="29324696">
            <w:pPr>
              <w:pStyle w:val="105"/>
              <w:rPr>
                <w:color w:val="000000" w:themeColor="text1"/>
                <w14:textFill>
                  <w14:solidFill>
                    <w14:schemeClr w14:val="tx1"/>
                  </w14:solidFill>
                </w14:textFill>
              </w:rPr>
            </w:pPr>
          </w:p>
        </w:tc>
        <w:tc>
          <w:tcPr>
            <w:tcW w:w="3159" w:type="pct"/>
            <w:shd w:val="clear" w:color="auto" w:fill="auto"/>
            <w:vAlign w:val="center"/>
          </w:tcPr>
          <w:p w14:paraId="05D2FF79">
            <w:pPr>
              <w:pStyle w:val="105"/>
              <w:rPr>
                <w:color w:val="000000" w:themeColor="text1"/>
                <w14:textFill>
                  <w14:solidFill>
                    <w14:schemeClr w14:val="tx1"/>
                  </w14:solidFill>
                </w14:textFill>
              </w:rPr>
            </w:pPr>
            <w:bookmarkStart w:id="888" w:name="hmcheck_2a032852ff554176abc4f963c9900d3f"/>
            <w:r>
              <w:rPr>
                <w:rFonts w:hint="eastAsia"/>
                <w:color w:val="000000" w:themeColor="text1"/>
                <w:shd w:val="clear" w:fill="FFAFAA"/>
                <w14:textFill>
                  <w14:solidFill>
                    <w14:schemeClr w14:val="tx1"/>
                  </w14:solidFill>
                </w14:textFill>
              </w:rPr>
              <w:t>拌和</w:t>
            </w:r>
            <w:bookmarkEnd w:id="888"/>
            <w:r>
              <w:rPr>
                <w:rFonts w:hint="eastAsia"/>
                <w:color w:val="000000" w:themeColor="text1"/>
                <w14:textFill>
                  <w14:solidFill>
                    <w14:schemeClr w14:val="tx1"/>
                  </w14:solidFill>
                </w14:textFill>
              </w:rPr>
              <w:t>站、预制场等除尘设施、施工围挡、封闭设施</w:t>
            </w:r>
          </w:p>
        </w:tc>
        <w:tc>
          <w:tcPr>
            <w:tcW w:w="747" w:type="pct"/>
            <w:shd w:val="clear" w:color="auto" w:fill="auto"/>
            <w:vAlign w:val="center"/>
          </w:tcPr>
          <w:p w14:paraId="640FD8E8">
            <w:pPr>
              <w:pStyle w:val="105"/>
              <w:rPr>
                <w:color w:val="000000" w:themeColor="text1"/>
                <w14:textFill>
                  <w14:solidFill>
                    <w14:schemeClr w14:val="tx1"/>
                  </w14:solidFill>
                </w14:textFill>
              </w:rPr>
            </w:pPr>
            <w:r>
              <w:rPr>
                <w:color w:val="000000" w:themeColor="text1"/>
                <w14:textFill>
                  <w14:solidFill>
                    <w14:schemeClr w14:val="tx1"/>
                  </w14:solidFill>
                </w14:textFill>
              </w:rPr>
              <w:t>15</w:t>
            </w:r>
          </w:p>
        </w:tc>
      </w:tr>
      <w:tr w14:paraId="26B2E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22947811">
            <w:pPr>
              <w:pStyle w:val="105"/>
              <w:rPr>
                <w:color w:val="000000" w:themeColor="text1"/>
                <w14:textFill>
                  <w14:solidFill>
                    <w14:schemeClr w14:val="tx1"/>
                  </w14:solidFill>
                </w14:textFill>
              </w:rPr>
            </w:pPr>
          </w:p>
        </w:tc>
        <w:tc>
          <w:tcPr>
            <w:tcW w:w="668" w:type="pct"/>
            <w:vMerge w:val="continue"/>
            <w:shd w:val="clear" w:color="auto" w:fill="auto"/>
            <w:vAlign w:val="center"/>
          </w:tcPr>
          <w:p w14:paraId="1417745E">
            <w:pPr>
              <w:pStyle w:val="105"/>
              <w:rPr>
                <w:color w:val="000000" w:themeColor="text1"/>
                <w14:textFill>
                  <w14:solidFill>
                    <w14:schemeClr w14:val="tx1"/>
                  </w14:solidFill>
                </w14:textFill>
              </w:rPr>
            </w:pPr>
          </w:p>
        </w:tc>
        <w:tc>
          <w:tcPr>
            <w:tcW w:w="3159" w:type="pct"/>
            <w:shd w:val="clear" w:color="auto" w:fill="auto"/>
            <w:vAlign w:val="center"/>
          </w:tcPr>
          <w:p w14:paraId="2C3CDEF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施工场地围挡</w:t>
            </w:r>
          </w:p>
        </w:tc>
        <w:tc>
          <w:tcPr>
            <w:tcW w:w="747" w:type="pct"/>
            <w:shd w:val="clear" w:color="auto" w:fill="auto"/>
            <w:vAlign w:val="center"/>
          </w:tcPr>
          <w:p w14:paraId="258F3C46">
            <w:pPr>
              <w:pStyle w:val="105"/>
              <w:rPr>
                <w:color w:val="000000" w:themeColor="text1"/>
                <w14:textFill>
                  <w14:solidFill>
                    <w14:schemeClr w14:val="tx1"/>
                  </w14:solidFill>
                </w14:textFill>
              </w:rPr>
            </w:pPr>
            <w:r>
              <w:rPr>
                <w:color w:val="000000" w:themeColor="text1"/>
                <w14:textFill>
                  <w14:solidFill>
                    <w14:schemeClr w14:val="tx1"/>
                  </w14:solidFill>
                </w14:textFill>
              </w:rPr>
              <w:t>10</w:t>
            </w:r>
          </w:p>
        </w:tc>
      </w:tr>
      <w:tr w14:paraId="249E0B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0116D290">
            <w:pPr>
              <w:pStyle w:val="105"/>
              <w:rPr>
                <w:color w:val="000000" w:themeColor="text1"/>
                <w14:textFill>
                  <w14:solidFill>
                    <w14:schemeClr w14:val="tx1"/>
                  </w14:solidFill>
                </w14:textFill>
              </w:rPr>
            </w:pPr>
          </w:p>
        </w:tc>
        <w:tc>
          <w:tcPr>
            <w:tcW w:w="668" w:type="pct"/>
            <w:vMerge w:val="continue"/>
            <w:shd w:val="clear" w:color="auto" w:fill="auto"/>
            <w:vAlign w:val="center"/>
          </w:tcPr>
          <w:p w14:paraId="337A1B7A">
            <w:pPr>
              <w:pStyle w:val="105"/>
              <w:rPr>
                <w:color w:val="000000" w:themeColor="text1"/>
                <w14:textFill>
                  <w14:solidFill>
                    <w14:schemeClr w14:val="tx1"/>
                  </w14:solidFill>
                </w14:textFill>
              </w:rPr>
            </w:pPr>
          </w:p>
        </w:tc>
        <w:tc>
          <w:tcPr>
            <w:tcW w:w="3159" w:type="pct"/>
            <w:shd w:val="clear" w:color="auto" w:fill="auto"/>
            <w:vAlign w:val="center"/>
          </w:tcPr>
          <w:p w14:paraId="739FBDB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运输车辆、</w:t>
            </w:r>
            <w:r>
              <w:rPr>
                <w:color w:val="000000" w:themeColor="text1"/>
                <w14:textFill>
                  <w14:solidFill>
                    <w14:schemeClr w14:val="tx1"/>
                  </w14:solidFill>
                </w14:textFill>
              </w:rPr>
              <w:t>施工物料遮盖措施（</w:t>
            </w:r>
            <w:r>
              <w:rPr>
                <w:rFonts w:hint="eastAsia"/>
                <w:color w:val="000000" w:themeColor="text1"/>
                <w14:textFill>
                  <w14:solidFill>
                    <w14:schemeClr w14:val="tx1"/>
                  </w14:solidFill>
                </w14:textFill>
              </w:rPr>
              <w:t>防尘布、防尘网</w:t>
            </w:r>
            <w:r>
              <w:rPr>
                <w:color w:val="000000" w:themeColor="text1"/>
                <w14:textFill>
                  <w14:solidFill>
                    <w14:schemeClr w14:val="tx1"/>
                  </w14:solidFill>
                </w14:textFill>
              </w:rPr>
              <w:t>）</w:t>
            </w:r>
          </w:p>
        </w:tc>
        <w:tc>
          <w:tcPr>
            <w:tcW w:w="747" w:type="pct"/>
            <w:shd w:val="clear" w:color="auto" w:fill="auto"/>
            <w:vAlign w:val="center"/>
          </w:tcPr>
          <w:p w14:paraId="30F028D3">
            <w:pPr>
              <w:pStyle w:val="105"/>
              <w:rPr>
                <w:color w:val="000000" w:themeColor="text1"/>
                <w14:textFill>
                  <w14:solidFill>
                    <w14:schemeClr w14:val="tx1"/>
                  </w14:solidFill>
                </w14:textFill>
              </w:rPr>
            </w:pPr>
            <w:r>
              <w:rPr>
                <w:color w:val="000000" w:themeColor="text1"/>
                <w14:textFill>
                  <w14:solidFill>
                    <w14:schemeClr w14:val="tx1"/>
                  </w14:solidFill>
                </w14:textFill>
              </w:rPr>
              <w:t>10</w:t>
            </w:r>
          </w:p>
        </w:tc>
      </w:tr>
      <w:tr w14:paraId="74751E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restart"/>
            <w:shd w:val="clear" w:color="auto" w:fill="auto"/>
            <w:vAlign w:val="center"/>
          </w:tcPr>
          <w:p w14:paraId="1DBCF473">
            <w:pPr>
              <w:pStyle w:val="105"/>
              <w:rPr>
                <w:color w:val="000000" w:themeColor="text1"/>
                <w14:textFill>
                  <w14:solidFill>
                    <w14:schemeClr w14:val="tx1"/>
                  </w14:solidFill>
                </w14:textFill>
              </w:rPr>
            </w:pPr>
            <w:r>
              <w:rPr>
                <w:color w:val="000000" w:themeColor="text1"/>
                <w14:textFill>
                  <w14:solidFill>
                    <w14:schemeClr w14:val="tx1"/>
                  </w14:solidFill>
                </w14:textFill>
              </w:rPr>
              <w:t>3</w:t>
            </w:r>
          </w:p>
        </w:tc>
        <w:tc>
          <w:tcPr>
            <w:tcW w:w="668" w:type="pct"/>
            <w:vMerge w:val="restart"/>
            <w:shd w:val="clear" w:color="auto" w:fill="auto"/>
            <w:vAlign w:val="center"/>
          </w:tcPr>
          <w:p w14:paraId="1873901C">
            <w:pPr>
              <w:pStyle w:val="105"/>
              <w:rPr>
                <w:color w:val="000000" w:themeColor="text1"/>
                <w14:textFill>
                  <w14:solidFill>
                    <w14:schemeClr w14:val="tx1"/>
                  </w14:solidFill>
                </w14:textFill>
              </w:rPr>
            </w:pPr>
            <w:r>
              <w:rPr>
                <w:color w:val="000000" w:themeColor="text1"/>
                <w14:textFill>
                  <w14:solidFill>
                    <w14:schemeClr w14:val="tx1"/>
                  </w14:solidFill>
                </w14:textFill>
              </w:rPr>
              <w:t>施工噪声</w:t>
            </w:r>
          </w:p>
        </w:tc>
        <w:tc>
          <w:tcPr>
            <w:tcW w:w="3159" w:type="pct"/>
            <w:shd w:val="clear" w:color="auto" w:fill="auto"/>
            <w:vAlign w:val="center"/>
          </w:tcPr>
          <w:p w14:paraId="71C75A59">
            <w:pPr>
              <w:pStyle w:val="105"/>
              <w:rPr>
                <w:color w:val="000000" w:themeColor="text1"/>
                <w14:textFill>
                  <w14:solidFill>
                    <w14:schemeClr w14:val="tx1"/>
                  </w14:solidFill>
                </w14:textFill>
              </w:rPr>
            </w:pPr>
            <w:r>
              <w:rPr>
                <w:color w:val="000000" w:themeColor="text1"/>
                <w14:textFill>
                  <w14:solidFill>
                    <w14:schemeClr w14:val="tx1"/>
                  </w14:solidFill>
                </w14:textFill>
              </w:rPr>
              <w:t>选用低噪声施工机械设备；机械设备维护和保养</w:t>
            </w:r>
          </w:p>
        </w:tc>
        <w:tc>
          <w:tcPr>
            <w:tcW w:w="747" w:type="pct"/>
            <w:shd w:val="clear" w:color="auto" w:fill="auto"/>
            <w:vAlign w:val="center"/>
          </w:tcPr>
          <w:p w14:paraId="03A8DEB4">
            <w:pPr>
              <w:pStyle w:val="105"/>
              <w:rPr>
                <w:color w:val="000000" w:themeColor="text1"/>
                <w14:textFill>
                  <w14:solidFill>
                    <w14:schemeClr w14:val="tx1"/>
                  </w14:solidFill>
                </w14:textFill>
              </w:rPr>
            </w:pPr>
            <w:r>
              <w:rPr>
                <w:color w:val="000000" w:themeColor="text1"/>
                <w14:textFill>
                  <w14:solidFill>
                    <w14:schemeClr w14:val="tx1"/>
                  </w14:solidFill>
                </w14:textFill>
              </w:rPr>
              <w:t>15</w:t>
            </w:r>
          </w:p>
        </w:tc>
      </w:tr>
      <w:tr w14:paraId="2908A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72F9BAC7">
            <w:pPr>
              <w:pStyle w:val="105"/>
              <w:rPr>
                <w:color w:val="000000" w:themeColor="text1"/>
                <w14:textFill>
                  <w14:solidFill>
                    <w14:schemeClr w14:val="tx1"/>
                  </w14:solidFill>
                </w14:textFill>
              </w:rPr>
            </w:pPr>
          </w:p>
        </w:tc>
        <w:tc>
          <w:tcPr>
            <w:tcW w:w="668" w:type="pct"/>
            <w:vMerge w:val="continue"/>
            <w:shd w:val="clear" w:color="auto" w:fill="auto"/>
            <w:vAlign w:val="center"/>
          </w:tcPr>
          <w:p w14:paraId="3CD0F6AB">
            <w:pPr>
              <w:pStyle w:val="105"/>
              <w:rPr>
                <w:color w:val="000000" w:themeColor="text1"/>
                <w14:textFill>
                  <w14:solidFill>
                    <w14:schemeClr w14:val="tx1"/>
                  </w14:solidFill>
                </w14:textFill>
              </w:rPr>
            </w:pPr>
          </w:p>
        </w:tc>
        <w:tc>
          <w:tcPr>
            <w:tcW w:w="3159" w:type="pct"/>
            <w:shd w:val="clear" w:color="auto" w:fill="auto"/>
            <w:vAlign w:val="center"/>
          </w:tcPr>
          <w:p w14:paraId="7F37292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大型设置加装减振机座，临近居民区一侧按照临时声屏障</w:t>
            </w:r>
          </w:p>
        </w:tc>
        <w:tc>
          <w:tcPr>
            <w:tcW w:w="747" w:type="pct"/>
            <w:shd w:val="clear" w:color="auto" w:fill="auto"/>
            <w:vAlign w:val="center"/>
          </w:tcPr>
          <w:p w14:paraId="61371271">
            <w:pPr>
              <w:pStyle w:val="105"/>
              <w:rPr>
                <w:color w:val="000000" w:themeColor="text1"/>
                <w14:textFill>
                  <w14:solidFill>
                    <w14:schemeClr w14:val="tx1"/>
                  </w14:solidFill>
                </w14:textFill>
              </w:rPr>
            </w:pPr>
            <w:r>
              <w:rPr>
                <w:color w:val="000000" w:themeColor="text1"/>
                <w14:textFill>
                  <w14:solidFill>
                    <w14:schemeClr w14:val="tx1"/>
                  </w14:solidFill>
                </w14:textFill>
              </w:rPr>
              <w:t>20</w:t>
            </w:r>
          </w:p>
        </w:tc>
      </w:tr>
      <w:tr w14:paraId="7A97AD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15E145FB">
            <w:pPr>
              <w:pStyle w:val="105"/>
              <w:rPr>
                <w:color w:val="000000" w:themeColor="text1"/>
                <w14:textFill>
                  <w14:solidFill>
                    <w14:schemeClr w14:val="tx1"/>
                  </w14:solidFill>
                </w14:textFill>
              </w:rPr>
            </w:pPr>
          </w:p>
        </w:tc>
        <w:tc>
          <w:tcPr>
            <w:tcW w:w="668" w:type="pct"/>
            <w:vMerge w:val="continue"/>
            <w:shd w:val="clear" w:color="auto" w:fill="auto"/>
            <w:vAlign w:val="center"/>
          </w:tcPr>
          <w:p w14:paraId="60ACD92E">
            <w:pPr>
              <w:pStyle w:val="105"/>
              <w:rPr>
                <w:color w:val="000000" w:themeColor="text1"/>
                <w14:textFill>
                  <w14:solidFill>
                    <w14:schemeClr w14:val="tx1"/>
                  </w14:solidFill>
                </w14:textFill>
              </w:rPr>
            </w:pPr>
          </w:p>
        </w:tc>
        <w:tc>
          <w:tcPr>
            <w:tcW w:w="3159" w:type="pct"/>
            <w:shd w:val="clear" w:color="auto" w:fill="auto"/>
            <w:vAlign w:val="center"/>
          </w:tcPr>
          <w:p w14:paraId="38FDD8D8">
            <w:pPr>
              <w:pStyle w:val="105"/>
              <w:rPr>
                <w:color w:val="000000" w:themeColor="text1"/>
                <w14:textFill>
                  <w14:solidFill>
                    <w14:schemeClr w14:val="tx1"/>
                  </w14:solidFill>
                </w14:textFill>
              </w:rPr>
            </w:pPr>
            <w:r>
              <w:rPr>
                <w:color w:val="000000" w:themeColor="text1"/>
                <w14:textFill>
                  <w14:solidFill>
                    <w14:schemeClr w14:val="tx1"/>
                  </w14:solidFill>
                </w14:textFill>
              </w:rPr>
              <w:t>合理安排施工作业时间，避免夜间施工；合理安排施工运输时间</w:t>
            </w:r>
          </w:p>
        </w:tc>
        <w:tc>
          <w:tcPr>
            <w:tcW w:w="747" w:type="pct"/>
            <w:shd w:val="clear" w:color="auto" w:fill="auto"/>
            <w:vAlign w:val="center"/>
          </w:tcPr>
          <w:p w14:paraId="019F47DB">
            <w:pPr>
              <w:pStyle w:val="105"/>
              <w:rPr>
                <w:color w:val="000000" w:themeColor="text1"/>
                <w14:textFill>
                  <w14:solidFill>
                    <w14:schemeClr w14:val="tx1"/>
                  </w14:solidFill>
                </w14:textFill>
              </w:rPr>
            </w:pPr>
            <w:r>
              <w:rPr>
                <w:color w:val="000000" w:themeColor="text1"/>
                <w14:textFill>
                  <w14:solidFill>
                    <w14:schemeClr w14:val="tx1"/>
                  </w14:solidFill>
                </w14:textFill>
              </w:rPr>
              <w:t>10</w:t>
            </w:r>
          </w:p>
        </w:tc>
      </w:tr>
      <w:tr w14:paraId="35A2F2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restart"/>
            <w:shd w:val="clear" w:color="auto" w:fill="auto"/>
            <w:vAlign w:val="center"/>
          </w:tcPr>
          <w:p w14:paraId="002391B0">
            <w:pPr>
              <w:pStyle w:val="105"/>
              <w:rPr>
                <w:color w:val="000000" w:themeColor="text1"/>
                <w14:textFill>
                  <w14:solidFill>
                    <w14:schemeClr w14:val="tx1"/>
                  </w14:solidFill>
                </w14:textFill>
              </w:rPr>
            </w:pPr>
            <w:r>
              <w:rPr>
                <w:color w:val="000000" w:themeColor="text1"/>
                <w14:textFill>
                  <w14:solidFill>
                    <w14:schemeClr w14:val="tx1"/>
                  </w14:solidFill>
                </w14:textFill>
              </w:rPr>
              <w:t>4</w:t>
            </w:r>
          </w:p>
        </w:tc>
        <w:tc>
          <w:tcPr>
            <w:tcW w:w="668" w:type="pct"/>
            <w:vMerge w:val="restart"/>
            <w:shd w:val="clear" w:color="auto" w:fill="auto"/>
            <w:vAlign w:val="center"/>
          </w:tcPr>
          <w:p w14:paraId="3E0D49E5">
            <w:pPr>
              <w:pStyle w:val="105"/>
              <w:rPr>
                <w:color w:val="000000" w:themeColor="text1"/>
                <w14:textFill>
                  <w14:solidFill>
                    <w14:schemeClr w14:val="tx1"/>
                  </w14:solidFill>
                </w14:textFill>
              </w:rPr>
            </w:pPr>
            <w:r>
              <w:rPr>
                <w:color w:val="000000" w:themeColor="text1"/>
                <w14:textFill>
                  <w14:solidFill>
                    <w14:schemeClr w14:val="tx1"/>
                  </w14:solidFill>
                </w14:textFill>
              </w:rPr>
              <w:t>施工固废</w:t>
            </w:r>
          </w:p>
        </w:tc>
        <w:tc>
          <w:tcPr>
            <w:tcW w:w="3159" w:type="pct"/>
            <w:shd w:val="clear" w:color="auto" w:fill="auto"/>
            <w:vAlign w:val="center"/>
          </w:tcPr>
          <w:p w14:paraId="5A2B4D99">
            <w:pPr>
              <w:pStyle w:val="105"/>
              <w:rPr>
                <w:color w:val="000000" w:themeColor="text1"/>
                <w14:textFill>
                  <w14:solidFill>
                    <w14:schemeClr w14:val="tx1"/>
                  </w14:solidFill>
                </w14:textFill>
              </w:rPr>
            </w:pPr>
            <w:r>
              <w:rPr>
                <w:color w:val="000000" w:themeColor="text1"/>
                <w14:textFill>
                  <w14:solidFill>
                    <w14:schemeClr w14:val="tx1"/>
                  </w14:solidFill>
                </w14:textFill>
              </w:rPr>
              <w:t>生活垃圾收集及清运；不可回用的建筑垃圾委托有资质单位运送、处置</w:t>
            </w:r>
          </w:p>
        </w:tc>
        <w:tc>
          <w:tcPr>
            <w:tcW w:w="747" w:type="pct"/>
            <w:shd w:val="clear" w:color="auto" w:fill="auto"/>
            <w:vAlign w:val="center"/>
          </w:tcPr>
          <w:p w14:paraId="6B40CB2C">
            <w:pPr>
              <w:pStyle w:val="105"/>
              <w:rPr>
                <w:color w:val="000000" w:themeColor="text1"/>
                <w14:textFill>
                  <w14:solidFill>
                    <w14:schemeClr w14:val="tx1"/>
                  </w14:solidFill>
                </w14:textFill>
              </w:rPr>
            </w:pPr>
            <w:r>
              <w:rPr>
                <w:color w:val="000000" w:themeColor="text1"/>
                <w14:textFill>
                  <w14:solidFill>
                    <w14:schemeClr w14:val="tx1"/>
                  </w14:solidFill>
                </w14:textFill>
              </w:rPr>
              <w:t>8</w:t>
            </w:r>
          </w:p>
        </w:tc>
      </w:tr>
      <w:tr w14:paraId="6FA024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309F87EB">
            <w:pPr>
              <w:pStyle w:val="105"/>
              <w:rPr>
                <w:color w:val="000000" w:themeColor="text1"/>
                <w14:textFill>
                  <w14:solidFill>
                    <w14:schemeClr w14:val="tx1"/>
                  </w14:solidFill>
                </w14:textFill>
              </w:rPr>
            </w:pPr>
          </w:p>
        </w:tc>
        <w:tc>
          <w:tcPr>
            <w:tcW w:w="668" w:type="pct"/>
            <w:vMerge w:val="continue"/>
            <w:shd w:val="clear" w:color="auto" w:fill="auto"/>
            <w:vAlign w:val="center"/>
          </w:tcPr>
          <w:p w14:paraId="0A28327A">
            <w:pPr>
              <w:pStyle w:val="105"/>
              <w:rPr>
                <w:color w:val="000000" w:themeColor="text1"/>
                <w14:textFill>
                  <w14:solidFill>
                    <w14:schemeClr w14:val="tx1"/>
                  </w14:solidFill>
                </w14:textFill>
              </w:rPr>
            </w:pPr>
          </w:p>
        </w:tc>
        <w:tc>
          <w:tcPr>
            <w:tcW w:w="3159" w:type="pct"/>
            <w:shd w:val="clear" w:color="auto" w:fill="auto"/>
            <w:vAlign w:val="center"/>
          </w:tcPr>
          <w:p w14:paraId="1430D2E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弃方转运</w:t>
            </w:r>
          </w:p>
        </w:tc>
        <w:tc>
          <w:tcPr>
            <w:tcW w:w="747" w:type="pct"/>
            <w:shd w:val="clear" w:color="auto" w:fill="auto"/>
            <w:vAlign w:val="center"/>
          </w:tcPr>
          <w:p w14:paraId="67CF455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主设纳入</w:t>
            </w:r>
          </w:p>
        </w:tc>
      </w:tr>
      <w:tr w14:paraId="085B56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restart"/>
            <w:shd w:val="clear" w:color="auto" w:fill="auto"/>
            <w:vAlign w:val="center"/>
          </w:tcPr>
          <w:p w14:paraId="18053D41">
            <w:pPr>
              <w:pStyle w:val="105"/>
              <w:rPr>
                <w:color w:val="000000" w:themeColor="text1"/>
                <w14:textFill>
                  <w14:solidFill>
                    <w14:schemeClr w14:val="tx1"/>
                  </w14:solidFill>
                </w14:textFill>
              </w:rPr>
            </w:pPr>
            <w:r>
              <w:rPr>
                <w:color w:val="000000" w:themeColor="text1"/>
                <w14:textFill>
                  <w14:solidFill>
                    <w14:schemeClr w14:val="tx1"/>
                  </w14:solidFill>
                </w14:textFill>
              </w:rPr>
              <w:t>5</w:t>
            </w:r>
          </w:p>
        </w:tc>
        <w:tc>
          <w:tcPr>
            <w:tcW w:w="668" w:type="pct"/>
            <w:vMerge w:val="restart"/>
            <w:shd w:val="clear" w:color="auto" w:fill="auto"/>
            <w:vAlign w:val="center"/>
          </w:tcPr>
          <w:p w14:paraId="28FFAE7E">
            <w:pPr>
              <w:pStyle w:val="105"/>
              <w:rPr>
                <w:color w:val="000000" w:themeColor="text1"/>
                <w14:textFill>
                  <w14:solidFill>
                    <w14:schemeClr w14:val="tx1"/>
                  </w14:solidFill>
                </w14:textFill>
              </w:rPr>
            </w:pPr>
            <w:r>
              <w:rPr>
                <w:color w:val="000000" w:themeColor="text1"/>
                <w14:textFill>
                  <w14:solidFill>
                    <w14:schemeClr w14:val="tx1"/>
                  </w14:solidFill>
                </w14:textFill>
              </w:rPr>
              <w:t>生态环境</w:t>
            </w:r>
          </w:p>
        </w:tc>
        <w:tc>
          <w:tcPr>
            <w:tcW w:w="3159" w:type="pct"/>
            <w:shd w:val="clear" w:color="auto" w:fill="auto"/>
            <w:vAlign w:val="center"/>
          </w:tcPr>
          <w:p w14:paraId="5A3AC5A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水土保持措施及绿化工程、苫盖措施、临时工程导流</w:t>
            </w:r>
          </w:p>
        </w:tc>
        <w:tc>
          <w:tcPr>
            <w:tcW w:w="747" w:type="pct"/>
            <w:shd w:val="clear" w:color="auto" w:fill="auto"/>
            <w:vAlign w:val="center"/>
          </w:tcPr>
          <w:p w14:paraId="1D77A55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纳入水保</w:t>
            </w:r>
          </w:p>
        </w:tc>
      </w:tr>
      <w:tr w14:paraId="462E6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3CF18F87">
            <w:pPr>
              <w:pStyle w:val="105"/>
              <w:rPr>
                <w:color w:val="000000" w:themeColor="text1"/>
                <w14:textFill>
                  <w14:solidFill>
                    <w14:schemeClr w14:val="tx1"/>
                  </w14:solidFill>
                </w14:textFill>
              </w:rPr>
            </w:pPr>
          </w:p>
        </w:tc>
        <w:tc>
          <w:tcPr>
            <w:tcW w:w="668" w:type="pct"/>
            <w:vMerge w:val="continue"/>
            <w:shd w:val="clear" w:color="auto" w:fill="auto"/>
            <w:vAlign w:val="center"/>
          </w:tcPr>
          <w:p w14:paraId="6F443DF5">
            <w:pPr>
              <w:pStyle w:val="105"/>
              <w:rPr>
                <w:color w:val="000000" w:themeColor="text1"/>
                <w14:textFill>
                  <w14:solidFill>
                    <w14:schemeClr w14:val="tx1"/>
                  </w14:solidFill>
                </w14:textFill>
              </w:rPr>
            </w:pPr>
          </w:p>
        </w:tc>
        <w:tc>
          <w:tcPr>
            <w:tcW w:w="3159" w:type="pct"/>
            <w:shd w:val="clear" w:color="auto" w:fill="auto"/>
            <w:vAlign w:val="center"/>
          </w:tcPr>
          <w:p w14:paraId="58F4784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施工迹地恢复地貌、植被恢复</w:t>
            </w:r>
          </w:p>
        </w:tc>
        <w:tc>
          <w:tcPr>
            <w:tcW w:w="747" w:type="pct"/>
            <w:shd w:val="clear" w:color="auto" w:fill="auto"/>
            <w:vAlign w:val="center"/>
          </w:tcPr>
          <w:p w14:paraId="1720B638">
            <w:pPr>
              <w:pStyle w:val="105"/>
              <w:rPr>
                <w:color w:val="000000" w:themeColor="text1"/>
                <w14:textFill>
                  <w14:solidFill>
                    <w14:schemeClr w14:val="tx1"/>
                  </w14:solidFill>
                </w14:textFill>
              </w:rPr>
            </w:pPr>
            <w:r>
              <w:rPr>
                <w:color w:val="000000" w:themeColor="text1"/>
                <w14:textFill>
                  <w14:solidFill>
                    <w14:schemeClr w14:val="tx1"/>
                  </w14:solidFill>
                </w14:textFill>
              </w:rPr>
              <w:t>60</w:t>
            </w:r>
          </w:p>
        </w:tc>
      </w:tr>
      <w:tr w14:paraId="68D614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shd w:val="clear" w:color="auto" w:fill="auto"/>
            <w:vAlign w:val="center"/>
          </w:tcPr>
          <w:p w14:paraId="62366D9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668" w:type="pct"/>
            <w:shd w:val="clear" w:color="auto" w:fill="auto"/>
            <w:vAlign w:val="center"/>
          </w:tcPr>
          <w:p w14:paraId="742020C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环境管理/</w:t>
            </w:r>
            <w:r>
              <w:rPr>
                <w:color w:val="000000" w:themeColor="text1"/>
                <w14:textFill>
                  <w14:solidFill>
                    <w14:schemeClr w14:val="tx1"/>
                  </w14:solidFill>
                </w14:textFill>
              </w:rPr>
              <w:t>监测</w:t>
            </w:r>
          </w:p>
        </w:tc>
        <w:tc>
          <w:tcPr>
            <w:tcW w:w="3159" w:type="pct"/>
            <w:shd w:val="clear" w:color="auto" w:fill="auto"/>
            <w:vAlign w:val="center"/>
          </w:tcPr>
          <w:p w14:paraId="066338E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监督环保措施、施工期环境监测</w:t>
            </w:r>
          </w:p>
        </w:tc>
        <w:tc>
          <w:tcPr>
            <w:tcW w:w="747" w:type="pct"/>
            <w:shd w:val="clear" w:color="auto" w:fill="auto"/>
            <w:vAlign w:val="center"/>
          </w:tcPr>
          <w:p w14:paraId="06765CCB">
            <w:pPr>
              <w:pStyle w:val="105"/>
              <w:rPr>
                <w:color w:val="000000" w:themeColor="text1"/>
                <w14:textFill>
                  <w14:solidFill>
                    <w14:schemeClr w14:val="tx1"/>
                  </w14:solidFill>
                </w14:textFill>
              </w:rPr>
            </w:pPr>
            <w:r>
              <w:rPr>
                <w:color w:val="000000" w:themeColor="text1"/>
                <w14:textFill>
                  <w14:solidFill>
                    <w14:schemeClr w14:val="tx1"/>
                  </w14:solidFill>
                </w14:textFill>
              </w:rPr>
              <w:t>10</w:t>
            </w:r>
          </w:p>
        </w:tc>
      </w:tr>
      <w:tr w14:paraId="6372A4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000" w:type="pct"/>
            <w:gridSpan w:val="4"/>
            <w:shd w:val="clear" w:color="auto" w:fill="auto"/>
            <w:vAlign w:val="center"/>
          </w:tcPr>
          <w:p w14:paraId="3AD89D39">
            <w:pPr>
              <w:pStyle w:val="105"/>
              <w:rPr>
                <w:color w:val="000000" w:themeColor="text1"/>
                <w14:textFill>
                  <w14:solidFill>
                    <w14:schemeClr w14:val="tx1"/>
                  </w14:solidFill>
                </w14:textFill>
              </w:rPr>
            </w:pPr>
            <w:r>
              <w:rPr>
                <w:color w:val="000000" w:themeColor="text1"/>
                <w14:textFill>
                  <w14:solidFill>
                    <w14:schemeClr w14:val="tx1"/>
                  </w14:solidFill>
                </w14:textFill>
              </w:rPr>
              <w:t>运营期污染防治措施</w:t>
            </w:r>
          </w:p>
        </w:tc>
      </w:tr>
      <w:tr w14:paraId="4F5F3A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restart"/>
            <w:shd w:val="clear" w:color="auto" w:fill="auto"/>
            <w:vAlign w:val="center"/>
          </w:tcPr>
          <w:p w14:paraId="678D14A9">
            <w:pPr>
              <w:pStyle w:val="105"/>
              <w:rPr>
                <w:color w:val="000000" w:themeColor="text1"/>
                <w14:textFill>
                  <w14:solidFill>
                    <w14:schemeClr w14:val="tx1"/>
                  </w14:solidFill>
                </w14:textFill>
              </w:rPr>
            </w:pPr>
            <w:r>
              <w:rPr>
                <w:color w:val="000000" w:themeColor="text1"/>
                <w14:textFill>
                  <w14:solidFill>
                    <w14:schemeClr w14:val="tx1"/>
                  </w14:solidFill>
                </w14:textFill>
              </w:rPr>
              <w:t>7</w:t>
            </w:r>
          </w:p>
        </w:tc>
        <w:tc>
          <w:tcPr>
            <w:tcW w:w="668" w:type="pct"/>
            <w:vMerge w:val="restart"/>
            <w:shd w:val="clear" w:color="auto" w:fill="auto"/>
            <w:vAlign w:val="center"/>
          </w:tcPr>
          <w:p w14:paraId="1284EE2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噪声</w:t>
            </w:r>
          </w:p>
        </w:tc>
        <w:tc>
          <w:tcPr>
            <w:tcW w:w="3159" w:type="pct"/>
            <w:shd w:val="clear" w:color="auto" w:fill="auto"/>
            <w:vAlign w:val="center"/>
          </w:tcPr>
          <w:p w14:paraId="593164FA">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限速、禁鸣标识牌、工程告示牌</w:t>
            </w:r>
          </w:p>
        </w:tc>
        <w:tc>
          <w:tcPr>
            <w:tcW w:w="747" w:type="pct"/>
            <w:shd w:val="clear" w:color="auto" w:fill="auto"/>
            <w:vAlign w:val="center"/>
          </w:tcPr>
          <w:p w14:paraId="4CB6E96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14:textFill>
                  <w14:solidFill>
                    <w14:schemeClr w14:val="tx1"/>
                  </w14:solidFill>
                </w14:textFill>
              </w:rPr>
              <w:t>0</w:t>
            </w:r>
          </w:p>
        </w:tc>
      </w:tr>
      <w:tr w14:paraId="5E7C04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2F3FF10E">
            <w:pPr>
              <w:pStyle w:val="105"/>
              <w:rPr>
                <w:color w:val="000000" w:themeColor="text1"/>
                <w14:textFill>
                  <w14:solidFill>
                    <w14:schemeClr w14:val="tx1"/>
                  </w14:solidFill>
                </w14:textFill>
              </w:rPr>
            </w:pPr>
          </w:p>
        </w:tc>
        <w:tc>
          <w:tcPr>
            <w:tcW w:w="668" w:type="pct"/>
            <w:vMerge w:val="continue"/>
            <w:shd w:val="clear" w:color="auto" w:fill="auto"/>
            <w:vAlign w:val="center"/>
          </w:tcPr>
          <w:p w14:paraId="3DF6A053">
            <w:pPr>
              <w:pStyle w:val="105"/>
              <w:rPr>
                <w:color w:val="000000" w:themeColor="text1"/>
                <w14:textFill>
                  <w14:solidFill>
                    <w14:schemeClr w14:val="tx1"/>
                  </w14:solidFill>
                </w14:textFill>
              </w:rPr>
            </w:pPr>
          </w:p>
        </w:tc>
        <w:tc>
          <w:tcPr>
            <w:tcW w:w="3159" w:type="pct"/>
            <w:shd w:val="clear" w:color="auto" w:fill="auto"/>
            <w:vAlign w:val="center"/>
          </w:tcPr>
          <w:p w14:paraId="725C78B5">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通风隔声窗1</w:t>
            </w:r>
            <w:r>
              <w:rPr>
                <w:color w:val="000000" w:themeColor="text1"/>
                <w14:textFill>
                  <w14:solidFill>
                    <w14:schemeClr w14:val="tx1"/>
                  </w14:solidFill>
                </w14:textFill>
              </w:rPr>
              <w:t>60</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747" w:type="pct"/>
            <w:shd w:val="clear" w:color="auto" w:fill="auto"/>
            <w:vAlign w:val="center"/>
          </w:tcPr>
          <w:p w14:paraId="6FC893B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6</w:t>
            </w:r>
          </w:p>
        </w:tc>
      </w:tr>
      <w:tr w14:paraId="674A47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728C5955">
            <w:pPr>
              <w:pStyle w:val="105"/>
              <w:rPr>
                <w:color w:val="000000" w:themeColor="text1"/>
                <w14:textFill>
                  <w14:solidFill>
                    <w14:schemeClr w14:val="tx1"/>
                  </w14:solidFill>
                </w14:textFill>
              </w:rPr>
            </w:pPr>
          </w:p>
        </w:tc>
        <w:tc>
          <w:tcPr>
            <w:tcW w:w="668" w:type="pct"/>
            <w:vMerge w:val="continue"/>
            <w:shd w:val="clear" w:color="auto" w:fill="auto"/>
            <w:vAlign w:val="center"/>
          </w:tcPr>
          <w:p w14:paraId="034E682E">
            <w:pPr>
              <w:pStyle w:val="105"/>
              <w:rPr>
                <w:color w:val="000000" w:themeColor="text1"/>
                <w14:textFill>
                  <w14:solidFill>
                    <w14:schemeClr w14:val="tx1"/>
                  </w14:solidFill>
                </w14:textFill>
              </w:rPr>
            </w:pPr>
          </w:p>
        </w:tc>
        <w:tc>
          <w:tcPr>
            <w:tcW w:w="3159" w:type="pct"/>
            <w:shd w:val="clear" w:color="auto" w:fill="auto"/>
            <w:vAlign w:val="center"/>
          </w:tcPr>
          <w:p w14:paraId="459A482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远期预留降噪资金</w:t>
            </w:r>
          </w:p>
        </w:tc>
        <w:tc>
          <w:tcPr>
            <w:tcW w:w="747" w:type="pct"/>
            <w:shd w:val="clear" w:color="auto" w:fill="auto"/>
            <w:vAlign w:val="center"/>
          </w:tcPr>
          <w:p w14:paraId="61F3327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1</w:t>
            </w:r>
            <w:r>
              <w:rPr>
                <w:color w:val="000000" w:themeColor="text1"/>
                <w14:textFill>
                  <w14:solidFill>
                    <w14:schemeClr w14:val="tx1"/>
                  </w14:solidFill>
                </w14:textFill>
              </w:rPr>
              <w:t>0</w:t>
            </w:r>
          </w:p>
        </w:tc>
      </w:tr>
      <w:tr w14:paraId="727FA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vMerge w:val="continue"/>
            <w:shd w:val="clear" w:color="auto" w:fill="auto"/>
            <w:vAlign w:val="center"/>
          </w:tcPr>
          <w:p w14:paraId="7B0401B4">
            <w:pPr>
              <w:pStyle w:val="105"/>
              <w:rPr>
                <w:color w:val="000000" w:themeColor="text1"/>
                <w14:textFill>
                  <w14:solidFill>
                    <w14:schemeClr w14:val="tx1"/>
                  </w14:solidFill>
                </w14:textFill>
              </w:rPr>
            </w:pPr>
          </w:p>
        </w:tc>
        <w:tc>
          <w:tcPr>
            <w:tcW w:w="668" w:type="pct"/>
            <w:vMerge w:val="continue"/>
            <w:shd w:val="clear" w:color="auto" w:fill="auto"/>
            <w:vAlign w:val="center"/>
          </w:tcPr>
          <w:p w14:paraId="1FEE749A">
            <w:pPr>
              <w:pStyle w:val="105"/>
              <w:rPr>
                <w:color w:val="000000" w:themeColor="text1"/>
                <w14:textFill>
                  <w14:solidFill>
                    <w14:schemeClr w14:val="tx1"/>
                  </w14:solidFill>
                </w14:textFill>
              </w:rPr>
            </w:pPr>
          </w:p>
        </w:tc>
        <w:tc>
          <w:tcPr>
            <w:tcW w:w="3159" w:type="pct"/>
            <w:shd w:val="clear" w:color="auto" w:fill="auto"/>
            <w:vAlign w:val="center"/>
          </w:tcPr>
          <w:p w14:paraId="2DC84C0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典型声环境保护目标设监测点</w:t>
            </w:r>
          </w:p>
        </w:tc>
        <w:tc>
          <w:tcPr>
            <w:tcW w:w="747" w:type="pct"/>
            <w:shd w:val="clear" w:color="auto" w:fill="auto"/>
            <w:vAlign w:val="center"/>
          </w:tcPr>
          <w:p w14:paraId="17012C0A">
            <w:pPr>
              <w:pStyle w:val="105"/>
              <w:rPr>
                <w:color w:val="000000" w:themeColor="text1"/>
                <w14:textFill>
                  <w14:solidFill>
                    <w14:schemeClr w14:val="tx1"/>
                  </w14:solidFill>
                </w14:textFill>
              </w:rPr>
            </w:pPr>
            <w:r>
              <w:rPr>
                <w:color w:val="000000" w:themeColor="text1"/>
                <w14:textFill>
                  <w14:solidFill>
                    <w14:schemeClr w14:val="tx1"/>
                  </w14:solidFill>
                </w14:textFill>
              </w:rPr>
              <w:t>10</w:t>
            </w:r>
          </w:p>
        </w:tc>
      </w:tr>
      <w:tr w14:paraId="0AA1AA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6" w:type="pct"/>
            <w:shd w:val="clear" w:color="auto" w:fill="auto"/>
            <w:vAlign w:val="center"/>
          </w:tcPr>
          <w:p w14:paraId="62D70C50">
            <w:pPr>
              <w:pStyle w:val="105"/>
              <w:rPr>
                <w:color w:val="000000" w:themeColor="text1"/>
                <w14:textFill>
                  <w14:solidFill>
                    <w14:schemeClr w14:val="tx1"/>
                  </w14:solidFill>
                </w14:textFill>
              </w:rPr>
            </w:pPr>
            <w:r>
              <w:rPr>
                <w:color w:val="000000" w:themeColor="text1"/>
                <w14:textFill>
                  <w14:solidFill>
                    <w14:schemeClr w14:val="tx1"/>
                  </w14:solidFill>
                </w14:textFill>
              </w:rPr>
              <w:t>9</w:t>
            </w:r>
          </w:p>
        </w:tc>
        <w:tc>
          <w:tcPr>
            <w:tcW w:w="668" w:type="pct"/>
            <w:shd w:val="clear" w:color="auto" w:fill="auto"/>
            <w:vAlign w:val="center"/>
          </w:tcPr>
          <w:p w14:paraId="66236318">
            <w:pPr>
              <w:pStyle w:val="105"/>
              <w:rPr>
                <w:color w:val="000000" w:themeColor="text1"/>
                <w14:textFill>
                  <w14:solidFill>
                    <w14:schemeClr w14:val="tx1"/>
                  </w14:solidFill>
                </w14:textFill>
              </w:rPr>
            </w:pPr>
            <w:r>
              <w:rPr>
                <w:color w:val="000000" w:themeColor="text1"/>
                <w14:textFill>
                  <w14:solidFill>
                    <w14:schemeClr w14:val="tx1"/>
                  </w14:solidFill>
                </w14:textFill>
              </w:rPr>
              <w:t>环境监测</w:t>
            </w:r>
          </w:p>
        </w:tc>
        <w:tc>
          <w:tcPr>
            <w:tcW w:w="3159" w:type="pct"/>
            <w:shd w:val="clear" w:color="auto" w:fill="auto"/>
            <w:vAlign w:val="center"/>
          </w:tcPr>
          <w:p w14:paraId="276FA809">
            <w:pPr>
              <w:pStyle w:val="105"/>
              <w:rPr>
                <w:color w:val="000000" w:themeColor="text1"/>
                <w14:textFill>
                  <w14:solidFill>
                    <w14:schemeClr w14:val="tx1"/>
                  </w14:solidFill>
                </w14:textFill>
              </w:rPr>
            </w:pPr>
            <w:r>
              <w:rPr>
                <w:color w:val="000000" w:themeColor="text1"/>
                <w14:textFill>
                  <w14:solidFill>
                    <w14:schemeClr w14:val="tx1"/>
                  </w14:solidFill>
                </w14:textFill>
              </w:rPr>
              <w:t>运营期环境监测计划</w:t>
            </w:r>
          </w:p>
        </w:tc>
        <w:tc>
          <w:tcPr>
            <w:tcW w:w="747" w:type="pct"/>
            <w:shd w:val="clear" w:color="auto" w:fill="auto"/>
            <w:vAlign w:val="center"/>
          </w:tcPr>
          <w:p w14:paraId="541F0E67">
            <w:pPr>
              <w:pStyle w:val="105"/>
              <w:rPr>
                <w:color w:val="000000" w:themeColor="text1"/>
                <w14:textFill>
                  <w14:solidFill>
                    <w14:schemeClr w14:val="tx1"/>
                  </w14:solidFill>
                </w14:textFill>
              </w:rPr>
            </w:pPr>
            <w:r>
              <w:rPr>
                <w:color w:val="000000" w:themeColor="text1"/>
                <w14:textFill>
                  <w14:solidFill>
                    <w14:schemeClr w14:val="tx1"/>
                  </w14:solidFill>
                </w14:textFill>
              </w:rPr>
              <w:t>20</w:t>
            </w:r>
          </w:p>
        </w:tc>
      </w:tr>
      <w:tr w14:paraId="57545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4253" w:type="pct"/>
            <w:gridSpan w:val="3"/>
            <w:shd w:val="clear" w:color="auto" w:fill="auto"/>
            <w:vAlign w:val="center"/>
          </w:tcPr>
          <w:p w14:paraId="4E6CD518">
            <w:pPr>
              <w:pStyle w:val="105"/>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747" w:type="pct"/>
            <w:shd w:val="clear" w:color="auto" w:fill="auto"/>
            <w:vAlign w:val="center"/>
          </w:tcPr>
          <w:p w14:paraId="6A006C3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14:textFill>
                  <w14:solidFill>
                    <w14:schemeClr w14:val="tx1"/>
                  </w14:solidFill>
                </w14:textFill>
              </w:rPr>
              <w:t>21</w:t>
            </w:r>
          </w:p>
        </w:tc>
      </w:tr>
      <w:bookmarkEnd w:id="886"/>
      <w:bookmarkEnd w:id="887"/>
    </w:tbl>
    <w:p w14:paraId="51BC2CA6">
      <w:pPr>
        <w:ind w:firstLine="480"/>
        <w:rPr>
          <w:color w:val="000000" w:themeColor="text1"/>
          <w14:textFill>
            <w14:solidFill>
              <w14:schemeClr w14:val="tx1"/>
            </w14:solidFill>
          </w14:textFill>
        </w:rPr>
      </w:pPr>
    </w:p>
    <w:p w14:paraId="11EE16B3">
      <w:pPr>
        <w:ind w:firstLine="480"/>
        <w:rPr>
          <w:color w:val="000000" w:themeColor="text1"/>
          <w14:textFill>
            <w14:solidFill>
              <w14:schemeClr w14:val="tx1"/>
            </w14:solidFill>
          </w14:textFill>
        </w:rPr>
      </w:pPr>
    </w:p>
    <w:p w14:paraId="397DF9B8">
      <w:pPr>
        <w:ind w:firstLine="480"/>
        <w:rPr>
          <w:rFonts w:cs="Times New Roman"/>
          <w:iCs/>
          <w:color w:val="000000" w:themeColor="text1"/>
          <w:szCs w:val="24"/>
          <w14:textFill>
            <w14:solidFill>
              <w14:schemeClr w14:val="tx1"/>
            </w14:solidFill>
          </w14:textFill>
        </w:rPr>
        <w:sectPr>
          <w:pgSz w:w="11910" w:h="16840"/>
          <w:pgMar w:top="1418" w:right="1418" w:bottom="1418" w:left="1418" w:header="851" w:footer="851" w:gutter="0"/>
          <w:cols w:space="720" w:num="1"/>
        </w:sectPr>
      </w:pPr>
      <w:bookmarkStart w:id="889" w:name="6.2.4施工期水环境保护措施"/>
      <w:bookmarkEnd w:id="889"/>
      <w:bookmarkStart w:id="890" w:name="6.2.3施工期环境空气保护措施"/>
      <w:bookmarkEnd w:id="890"/>
      <w:bookmarkStart w:id="891" w:name="6.2.5施工期固体废物控制措施"/>
      <w:bookmarkEnd w:id="891"/>
      <w:bookmarkStart w:id="892" w:name="6.2.6施工期生态环境保护措施"/>
      <w:bookmarkEnd w:id="892"/>
    </w:p>
    <w:p w14:paraId="4E2C5FB2">
      <w:pPr>
        <w:pStyle w:val="114"/>
        <w:rPr>
          <w:color w:val="000000" w:themeColor="text1"/>
          <w14:textFill>
            <w14:solidFill>
              <w14:schemeClr w14:val="tx1"/>
            </w14:solidFill>
          </w14:textFill>
        </w:rPr>
      </w:pPr>
      <w:bookmarkStart w:id="893" w:name="7环境影响经济损益分析"/>
      <w:bookmarkEnd w:id="893"/>
      <w:bookmarkStart w:id="894" w:name="6.4环境保护投资情况"/>
      <w:bookmarkEnd w:id="894"/>
      <w:bookmarkStart w:id="895" w:name="6.2.7水土流失措施"/>
      <w:bookmarkEnd w:id="895"/>
      <w:bookmarkStart w:id="896" w:name="6.4.2环保运行费用"/>
      <w:bookmarkEnd w:id="896"/>
      <w:bookmarkStart w:id="897" w:name="6.3营运期环境保护措施及建议"/>
      <w:bookmarkEnd w:id="897"/>
      <w:bookmarkStart w:id="898" w:name="_Toc193912398"/>
      <w:bookmarkStart w:id="899" w:name="_Toc1129"/>
      <w:bookmarkStart w:id="900" w:name="_Toc159405492"/>
      <w:r>
        <w:rPr>
          <w:color w:val="000000" w:themeColor="text1"/>
          <w14:textFill>
            <w14:solidFill>
              <w14:schemeClr w14:val="tx1"/>
            </w14:solidFill>
          </w14:textFill>
        </w:rPr>
        <w:t>环境影响经济损益分析</w:t>
      </w:r>
      <w:bookmarkEnd w:id="898"/>
      <w:bookmarkEnd w:id="899"/>
      <w:bookmarkEnd w:id="900"/>
    </w:p>
    <w:p w14:paraId="7CD52542">
      <w:pPr>
        <w:pStyle w:val="116"/>
        <w:rPr>
          <w:color w:val="000000" w:themeColor="text1"/>
          <w14:textFill>
            <w14:solidFill>
              <w14:schemeClr w14:val="tx1"/>
            </w14:solidFill>
          </w14:textFill>
        </w:rPr>
      </w:pPr>
      <w:bookmarkStart w:id="901" w:name="7.1环境经济效益损益分析"/>
      <w:bookmarkEnd w:id="901"/>
      <w:bookmarkStart w:id="902" w:name="7.1.1国民经济效益分析"/>
      <w:bookmarkEnd w:id="902"/>
      <w:bookmarkStart w:id="903" w:name="_Toc159405493"/>
      <w:bookmarkStart w:id="904" w:name="_Toc193912399"/>
      <w:r>
        <w:rPr>
          <w:color w:val="000000" w:themeColor="text1"/>
          <w14:textFill>
            <w14:solidFill>
              <w14:schemeClr w14:val="tx1"/>
            </w14:solidFill>
          </w14:textFill>
        </w:rPr>
        <w:t>国民经济效益分析</w:t>
      </w:r>
      <w:bookmarkEnd w:id="903"/>
      <w:bookmarkEnd w:id="904"/>
    </w:p>
    <w:p w14:paraId="5312EB0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根据本项目工可，本项目经济内部收益率（EIRR） 10.63%，大于8%社会折现率；在效益减少10%，同时费用上浮10%不利情况下，项目经济内部收益率仍能大于8%。</w:t>
      </w:r>
      <w:r>
        <w:rPr>
          <w:rFonts w:ascii="Segoe UI" w:hAnsi="Segoe UI" w:cs="Segoe UI"/>
          <w:color w:val="404040"/>
        </w:rPr>
        <w:t>从国民经济角度来看</w:t>
      </w:r>
      <w:r>
        <w:rPr>
          <w:rFonts w:hint="eastAsia"/>
          <w:color w:val="000000" w:themeColor="text1"/>
          <w14:textFill>
            <w14:solidFill>
              <w14:schemeClr w14:val="tx1"/>
            </w14:solidFill>
          </w14:textFill>
        </w:rPr>
        <w:t>，本项目经济可行，且具有一定的抗风险能力。</w:t>
      </w:r>
    </w:p>
    <w:p w14:paraId="7955A64D">
      <w:pPr>
        <w:pStyle w:val="116"/>
        <w:rPr>
          <w:color w:val="000000" w:themeColor="text1"/>
          <w14:textFill>
            <w14:solidFill>
              <w14:schemeClr w14:val="tx1"/>
            </w14:solidFill>
          </w14:textFill>
        </w:rPr>
      </w:pPr>
      <w:bookmarkStart w:id="905" w:name="7.1.2社会经济效益分析"/>
      <w:bookmarkEnd w:id="905"/>
      <w:bookmarkStart w:id="906" w:name="_Toc159405494"/>
      <w:bookmarkStart w:id="907" w:name="_Toc193912400"/>
      <w:r>
        <w:rPr>
          <w:color w:val="000000" w:themeColor="text1"/>
          <w14:textFill>
            <w14:solidFill>
              <w14:schemeClr w14:val="tx1"/>
            </w14:solidFill>
          </w14:textFill>
        </w:rPr>
        <w:t>社会经济效益分析</w:t>
      </w:r>
      <w:bookmarkEnd w:id="906"/>
      <w:bookmarkEnd w:id="907"/>
    </w:p>
    <w:p w14:paraId="35BDFB9A">
      <w:pPr>
        <w:ind w:firstLine="480"/>
        <w:rPr>
          <w:color w:val="000000" w:themeColor="text1"/>
          <w14:textFill>
            <w14:solidFill>
              <w14:schemeClr w14:val="tx1"/>
            </w14:solidFill>
          </w14:textFill>
        </w:rPr>
      </w:pPr>
      <w:r>
        <w:rPr>
          <w:color w:val="000000" w:themeColor="text1"/>
          <w14:textFill>
            <w14:solidFill>
              <w14:schemeClr w14:val="tx1"/>
            </w14:solidFill>
          </w14:textFill>
        </w:rPr>
        <w:t>（1）交通基础设施是经济建设、旅游发展、对外交流的制约因素，本项目的建设</w:t>
      </w:r>
      <w:r>
        <w:rPr>
          <w:rFonts w:hint="eastAsia"/>
          <w:color w:val="000000" w:themeColor="text1"/>
          <w14:textFill>
            <w14:solidFill>
              <w14:schemeClr w14:val="tx1"/>
            </w14:solidFill>
          </w14:textFill>
        </w:rPr>
        <w:t>能够</w:t>
      </w:r>
      <w:r>
        <w:rPr>
          <w:color w:val="000000" w:themeColor="text1"/>
          <w14:textFill>
            <w14:solidFill>
              <w14:schemeClr w14:val="tx1"/>
            </w14:solidFill>
          </w14:textFill>
        </w:rPr>
        <w:t>满足区域</w:t>
      </w:r>
      <w:r>
        <w:rPr>
          <w:rFonts w:hint="eastAsia"/>
          <w:color w:val="000000" w:themeColor="text1"/>
          <w14:textFill>
            <w14:solidFill>
              <w14:schemeClr w14:val="tx1"/>
            </w14:solidFill>
          </w14:textFill>
        </w:rPr>
        <w:t>旅游出行的</w:t>
      </w:r>
      <w:r>
        <w:rPr>
          <w:color w:val="000000" w:themeColor="text1"/>
          <w14:textFill>
            <w14:solidFill>
              <w14:schemeClr w14:val="tx1"/>
            </w14:solidFill>
          </w14:textFill>
        </w:rPr>
        <w:t>需求，</w:t>
      </w:r>
      <w:r>
        <w:rPr>
          <w:rFonts w:hint="eastAsia"/>
          <w:color w:val="000000" w:themeColor="text1"/>
          <w:lang w:val="zh-CN"/>
          <w14:textFill>
            <w14:solidFill>
              <w14:schemeClr w14:val="tx1"/>
            </w14:solidFill>
          </w14:textFill>
        </w:rPr>
        <w:t>项目的建设对于改善黄檗山万福寺及沿线交通出行条件、整合旅游资源、完善交通网络、缓解交通压力等都具有重要的作用</w:t>
      </w:r>
      <w:r>
        <w:rPr>
          <w:color w:val="000000" w:themeColor="text1"/>
          <w14:textFill>
            <w14:solidFill>
              <w14:schemeClr w14:val="tx1"/>
            </w14:solidFill>
          </w14:textFill>
        </w:rPr>
        <w:t>。</w:t>
      </w:r>
    </w:p>
    <w:p w14:paraId="3A5B8708">
      <w:pPr>
        <w:ind w:firstLine="480"/>
        <w:rPr>
          <w:color w:val="000000" w:themeColor="text1"/>
          <w14:textFill>
            <w14:solidFill>
              <w14:schemeClr w14:val="tx1"/>
            </w14:solidFill>
          </w14:textFill>
        </w:rPr>
      </w:pPr>
      <w:r>
        <w:rPr>
          <w:color w:val="000000" w:themeColor="text1"/>
          <w14:textFill>
            <w14:solidFill>
              <w14:schemeClr w14:val="tx1"/>
            </w14:solidFill>
          </w14:textFill>
        </w:rPr>
        <w:t>（2）本项目的建设能够完善沿线功能合理布局，对促进沿线土地的开发利用具有重要意义。</w:t>
      </w:r>
    </w:p>
    <w:p w14:paraId="4A6F0860">
      <w:pPr>
        <w:ind w:firstLine="480"/>
        <w:rPr>
          <w:color w:val="000000" w:themeColor="text1"/>
          <w14:textFill>
            <w14:solidFill>
              <w14:schemeClr w14:val="tx1"/>
            </w14:solidFill>
          </w14:textFill>
        </w:rPr>
      </w:pPr>
      <w:r>
        <w:rPr>
          <w:color w:val="000000" w:themeColor="text1"/>
          <w14:textFill>
            <w14:solidFill>
              <w14:schemeClr w14:val="tx1"/>
            </w14:solidFill>
          </w14:textFill>
        </w:rPr>
        <w:t>（3）本项目的实施，对拉动当地经济，增加农民收入，调整产业结构及良种良法推广，</w:t>
      </w:r>
      <w:r>
        <w:rPr>
          <w:rFonts w:hint="eastAsia"/>
          <w:color w:val="000000" w:themeColor="text1"/>
          <w14:textFill>
            <w14:solidFill>
              <w14:schemeClr w14:val="tx1"/>
            </w14:solidFill>
          </w14:textFill>
        </w:rPr>
        <w:t>促进资源转化为经济价值</w:t>
      </w:r>
      <w:r>
        <w:rPr>
          <w:color w:val="000000" w:themeColor="text1"/>
          <w14:textFill>
            <w14:solidFill>
              <w14:schemeClr w14:val="tx1"/>
            </w14:solidFill>
          </w14:textFill>
        </w:rPr>
        <w:t>，对扶持沿线群众脱贫致富起到关键作用。</w:t>
      </w:r>
    </w:p>
    <w:p w14:paraId="4EB75A6A">
      <w:pPr>
        <w:ind w:firstLine="480"/>
        <w:rPr>
          <w:color w:val="000000" w:themeColor="text1"/>
          <w14:textFill>
            <w14:solidFill>
              <w14:schemeClr w14:val="tx1"/>
            </w14:solidFill>
          </w14:textFill>
        </w:rPr>
      </w:pPr>
      <w:r>
        <w:rPr>
          <w:color w:val="000000" w:themeColor="text1"/>
          <w14:textFill>
            <w14:solidFill>
              <w14:schemeClr w14:val="tx1"/>
            </w14:solidFill>
          </w14:textFill>
        </w:rPr>
        <w:t>（4）本工程的建成，提高了该区的交通条件，推进了地区环境整治和城市化进程，促进区域的经济发展，创造就业机会，提高村民生活水平均</w:t>
      </w:r>
      <w:r>
        <w:rPr>
          <w:rFonts w:hint="eastAsia"/>
          <w:color w:val="000000" w:themeColor="text1"/>
          <w14:textFill>
            <w14:solidFill>
              <w14:schemeClr w14:val="tx1"/>
            </w14:solidFill>
          </w14:textFill>
        </w:rPr>
        <w:t>具</w:t>
      </w:r>
      <w:r>
        <w:rPr>
          <w:color w:val="000000" w:themeColor="text1"/>
          <w14:textFill>
            <w14:solidFill>
              <w14:schemeClr w14:val="tx1"/>
            </w14:solidFill>
          </w14:textFill>
        </w:rPr>
        <w:t>有积极的作用。</w:t>
      </w:r>
    </w:p>
    <w:p w14:paraId="1833D38F">
      <w:pPr>
        <w:ind w:firstLine="480"/>
        <w:rPr>
          <w:color w:val="000000" w:themeColor="text1"/>
          <w14:textFill>
            <w14:solidFill>
              <w14:schemeClr w14:val="tx1"/>
            </w14:solidFill>
          </w14:textFill>
        </w:rPr>
      </w:pPr>
      <w:r>
        <w:rPr>
          <w:color w:val="000000" w:themeColor="text1"/>
          <w14:textFill>
            <w14:solidFill>
              <w14:schemeClr w14:val="tx1"/>
            </w14:solidFill>
          </w14:textFill>
        </w:rPr>
        <w:t>因此，本项目的建设具有较好的社会效益。</w:t>
      </w:r>
    </w:p>
    <w:p w14:paraId="0C4889A7">
      <w:pPr>
        <w:pStyle w:val="116"/>
        <w:rPr>
          <w:color w:val="000000" w:themeColor="text1"/>
          <w14:textFill>
            <w14:solidFill>
              <w14:schemeClr w14:val="tx1"/>
            </w14:solidFill>
          </w14:textFill>
        </w:rPr>
      </w:pPr>
      <w:bookmarkStart w:id="908" w:name="7.2环境保护投资效益分析"/>
      <w:bookmarkEnd w:id="908"/>
      <w:bookmarkStart w:id="909" w:name="_Toc20035"/>
      <w:bookmarkStart w:id="910" w:name="_Toc159405495"/>
      <w:bookmarkStart w:id="911" w:name="_Toc193912401"/>
      <w:r>
        <w:rPr>
          <w:color w:val="000000" w:themeColor="text1"/>
          <w14:textFill>
            <w14:solidFill>
              <w14:schemeClr w14:val="tx1"/>
            </w14:solidFill>
          </w14:textFill>
        </w:rPr>
        <w:t>环境保护投资效益分析</w:t>
      </w:r>
      <w:bookmarkEnd w:id="909"/>
      <w:bookmarkEnd w:id="910"/>
      <w:bookmarkEnd w:id="911"/>
    </w:p>
    <w:p w14:paraId="10CCC218">
      <w:pPr>
        <w:pStyle w:val="120"/>
        <w:numPr>
          <w:ilvl w:val="2"/>
          <w:numId w:val="18"/>
        </w:numPr>
        <w:rPr>
          <w:color w:val="000000" w:themeColor="text1"/>
          <w14:textFill>
            <w14:solidFill>
              <w14:schemeClr w14:val="tx1"/>
            </w14:solidFill>
          </w14:textFill>
        </w:rPr>
      </w:pPr>
      <w:r>
        <w:rPr>
          <w:rFonts w:hint="eastAsia"/>
          <w:color w:val="000000" w:themeColor="text1"/>
          <w14:textFill>
            <w14:solidFill>
              <w14:schemeClr w14:val="tx1"/>
            </w14:solidFill>
          </w14:textFill>
        </w:rPr>
        <w:t xml:space="preserve">环保投资估算 </w:t>
      </w:r>
    </w:p>
    <w:p w14:paraId="6C77E4B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本项目总投资为</w:t>
      </w:r>
      <w:r>
        <w:rPr>
          <w:rFonts w:cs="Times New Roman"/>
          <w:color w:val="000000" w:themeColor="text1"/>
          <w:szCs w:val="24"/>
          <w14:textFill>
            <w14:solidFill>
              <w14:schemeClr w14:val="tx1"/>
            </w14:solidFill>
          </w14:textFill>
        </w:rPr>
        <w:t>27556.8</w:t>
      </w:r>
      <w:r>
        <w:rPr>
          <w:rFonts w:hint="eastAsia"/>
          <w:color w:val="000000" w:themeColor="text1"/>
          <w14:textFill>
            <w14:solidFill>
              <w14:schemeClr w14:val="tx1"/>
            </w14:solidFill>
          </w14:textFill>
        </w:rPr>
        <w:t>万元，其中环保投资为</w:t>
      </w:r>
      <w:r>
        <w:rPr>
          <w:color w:val="000000" w:themeColor="text1"/>
          <w14:textFill>
            <w14:solidFill>
              <w14:schemeClr w14:val="tx1"/>
            </w14:solidFill>
          </w14:textFill>
        </w:rPr>
        <w:t>321</w:t>
      </w:r>
      <w:r>
        <w:rPr>
          <w:rFonts w:hint="eastAsia"/>
          <w:color w:val="000000" w:themeColor="text1"/>
          <w14:textFill>
            <w14:solidFill>
              <w14:schemeClr w14:val="tx1"/>
            </w14:solidFill>
          </w14:textFill>
        </w:rPr>
        <w:t>万元，占总投资的</w:t>
      </w:r>
      <w:r>
        <w:rPr>
          <w:color w:val="000000" w:themeColor="text1"/>
          <w14:textFill>
            <w14:solidFill>
              <w14:schemeClr w14:val="tx1"/>
            </w14:solidFill>
          </w14:textFill>
        </w:rPr>
        <w:t>1.16</w:t>
      </w:r>
      <w:r>
        <w:rPr>
          <w:rFonts w:hint="eastAsia"/>
          <w:color w:val="000000" w:themeColor="text1"/>
          <w14:textFill>
            <w14:solidFill>
              <w14:schemeClr w14:val="tx1"/>
            </w14:solidFill>
          </w14:textFill>
        </w:rPr>
        <w:t>%。</w:t>
      </w:r>
    </w:p>
    <w:p w14:paraId="7B41C63C">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环保投资的效益简析</w:t>
      </w:r>
    </w:p>
    <w:p w14:paraId="153C99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（1）直接效益</w:t>
      </w:r>
    </w:p>
    <w:p w14:paraId="4223B4F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本项目在施工和运营期间对项目沿线区域所引起的环境问题是多方面的。因此，采取操作性强、切实可行的环保措施后，每年所挽回的经济损失，亦即环保投资的直接效益是显而易见的，但目前很难用具</w:t>
      </w:r>
      <w:r>
        <w:rPr>
          <w:rFonts w:ascii="Segoe UI" w:hAnsi="Segoe UI" w:cs="Segoe UI"/>
          <w:color w:val="404040"/>
        </w:rPr>
        <w:t>体货币量化</w:t>
      </w:r>
      <w:r>
        <w:rPr>
          <w:rFonts w:hint="eastAsia"/>
          <w:color w:val="000000" w:themeColor="text1"/>
          <w14:textFill>
            <w14:solidFill>
              <w14:schemeClr w14:val="tx1"/>
            </w14:solidFill>
          </w14:textFill>
        </w:rPr>
        <w:t>。只能对若不采取措施时，因工程建设而导致的生态环境、水环境、声环境和环境空气质量的变化所引起的对沿线人体健康、生活质量以及农业生产等方面的经济损失作粗略计算或定性分析用以反馈环保投资的直接经济效益。</w:t>
      </w:r>
    </w:p>
    <w:p w14:paraId="1F3A393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（2）间接效益</w:t>
      </w:r>
    </w:p>
    <w:p w14:paraId="52F847D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实施有效的环保措施后，会产生以下间接效益：保证沿线居民的生活质量和正常生活秩序，维持居民的环境心理健康和减轻居民的烦躁情绪，减少社会不稳定的诱发因素等。所有这些间接效益在目前很难用货币形式来度量，但可以肯定的是，它是环保投资所获取的社会效益的主要组成部分。</w:t>
      </w:r>
    </w:p>
    <w:p w14:paraId="5D5DC3F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鉴于环保投资的直接效益和间接效益均难以量化，在此仅对本项目环保投资所带来的环境、社会经济及综合效益做简要定性分析，见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_Ref148709803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表8.3-1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635A4BB2">
      <w:pPr>
        <w:pStyle w:val="87"/>
        <w:spacing w:before="120"/>
        <w:rPr>
          <w:color w:val="000000" w:themeColor="text1"/>
          <w14:textFill>
            <w14:solidFill>
              <w14:schemeClr w14:val="tx1"/>
            </w14:solidFill>
          </w14:textFill>
        </w:rPr>
      </w:pPr>
      <w:bookmarkStart w:id="912" w:name="_Ref148709803"/>
      <w:r>
        <w:rPr>
          <w:color w:val="000000" w:themeColor="text1"/>
          <w14:textFill>
            <w14:solidFill>
              <w14:schemeClr w14:val="tx1"/>
            </w14:solidFill>
          </w14:textFill>
        </w:rPr>
        <w:t>主要环保措施及效益分析</w:t>
      </w:r>
      <w:bookmarkEnd w:id="912"/>
    </w:p>
    <w:tbl>
      <w:tblPr>
        <w:tblStyle w:val="836"/>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34"/>
        <w:gridCol w:w="2977"/>
        <w:gridCol w:w="2835"/>
        <w:gridCol w:w="2124"/>
      </w:tblGrid>
      <w:tr w14:paraId="157D33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34" w:type="dxa"/>
            <w:vAlign w:val="center"/>
          </w:tcPr>
          <w:p w14:paraId="6ECFA06A">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环保投资分类</w:t>
            </w:r>
          </w:p>
        </w:tc>
        <w:tc>
          <w:tcPr>
            <w:tcW w:w="2977" w:type="dxa"/>
            <w:vAlign w:val="center"/>
          </w:tcPr>
          <w:p w14:paraId="45FF48D8">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环境效益</w:t>
            </w:r>
          </w:p>
        </w:tc>
        <w:tc>
          <w:tcPr>
            <w:tcW w:w="2835" w:type="dxa"/>
            <w:vAlign w:val="center"/>
          </w:tcPr>
          <w:p w14:paraId="2FC5E177">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社会经济效益</w:t>
            </w:r>
          </w:p>
        </w:tc>
        <w:tc>
          <w:tcPr>
            <w:tcW w:w="2124" w:type="dxa"/>
            <w:vAlign w:val="center"/>
          </w:tcPr>
          <w:p w14:paraId="47E22A1F">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综合效益</w:t>
            </w:r>
          </w:p>
        </w:tc>
      </w:tr>
      <w:tr w14:paraId="6202359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34" w:type="dxa"/>
            <w:vAlign w:val="center"/>
          </w:tcPr>
          <w:p w14:paraId="6E305C69">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施工期环保措施</w:t>
            </w:r>
          </w:p>
        </w:tc>
        <w:tc>
          <w:tcPr>
            <w:tcW w:w="2977" w:type="dxa"/>
            <w:vAlign w:val="center"/>
          </w:tcPr>
          <w:p w14:paraId="301076DA">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1.防止噪声扰民</w:t>
            </w:r>
          </w:p>
          <w:p w14:paraId="30C9A829">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2.防止水环境污染</w:t>
            </w:r>
          </w:p>
          <w:p w14:paraId="17A575DB">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3.防止空气污染</w:t>
            </w:r>
          </w:p>
          <w:p w14:paraId="4169D306">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4.保护耕地</w:t>
            </w:r>
          </w:p>
          <w:p w14:paraId="015EC13B">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5.保护动、植物</w:t>
            </w:r>
          </w:p>
          <w:p w14:paraId="2117E8B1">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6.保护公众安全、出入方便</w:t>
            </w:r>
          </w:p>
        </w:tc>
        <w:tc>
          <w:tcPr>
            <w:tcW w:w="2835" w:type="dxa"/>
            <w:vAlign w:val="center"/>
          </w:tcPr>
          <w:p w14:paraId="624AF55E">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1.保护人</w:t>
            </w:r>
            <w:bookmarkStart w:id="913" w:name="hmcheck_1e37f7da61884a198faf814bb299d53a"/>
            <w:r>
              <w:rPr>
                <w:rFonts w:hint="eastAsia"/>
                <w:color w:val="000000" w:themeColor="text1"/>
                <w:shd w:val="clear" w:fill="FFAFAA"/>
                <w14:textFill>
                  <w14:solidFill>
                    <w14:schemeClr w14:val="tx1"/>
                  </w14:solidFill>
                </w14:textFill>
              </w:rPr>
              <w:t>们</w:t>
            </w:r>
            <w:bookmarkEnd w:id="913"/>
            <w:r>
              <w:rPr>
                <w:rFonts w:hint="eastAsia"/>
                <w:color w:val="000000" w:themeColor="text1"/>
                <w14:textFill>
                  <w14:solidFill>
                    <w14:schemeClr w14:val="tx1"/>
                  </w14:solidFill>
                </w14:textFill>
              </w:rPr>
              <w:t>生活、生产环境</w:t>
            </w:r>
          </w:p>
          <w:p w14:paraId="5C8FF800">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2.保护土地、农业、林业、植被等</w:t>
            </w:r>
          </w:p>
          <w:p w14:paraId="193B870E">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3.保护国家财产安全、公众人身安全</w:t>
            </w:r>
          </w:p>
        </w:tc>
        <w:tc>
          <w:tcPr>
            <w:tcW w:w="2124" w:type="dxa"/>
            <w:vAlign w:val="center"/>
          </w:tcPr>
          <w:p w14:paraId="07D5AD3F">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1.使施工期对环境的不利影响降低</w:t>
            </w:r>
            <w:bookmarkStart w:id="914" w:name="hmcheck_9ff23536921a4c108832314cf4666576"/>
            <w:r>
              <w:rPr>
                <w:rFonts w:hint="eastAsia"/>
                <w:color w:val="000000" w:themeColor="text1"/>
                <w:shd w:val="clear" w:fill="FFAFAA"/>
                <w14:textFill>
                  <w14:solidFill>
                    <w14:schemeClr w14:val="tx1"/>
                  </w14:solidFill>
                </w14:textFill>
              </w:rPr>
              <w:t>到最小程度</w:t>
            </w:r>
            <w:bookmarkEnd w:id="914"/>
          </w:p>
          <w:p w14:paraId="5FC8A371">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2.公路建设得到社会公众的支持</w:t>
            </w:r>
          </w:p>
        </w:tc>
      </w:tr>
      <w:tr w14:paraId="19332D5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34" w:type="dxa"/>
            <w:vAlign w:val="center"/>
          </w:tcPr>
          <w:p w14:paraId="57EA950D">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公路用地、绿化</w:t>
            </w:r>
          </w:p>
        </w:tc>
        <w:tc>
          <w:tcPr>
            <w:tcW w:w="2977" w:type="dxa"/>
            <w:vAlign w:val="center"/>
          </w:tcPr>
          <w:p w14:paraId="610BD853">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1.公路景观</w:t>
            </w:r>
          </w:p>
          <w:p w14:paraId="18F2CF79">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2.水土保持</w:t>
            </w:r>
          </w:p>
          <w:p w14:paraId="7A049CD9">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3.恢复或补偿植被</w:t>
            </w:r>
          </w:p>
          <w:p w14:paraId="48BB4CE0">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4.农田补偿</w:t>
            </w:r>
          </w:p>
        </w:tc>
        <w:tc>
          <w:tcPr>
            <w:tcW w:w="2835" w:type="dxa"/>
            <w:vAlign w:val="center"/>
          </w:tcPr>
          <w:p w14:paraId="5FE23B3B">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 提高土地使用价值</w:t>
            </w:r>
          </w:p>
          <w:p w14:paraId="78FD93D3">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2.防止土壤侵蚀进一步扩大</w:t>
            </w:r>
          </w:p>
          <w:p w14:paraId="25EFA940">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3.路基稳定性</w:t>
            </w:r>
          </w:p>
          <w:p w14:paraId="7E07D686">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4.保护土地资源和耕地动态平衡</w:t>
            </w:r>
            <w:r>
              <w:rPr>
                <w:color w:val="000000" w:themeColor="text1"/>
                <w14:textFill>
                  <w14:solidFill>
                    <w14:schemeClr w14:val="tx1"/>
                  </w14:solidFill>
                </w14:textFill>
              </w:rPr>
              <w:t xml:space="preserve"> </w:t>
            </w:r>
          </w:p>
        </w:tc>
        <w:tc>
          <w:tcPr>
            <w:tcW w:w="2124" w:type="dxa"/>
            <w:vAlign w:val="center"/>
          </w:tcPr>
          <w:p w14:paraId="22AD839E">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1.改善地区生态环境</w:t>
            </w:r>
          </w:p>
          <w:p w14:paraId="109AAB24">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2.保障公路运输安全</w:t>
            </w:r>
          </w:p>
          <w:p w14:paraId="220617B9">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3.增加旅行安全和舒适感</w:t>
            </w:r>
          </w:p>
        </w:tc>
      </w:tr>
      <w:tr w14:paraId="76B9DD3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34" w:type="dxa"/>
            <w:vAlign w:val="center"/>
          </w:tcPr>
          <w:p w14:paraId="0420D9CB">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噪声防治工程</w:t>
            </w:r>
          </w:p>
        </w:tc>
        <w:tc>
          <w:tcPr>
            <w:tcW w:w="2977" w:type="dxa"/>
            <w:vAlign w:val="center"/>
          </w:tcPr>
          <w:p w14:paraId="0B65ED94">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防止交通噪声对沿线地区环境的污染</w:t>
            </w:r>
          </w:p>
        </w:tc>
        <w:tc>
          <w:tcPr>
            <w:tcW w:w="2835" w:type="dxa"/>
            <w:vAlign w:val="center"/>
          </w:tcPr>
          <w:p w14:paraId="437A2C1B">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保护村镇居民生活环境</w:t>
            </w:r>
          </w:p>
        </w:tc>
        <w:tc>
          <w:tcPr>
            <w:tcW w:w="2124" w:type="dxa"/>
            <w:vAlign w:val="center"/>
          </w:tcPr>
          <w:p w14:paraId="11425323">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保护人们生产、生活环境质量及身体健康</w:t>
            </w:r>
          </w:p>
        </w:tc>
      </w:tr>
      <w:tr w14:paraId="63B9FD5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34" w:type="dxa"/>
            <w:vAlign w:val="center"/>
          </w:tcPr>
          <w:p w14:paraId="23C08B79">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排水、防护工程</w:t>
            </w:r>
          </w:p>
        </w:tc>
        <w:tc>
          <w:tcPr>
            <w:tcW w:w="2977" w:type="dxa"/>
            <w:vAlign w:val="center"/>
          </w:tcPr>
          <w:p w14:paraId="37808BF7">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保护公路沿线地区河道的水质</w:t>
            </w:r>
          </w:p>
        </w:tc>
        <w:tc>
          <w:tcPr>
            <w:tcW w:w="2835" w:type="dxa"/>
            <w:vAlign w:val="center"/>
          </w:tcPr>
          <w:p w14:paraId="2273A146">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水土保持</w:t>
            </w:r>
          </w:p>
        </w:tc>
        <w:tc>
          <w:tcPr>
            <w:tcW w:w="2124" w:type="dxa"/>
            <w:vAlign w:val="center"/>
          </w:tcPr>
          <w:p w14:paraId="49071BBE">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保护水资源</w:t>
            </w:r>
          </w:p>
        </w:tc>
      </w:tr>
      <w:tr w14:paraId="79CA1A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34" w:type="dxa"/>
            <w:vAlign w:val="center"/>
          </w:tcPr>
          <w:p w14:paraId="6AD65532">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环境监测、环境管理</w:t>
            </w:r>
          </w:p>
        </w:tc>
        <w:tc>
          <w:tcPr>
            <w:tcW w:w="2977" w:type="dxa"/>
            <w:vAlign w:val="center"/>
          </w:tcPr>
          <w:p w14:paraId="6A8F3F4C">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1.监测沿线地区环境质量</w:t>
            </w:r>
          </w:p>
          <w:p w14:paraId="625A546D">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2.保护沿线地区环境</w:t>
            </w:r>
          </w:p>
        </w:tc>
        <w:tc>
          <w:tcPr>
            <w:tcW w:w="2835" w:type="dxa"/>
            <w:vAlign w:val="center"/>
          </w:tcPr>
          <w:p w14:paraId="68540C2F">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保护人类及生物生存环境</w:t>
            </w:r>
          </w:p>
        </w:tc>
        <w:tc>
          <w:tcPr>
            <w:tcW w:w="2124" w:type="dxa"/>
            <w:vAlign w:val="center"/>
          </w:tcPr>
          <w:p w14:paraId="1914B60C">
            <w:pPr>
              <w:pStyle w:val="105"/>
              <w:spacing w:line="240" w:lineRule="atLeast"/>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经济与环境可持续发展</w:t>
            </w:r>
          </w:p>
        </w:tc>
      </w:tr>
    </w:tbl>
    <w:p w14:paraId="4D84A162">
      <w:pPr>
        <w:pStyle w:val="120"/>
        <w:spacing w:before="240"/>
        <w:rPr>
          <w:color w:val="000000" w:themeColor="text1"/>
          <w14:textFill>
            <w14:solidFill>
              <w14:schemeClr w14:val="tx1"/>
            </w14:solidFill>
          </w14:textFill>
        </w:rPr>
      </w:pPr>
      <w:bookmarkStart w:id="915" w:name="7.3环境影响经济损益分析"/>
      <w:bookmarkEnd w:id="915"/>
      <w:bookmarkStart w:id="916" w:name="_Toc19404"/>
      <w:r>
        <w:rPr>
          <w:color w:val="000000" w:themeColor="text1"/>
          <w14:textFill>
            <w14:solidFill>
              <w14:schemeClr w14:val="tx1"/>
            </w14:solidFill>
          </w14:textFill>
        </w:rPr>
        <w:t>环境影响经济损益分析</w:t>
      </w:r>
      <w:bookmarkEnd w:id="916"/>
    </w:p>
    <w:p w14:paraId="67BAA715">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r>
        <w:rPr>
          <w:rFonts w:ascii="Times New Roman" w:hAnsi="Times New Roman" w:cs="Times New Roman"/>
          <w:color w:val="000000" w:themeColor="text1"/>
          <w:spacing w:val="-3"/>
          <w14:textFill>
            <w14:solidFill>
              <w14:schemeClr w14:val="tx1"/>
            </w14:solidFill>
          </w14:textFill>
        </w:rPr>
        <w:t>对受本项工程影响的主要环境因素，分别采用补偿法、专家打分法等分析方法对拟建项目的环境损益进行了定性，其结果见表8.3-2。</w:t>
      </w:r>
    </w:p>
    <w:p w14:paraId="58AD2CB0">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p>
    <w:p w14:paraId="76A9E2B0">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p>
    <w:p w14:paraId="232D8B9D">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p>
    <w:p w14:paraId="446AF4D9">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p>
    <w:p w14:paraId="055D8CF6">
      <w:pPr>
        <w:pStyle w:val="87"/>
        <w:spacing w:before="120"/>
        <w:rPr>
          <w:color w:val="000000" w:themeColor="text1"/>
          <w14:textFill>
            <w14:solidFill>
              <w14:schemeClr w14:val="tx1"/>
            </w14:solidFill>
          </w14:textFill>
        </w:rPr>
      </w:pPr>
      <w:r>
        <w:rPr>
          <w:color w:val="000000" w:themeColor="text1"/>
          <w14:textFill>
            <w14:solidFill>
              <w14:schemeClr w14:val="tx1"/>
            </w14:solidFill>
          </w14:textFill>
        </w:rPr>
        <w:tab/>
      </w:r>
      <w:r>
        <w:rPr>
          <w:color w:val="000000" w:themeColor="text1"/>
          <w14:textFill>
            <w14:solidFill>
              <w14:schemeClr w14:val="tx1"/>
            </w14:solidFill>
          </w14:textFill>
        </w:rPr>
        <w:t>拟建项目环境影响的经济损益分析表</w:t>
      </w:r>
    </w:p>
    <w:tbl>
      <w:tblPr>
        <w:tblStyle w:val="53"/>
        <w:tblW w:w="4998" w:type="pct"/>
        <w:tblInd w:w="0" w:type="dxa"/>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Layout w:type="autofit"/>
        <w:tblCellMar>
          <w:top w:w="0" w:type="dxa"/>
          <w:left w:w="0" w:type="dxa"/>
          <w:bottom w:w="0" w:type="dxa"/>
          <w:right w:w="0" w:type="dxa"/>
        </w:tblCellMar>
      </w:tblPr>
      <w:tblGrid>
        <w:gridCol w:w="669"/>
        <w:gridCol w:w="1883"/>
        <w:gridCol w:w="4863"/>
        <w:gridCol w:w="698"/>
        <w:gridCol w:w="957"/>
      </w:tblGrid>
      <w:tr w14:paraId="284FE426">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309" w:hRule="atLeast"/>
        </w:trPr>
        <w:tc>
          <w:tcPr>
            <w:tcW w:w="369" w:type="pct"/>
            <w:tcBorders>
              <w:tl2br w:val="nil"/>
              <w:tr2bl w:val="nil"/>
            </w:tcBorders>
            <w:vAlign w:val="center"/>
          </w:tcPr>
          <w:p w14:paraId="00F993E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1038" w:type="pct"/>
            <w:tcBorders>
              <w:tl2br w:val="nil"/>
              <w:tr2bl w:val="nil"/>
            </w:tcBorders>
            <w:vAlign w:val="center"/>
          </w:tcPr>
          <w:p w14:paraId="3B296E8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环境要素</w:t>
            </w:r>
          </w:p>
        </w:tc>
        <w:tc>
          <w:tcPr>
            <w:tcW w:w="2681" w:type="pct"/>
            <w:tcBorders>
              <w:tl2br w:val="nil"/>
              <w:tr2bl w:val="nil"/>
            </w:tcBorders>
            <w:vAlign w:val="center"/>
          </w:tcPr>
          <w:p w14:paraId="6A61B9F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影响、措施及投资</w:t>
            </w:r>
          </w:p>
        </w:tc>
        <w:tc>
          <w:tcPr>
            <w:tcW w:w="385" w:type="pct"/>
            <w:tcBorders>
              <w:tl2br w:val="nil"/>
              <w:tr2bl w:val="nil"/>
            </w:tcBorders>
            <w:vAlign w:val="center"/>
          </w:tcPr>
          <w:p w14:paraId="7A4D8F3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效益</w:t>
            </w:r>
          </w:p>
        </w:tc>
        <w:tc>
          <w:tcPr>
            <w:tcW w:w="527" w:type="pct"/>
            <w:tcBorders>
              <w:tl2br w:val="nil"/>
              <w:tr2bl w:val="nil"/>
            </w:tcBorders>
            <w:vAlign w:val="center"/>
          </w:tcPr>
          <w:p w14:paraId="3D51F8E0">
            <w:pPr>
              <w:pStyle w:val="105"/>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77B94C21">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856" w:hRule="atLeast"/>
        </w:trPr>
        <w:tc>
          <w:tcPr>
            <w:tcW w:w="369" w:type="pct"/>
            <w:tcBorders>
              <w:tl2br w:val="nil"/>
              <w:tr2bl w:val="nil"/>
            </w:tcBorders>
            <w:vAlign w:val="center"/>
          </w:tcPr>
          <w:p w14:paraId="18C36FE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1038" w:type="pct"/>
            <w:tcBorders>
              <w:tl2br w:val="nil"/>
              <w:tr2bl w:val="nil"/>
            </w:tcBorders>
            <w:vAlign w:val="center"/>
          </w:tcPr>
          <w:p w14:paraId="0E29C7E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声环境、</w:t>
            </w:r>
          </w:p>
          <w:p w14:paraId="7BBBC3E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环境空气</w:t>
            </w:r>
          </w:p>
        </w:tc>
        <w:tc>
          <w:tcPr>
            <w:tcW w:w="2681" w:type="pct"/>
            <w:tcBorders>
              <w:tl2br w:val="nil"/>
              <w:tr2bl w:val="nil"/>
            </w:tcBorders>
            <w:vAlign w:val="center"/>
          </w:tcPr>
          <w:p w14:paraId="00FA60A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拟建项目沿线声、气环境质量下降（-3）；</w:t>
            </w:r>
          </w:p>
          <w:p w14:paraId="71A3545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乡镇及现有公路两侧声、气环境好转（+1）</w:t>
            </w:r>
          </w:p>
        </w:tc>
        <w:tc>
          <w:tcPr>
            <w:tcW w:w="385" w:type="pct"/>
            <w:tcBorders>
              <w:tl2br w:val="nil"/>
              <w:tr2bl w:val="nil"/>
            </w:tcBorders>
            <w:vAlign w:val="center"/>
          </w:tcPr>
          <w:p w14:paraId="3E6662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527" w:type="pct"/>
            <w:vMerge w:val="restart"/>
            <w:tcBorders>
              <w:tl2br w:val="nil"/>
              <w:tr2bl w:val="nil"/>
            </w:tcBorders>
            <w:vAlign w:val="center"/>
          </w:tcPr>
          <w:p w14:paraId="50912944">
            <w:pPr>
              <w:pStyle w:val="105"/>
              <w:rPr>
                <w:color w:val="000000" w:themeColor="text1"/>
                <w14:textFill>
                  <w14:solidFill>
                    <w14:schemeClr w14:val="tx1"/>
                  </w14:solidFill>
                </w14:textFill>
              </w:rPr>
            </w:pPr>
            <w:r>
              <w:rPr>
                <w:color w:val="000000" w:themeColor="text1"/>
                <w14:textFill>
                  <w14:solidFill>
                    <w14:schemeClr w14:val="tx1"/>
                  </w14:solidFill>
                </w14:textFill>
              </w:rPr>
              <w:t>按影响程度由小到大分别打1、2、3等分；“+”</w:t>
            </w:r>
          </w:p>
          <w:p w14:paraId="3A998EF5">
            <w:pPr>
              <w:pStyle w:val="105"/>
              <w:rPr>
                <w:color w:val="000000" w:themeColor="text1"/>
                <w14:textFill>
                  <w14:solidFill>
                    <w14:schemeClr w14:val="tx1"/>
                  </w14:solidFill>
                </w14:textFill>
              </w:rPr>
            </w:pPr>
            <w:r>
              <w:rPr>
                <w:color w:val="000000" w:themeColor="text1"/>
                <w14:textFill>
                  <w14:solidFill>
                    <w14:schemeClr w14:val="tx1"/>
                  </w14:solidFill>
                </w14:textFill>
              </w:rPr>
              <w:t>表示正效益；“</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w:t>
            </w:r>
          </w:p>
          <w:p w14:paraId="3DEEC4B6">
            <w:pPr>
              <w:pStyle w:val="105"/>
              <w:rPr>
                <w:color w:val="000000" w:themeColor="text1"/>
                <w14:textFill>
                  <w14:solidFill>
                    <w14:schemeClr w14:val="tx1"/>
                  </w14:solidFill>
                </w14:textFill>
              </w:rPr>
            </w:pPr>
            <w:r>
              <w:rPr>
                <w:color w:val="000000" w:themeColor="text1"/>
                <w14:textFill>
                  <w14:solidFill>
                    <w14:schemeClr w14:val="tx1"/>
                  </w14:solidFill>
                </w14:textFill>
              </w:rPr>
              <w:t>表示负效益。</w:t>
            </w:r>
          </w:p>
        </w:tc>
      </w:tr>
      <w:tr w14:paraId="03D49FA6">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9" w:hRule="atLeast"/>
        </w:trPr>
        <w:tc>
          <w:tcPr>
            <w:tcW w:w="369" w:type="pct"/>
            <w:tcBorders>
              <w:tl2br w:val="nil"/>
              <w:tr2bl w:val="nil"/>
            </w:tcBorders>
            <w:vAlign w:val="center"/>
          </w:tcPr>
          <w:p w14:paraId="14E29EA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1038" w:type="pct"/>
            <w:tcBorders>
              <w:tl2br w:val="nil"/>
              <w:tr2bl w:val="nil"/>
            </w:tcBorders>
            <w:vAlign w:val="center"/>
          </w:tcPr>
          <w:p w14:paraId="6036E6E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水环境</w:t>
            </w:r>
          </w:p>
        </w:tc>
        <w:tc>
          <w:tcPr>
            <w:tcW w:w="2681" w:type="pct"/>
            <w:tcBorders>
              <w:tl2br w:val="nil"/>
              <w:tr2bl w:val="nil"/>
            </w:tcBorders>
            <w:vAlign w:val="center"/>
          </w:tcPr>
          <w:p w14:paraId="524A360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施工期对沿线水环境产生负面影响</w:t>
            </w:r>
          </w:p>
        </w:tc>
        <w:tc>
          <w:tcPr>
            <w:tcW w:w="385" w:type="pct"/>
            <w:tcBorders>
              <w:tl2br w:val="nil"/>
              <w:tr2bl w:val="nil"/>
            </w:tcBorders>
            <w:vAlign w:val="center"/>
          </w:tcPr>
          <w:p w14:paraId="792AD04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27" w:type="pct"/>
            <w:vMerge w:val="continue"/>
            <w:tcBorders>
              <w:tl2br w:val="nil"/>
              <w:tr2bl w:val="nil"/>
            </w:tcBorders>
            <w:vAlign w:val="center"/>
          </w:tcPr>
          <w:p w14:paraId="40CBB34F">
            <w:pPr>
              <w:pStyle w:val="105"/>
              <w:rPr>
                <w:color w:val="000000" w:themeColor="text1"/>
                <w14:textFill>
                  <w14:solidFill>
                    <w14:schemeClr w14:val="tx1"/>
                  </w14:solidFill>
                </w14:textFill>
              </w:rPr>
            </w:pPr>
          </w:p>
        </w:tc>
      </w:tr>
      <w:tr w14:paraId="570B79A9">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9" w:hRule="atLeast"/>
        </w:trPr>
        <w:tc>
          <w:tcPr>
            <w:tcW w:w="369" w:type="pct"/>
            <w:tcBorders>
              <w:tl2br w:val="nil"/>
              <w:tr2bl w:val="nil"/>
            </w:tcBorders>
            <w:vAlign w:val="center"/>
          </w:tcPr>
          <w:p w14:paraId="6F20559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3</w:t>
            </w:r>
          </w:p>
        </w:tc>
        <w:tc>
          <w:tcPr>
            <w:tcW w:w="1038" w:type="pct"/>
            <w:tcBorders>
              <w:tl2br w:val="nil"/>
              <w:tr2bl w:val="nil"/>
            </w:tcBorders>
            <w:vAlign w:val="center"/>
          </w:tcPr>
          <w:p w14:paraId="277C449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人群健康</w:t>
            </w:r>
          </w:p>
        </w:tc>
        <w:tc>
          <w:tcPr>
            <w:tcW w:w="2681" w:type="pct"/>
            <w:tcBorders>
              <w:tl2br w:val="nil"/>
              <w:tr2bl w:val="nil"/>
            </w:tcBorders>
            <w:vAlign w:val="center"/>
          </w:tcPr>
          <w:p w14:paraId="7B61A7A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无显著不利影响，交通方便利于出行</w:t>
            </w:r>
          </w:p>
        </w:tc>
        <w:tc>
          <w:tcPr>
            <w:tcW w:w="385" w:type="pct"/>
            <w:tcBorders>
              <w:tl2br w:val="nil"/>
              <w:tr2bl w:val="nil"/>
            </w:tcBorders>
            <w:vAlign w:val="center"/>
          </w:tcPr>
          <w:p w14:paraId="3C2FAEF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27" w:type="pct"/>
            <w:vMerge w:val="continue"/>
            <w:tcBorders>
              <w:tl2br w:val="nil"/>
              <w:tr2bl w:val="nil"/>
            </w:tcBorders>
            <w:vAlign w:val="center"/>
          </w:tcPr>
          <w:p w14:paraId="742FD6CD">
            <w:pPr>
              <w:pStyle w:val="105"/>
              <w:rPr>
                <w:color w:val="000000" w:themeColor="text1"/>
                <w14:textFill>
                  <w14:solidFill>
                    <w14:schemeClr w14:val="tx1"/>
                  </w14:solidFill>
                </w14:textFill>
              </w:rPr>
            </w:pPr>
          </w:p>
        </w:tc>
      </w:tr>
      <w:tr w14:paraId="71DE9F78">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9" w:hRule="atLeast"/>
        </w:trPr>
        <w:tc>
          <w:tcPr>
            <w:tcW w:w="369" w:type="pct"/>
            <w:tcBorders>
              <w:tl2br w:val="nil"/>
              <w:tr2bl w:val="nil"/>
            </w:tcBorders>
            <w:vAlign w:val="center"/>
          </w:tcPr>
          <w:p w14:paraId="44FCED1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4</w:t>
            </w:r>
          </w:p>
        </w:tc>
        <w:tc>
          <w:tcPr>
            <w:tcW w:w="1038" w:type="pct"/>
            <w:tcBorders>
              <w:tl2br w:val="nil"/>
              <w:tr2bl w:val="nil"/>
            </w:tcBorders>
            <w:vAlign w:val="center"/>
          </w:tcPr>
          <w:p w14:paraId="2466B9F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人民生活水平</w:t>
            </w:r>
          </w:p>
        </w:tc>
        <w:tc>
          <w:tcPr>
            <w:tcW w:w="2681" w:type="pct"/>
            <w:tcBorders>
              <w:tl2br w:val="nil"/>
              <w:tr2bl w:val="nil"/>
            </w:tcBorders>
            <w:vAlign w:val="center"/>
          </w:tcPr>
          <w:p w14:paraId="1531C85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提供部分就业机会，改善当地人民生活水平</w:t>
            </w:r>
          </w:p>
        </w:tc>
        <w:tc>
          <w:tcPr>
            <w:tcW w:w="385" w:type="pct"/>
            <w:tcBorders>
              <w:tl2br w:val="nil"/>
              <w:tr2bl w:val="nil"/>
            </w:tcBorders>
            <w:vAlign w:val="center"/>
          </w:tcPr>
          <w:p w14:paraId="505A98B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27" w:type="pct"/>
            <w:vMerge w:val="continue"/>
            <w:tcBorders>
              <w:tl2br w:val="nil"/>
              <w:tr2bl w:val="nil"/>
            </w:tcBorders>
            <w:vAlign w:val="center"/>
          </w:tcPr>
          <w:p w14:paraId="315A60B2">
            <w:pPr>
              <w:pStyle w:val="105"/>
              <w:rPr>
                <w:color w:val="000000" w:themeColor="text1"/>
                <w14:textFill>
                  <w14:solidFill>
                    <w14:schemeClr w14:val="tx1"/>
                  </w14:solidFill>
                </w14:textFill>
              </w:rPr>
            </w:pPr>
          </w:p>
        </w:tc>
      </w:tr>
      <w:tr w14:paraId="3F2CD0DB">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8" w:hRule="atLeast"/>
        </w:trPr>
        <w:tc>
          <w:tcPr>
            <w:tcW w:w="369" w:type="pct"/>
            <w:tcBorders>
              <w:tl2br w:val="nil"/>
              <w:tr2bl w:val="nil"/>
            </w:tcBorders>
            <w:vAlign w:val="center"/>
          </w:tcPr>
          <w:p w14:paraId="6FB729C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1038" w:type="pct"/>
            <w:tcBorders>
              <w:tl2br w:val="nil"/>
              <w:tr2bl w:val="nil"/>
            </w:tcBorders>
            <w:vAlign w:val="center"/>
          </w:tcPr>
          <w:p w14:paraId="2ABC55C2">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植物及动物</w:t>
            </w:r>
          </w:p>
        </w:tc>
        <w:tc>
          <w:tcPr>
            <w:tcW w:w="2681" w:type="pct"/>
            <w:tcBorders>
              <w:tl2br w:val="nil"/>
              <w:tr2bl w:val="nil"/>
            </w:tcBorders>
            <w:vAlign w:val="center"/>
          </w:tcPr>
          <w:p w14:paraId="49B8E49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破坏部分植被、动物短暂骚扰</w:t>
            </w:r>
          </w:p>
        </w:tc>
        <w:tc>
          <w:tcPr>
            <w:tcW w:w="385" w:type="pct"/>
            <w:tcBorders>
              <w:tl2br w:val="nil"/>
              <w:tr2bl w:val="nil"/>
            </w:tcBorders>
            <w:vAlign w:val="center"/>
          </w:tcPr>
          <w:p w14:paraId="154E47C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27" w:type="pct"/>
            <w:vMerge w:val="continue"/>
            <w:tcBorders>
              <w:tl2br w:val="nil"/>
              <w:tr2bl w:val="nil"/>
            </w:tcBorders>
            <w:vAlign w:val="center"/>
          </w:tcPr>
          <w:p w14:paraId="242B94C7">
            <w:pPr>
              <w:pStyle w:val="105"/>
              <w:rPr>
                <w:color w:val="000000" w:themeColor="text1"/>
                <w14:textFill>
                  <w14:solidFill>
                    <w14:schemeClr w14:val="tx1"/>
                  </w14:solidFill>
                </w14:textFill>
              </w:rPr>
            </w:pPr>
          </w:p>
        </w:tc>
      </w:tr>
      <w:tr w14:paraId="2FE6B426">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8" w:hRule="atLeast"/>
        </w:trPr>
        <w:tc>
          <w:tcPr>
            <w:tcW w:w="369" w:type="pct"/>
            <w:tcBorders>
              <w:tl2br w:val="nil"/>
              <w:tr2bl w:val="nil"/>
            </w:tcBorders>
            <w:vAlign w:val="center"/>
          </w:tcPr>
          <w:p w14:paraId="0F4C90C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6</w:t>
            </w:r>
          </w:p>
        </w:tc>
        <w:tc>
          <w:tcPr>
            <w:tcW w:w="1038" w:type="pct"/>
            <w:tcBorders>
              <w:tl2br w:val="nil"/>
              <w:tr2bl w:val="nil"/>
            </w:tcBorders>
            <w:vAlign w:val="center"/>
          </w:tcPr>
          <w:p w14:paraId="4A6DFFC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农业生产</w:t>
            </w:r>
          </w:p>
        </w:tc>
        <w:tc>
          <w:tcPr>
            <w:tcW w:w="2681" w:type="pct"/>
            <w:tcBorders>
              <w:tl2br w:val="nil"/>
              <w:tr2bl w:val="nil"/>
            </w:tcBorders>
            <w:vAlign w:val="center"/>
          </w:tcPr>
          <w:p w14:paraId="4D140B7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占地减少耕种面积，加速地区间的物流交换</w:t>
            </w:r>
          </w:p>
        </w:tc>
        <w:tc>
          <w:tcPr>
            <w:tcW w:w="385" w:type="pct"/>
            <w:tcBorders>
              <w:tl2br w:val="nil"/>
              <w:tr2bl w:val="nil"/>
            </w:tcBorders>
            <w:vAlign w:val="center"/>
          </w:tcPr>
          <w:p w14:paraId="742C40F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27" w:type="pct"/>
            <w:vMerge w:val="continue"/>
            <w:tcBorders>
              <w:tl2br w:val="nil"/>
              <w:tr2bl w:val="nil"/>
            </w:tcBorders>
            <w:vAlign w:val="center"/>
          </w:tcPr>
          <w:p w14:paraId="42BF3B7E">
            <w:pPr>
              <w:pStyle w:val="105"/>
              <w:rPr>
                <w:color w:val="000000" w:themeColor="text1"/>
                <w14:textFill>
                  <w14:solidFill>
                    <w14:schemeClr w14:val="tx1"/>
                  </w14:solidFill>
                </w14:textFill>
              </w:rPr>
            </w:pPr>
          </w:p>
        </w:tc>
      </w:tr>
      <w:tr w14:paraId="32C66836">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9" w:hRule="atLeast"/>
        </w:trPr>
        <w:tc>
          <w:tcPr>
            <w:tcW w:w="369" w:type="pct"/>
            <w:tcBorders>
              <w:tl2br w:val="nil"/>
              <w:tr2bl w:val="nil"/>
            </w:tcBorders>
            <w:vAlign w:val="center"/>
          </w:tcPr>
          <w:p w14:paraId="2D1028C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7</w:t>
            </w:r>
          </w:p>
        </w:tc>
        <w:tc>
          <w:tcPr>
            <w:tcW w:w="1038" w:type="pct"/>
            <w:tcBorders>
              <w:tl2br w:val="nil"/>
              <w:tr2bl w:val="nil"/>
            </w:tcBorders>
            <w:vAlign w:val="center"/>
          </w:tcPr>
          <w:p w14:paraId="6088283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旅游资源</w:t>
            </w:r>
          </w:p>
        </w:tc>
        <w:tc>
          <w:tcPr>
            <w:tcW w:w="2681" w:type="pct"/>
            <w:tcBorders>
              <w:tl2br w:val="nil"/>
              <w:tr2bl w:val="nil"/>
            </w:tcBorders>
            <w:vAlign w:val="center"/>
          </w:tcPr>
          <w:p w14:paraId="049F5F2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无显著不利影响，交通方便利于带动旅游业的发展</w:t>
            </w:r>
          </w:p>
        </w:tc>
        <w:tc>
          <w:tcPr>
            <w:tcW w:w="385" w:type="pct"/>
            <w:tcBorders>
              <w:tl2br w:val="nil"/>
              <w:tr2bl w:val="nil"/>
            </w:tcBorders>
            <w:vAlign w:val="center"/>
          </w:tcPr>
          <w:p w14:paraId="22ADD18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527" w:type="pct"/>
            <w:vMerge w:val="continue"/>
            <w:tcBorders>
              <w:tl2br w:val="nil"/>
              <w:tr2bl w:val="nil"/>
            </w:tcBorders>
            <w:vAlign w:val="center"/>
          </w:tcPr>
          <w:p w14:paraId="7247323A">
            <w:pPr>
              <w:pStyle w:val="105"/>
              <w:rPr>
                <w:color w:val="000000" w:themeColor="text1"/>
                <w14:textFill>
                  <w14:solidFill>
                    <w14:schemeClr w14:val="tx1"/>
                  </w14:solidFill>
                </w14:textFill>
              </w:rPr>
            </w:pPr>
          </w:p>
        </w:tc>
      </w:tr>
      <w:tr w14:paraId="3DB45F42">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8" w:hRule="atLeast"/>
        </w:trPr>
        <w:tc>
          <w:tcPr>
            <w:tcW w:w="369" w:type="pct"/>
            <w:tcBorders>
              <w:tl2br w:val="nil"/>
              <w:tr2bl w:val="nil"/>
            </w:tcBorders>
            <w:vAlign w:val="center"/>
          </w:tcPr>
          <w:p w14:paraId="4866890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8</w:t>
            </w:r>
          </w:p>
        </w:tc>
        <w:tc>
          <w:tcPr>
            <w:tcW w:w="1038" w:type="pct"/>
            <w:tcBorders>
              <w:tl2br w:val="nil"/>
              <w:tr2bl w:val="nil"/>
            </w:tcBorders>
            <w:vAlign w:val="center"/>
          </w:tcPr>
          <w:p w14:paraId="5FFD122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乡镇规划</w:t>
            </w:r>
          </w:p>
        </w:tc>
        <w:tc>
          <w:tcPr>
            <w:tcW w:w="2681" w:type="pct"/>
            <w:tcBorders>
              <w:tl2br w:val="nil"/>
              <w:tr2bl w:val="nil"/>
            </w:tcBorders>
            <w:vAlign w:val="center"/>
          </w:tcPr>
          <w:p w14:paraId="400C3FD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无显著不利影响，有利于乡镇、社会发展</w:t>
            </w:r>
          </w:p>
        </w:tc>
        <w:tc>
          <w:tcPr>
            <w:tcW w:w="385" w:type="pct"/>
            <w:tcBorders>
              <w:tl2br w:val="nil"/>
              <w:tr2bl w:val="nil"/>
            </w:tcBorders>
            <w:vAlign w:val="center"/>
          </w:tcPr>
          <w:p w14:paraId="789896C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527" w:type="pct"/>
            <w:vMerge w:val="continue"/>
            <w:tcBorders>
              <w:tl2br w:val="nil"/>
              <w:tr2bl w:val="nil"/>
            </w:tcBorders>
            <w:vAlign w:val="center"/>
          </w:tcPr>
          <w:p w14:paraId="019FBFD2">
            <w:pPr>
              <w:pStyle w:val="105"/>
              <w:rPr>
                <w:color w:val="000000" w:themeColor="text1"/>
                <w14:textFill>
                  <w14:solidFill>
                    <w14:schemeClr w14:val="tx1"/>
                  </w14:solidFill>
                </w14:textFill>
              </w:rPr>
            </w:pPr>
          </w:p>
        </w:tc>
      </w:tr>
      <w:tr w14:paraId="7CA77D8A">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9" w:hRule="atLeast"/>
        </w:trPr>
        <w:tc>
          <w:tcPr>
            <w:tcW w:w="369" w:type="pct"/>
            <w:tcBorders>
              <w:tl2br w:val="nil"/>
              <w:tr2bl w:val="nil"/>
            </w:tcBorders>
            <w:vAlign w:val="center"/>
          </w:tcPr>
          <w:p w14:paraId="4762D7D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9</w:t>
            </w:r>
          </w:p>
        </w:tc>
        <w:tc>
          <w:tcPr>
            <w:tcW w:w="1038" w:type="pct"/>
            <w:tcBorders>
              <w:tl2br w:val="nil"/>
              <w:tr2bl w:val="nil"/>
            </w:tcBorders>
            <w:vAlign w:val="center"/>
          </w:tcPr>
          <w:p w14:paraId="7C6289F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景观绿化美化</w:t>
            </w:r>
          </w:p>
        </w:tc>
        <w:tc>
          <w:tcPr>
            <w:tcW w:w="2681" w:type="pct"/>
            <w:tcBorders>
              <w:tl2br w:val="nil"/>
              <w:tr2bl w:val="nil"/>
            </w:tcBorders>
            <w:vAlign w:val="center"/>
          </w:tcPr>
          <w:p w14:paraId="55F410B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无显著不利影响，增加环保投资，改善沿线环境质量</w:t>
            </w:r>
          </w:p>
        </w:tc>
        <w:tc>
          <w:tcPr>
            <w:tcW w:w="385" w:type="pct"/>
            <w:tcBorders>
              <w:tl2br w:val="nil"/>
              <w:tr2bl w:val="nil"/>
            </w:tcBorders>
            <w:vAlign w:val="center"/>
          </w:tcPr>
          <w:p w14:paraId="1D8D67F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27" w:type="pct"/>
            <w:vMerge w:val="continue"/>
            <w:tcBorders>
              <w:tl2br w:val="nil"/>
              <w:tr2bl w:val="nil"/>
            </w:tcBorders>
            <w:vAlign w:val="center"/>
          </w:tcPr>
          <w:p w14:paraId="29D4BD27">
            <w:pPr>
              <w:pStyle w:val="105"/>
              <w:rPr>
                <w:color w:val="000000" w:themeColor="text1"/>
                <w14:textFill>
                  <w14:solidFill>
                    <w14:schemeClr w14:val="tx1"/>
                  </w14:solidFill>
                </w14:textFill>
              </w:rPr>
            </w:pPr>
          </w:p>
        </w:tc>
      </w:tr>
      <w:tr w14:paraId="44646DF4">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8" w:hRule="atLeast"/>
        </w:trPr>
        <w:tc>
          <w:tcPr>
            <w:tcW w:w="369" w:type="pct"/>
            <w:tcBorders>
              <w:tl2br w:val="nil"/>
              <w:tr2bl w:val="nil"/>
            </w:tcBorders>
            <w:vAlign w:val="center"/>
          </w:tcPr>
          <w:p w14:paraId="7EC7F5F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1038" w:type="pct"/>
            <w:tcBorders>
              <w:tl2br w:val="nil"/>
              <w:tr2bl w:val="nil"/>
            </w:tcBorders>
            <w:vAlign w:val="center"/>
          </w:tcPr>
          <w:p w14:paraId="5E800D3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拆迁安置</w:t>
            </w:r>
          </w:p>
        </w:tc>
        <w:tc>
          <w:tcPr>
            <w:tcW w:w="2681" w:type="pct"/>
            <w:tcBorders>
              <w:tl2br w:val="nil"/>
              <w:tr2bl w:val="nil"/>
            </w:tcBorders>
            <w:vAlign w:val="center"/>
          </w:tcPr>
          <w:p w14:paraId="57DE83C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拆迁货币补偿，对部分居民有一定的影响</w:t>
            </w:r>
          </w:p>
        </w:tc>
        <w:tc>
          <w:tcPr>
            <w:tcW w:w="385" w:type="pct"/>
            <w:tcBorders>
              <w:tl2br w:val="nil"/>
              <w:tr2bl w:val="nil"/>
            </w:tcBorders>
            <w:vAlign w:val="center"/>
          </w:tcPr>
          <w:p w14:paraId="7D7D255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w:t>
            </w:r>
          </w:p>
        </w:tc>
        <w:tc>
          <w:tcPr>
            <w:tcW w:w="527" w:type="pct"/>
            <w:vMerge w:val="continue"/>
            <w:tcBorders>
              <w:tl2br w:val="nil"/>
              <w:tr2bl w:val="nil"/>
            </w:tcBorders>
            <w:vAlign w:val="center"/>
          </w:tcPr>
          <w:p w14:paraId="4B8DF313">
            <w:pPr>
              <w:pStyle w:val="105"/>
              <w:rPr>
                <w:color w:val="000000" w:themeColor="text1"/>
                <w14:textFill>
                  <w14:solidFill>
                    <w14:schemeClr w14:val="tx1"/>
                  </w14:solidFill>
                </w14:textFill>
              </w:rPr>
            </w:pPr>
          </w:p>
        </w:tc>
      </w:tr>
      <w:tr w14:paraId="76A59D90">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8" w:hRule="atLeast"/>
        </w:trPr>
        <w:tc>
          <w:tcPr>
            <w:tcW w:w="369" w:type="pct"/>
            <w:tcBorders>
              <w:tl2br w:val="nil"/>
              <w:tr2bl w:val="nil"/>
            </w:tcBorders>
            <w:vAlign w:val="center"/>
          </w:tcPr>
          <w:p w14:paraId="57D9862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11</w:t>
            </w:r>
          </w:p>
        </w:tc>
        <w:tc>
          <w:tcPr>
            <w:tcW w:w="1038" w:type="pct"/>
            <w:tcBorders>
              <w:tl2br w:val="nil"/>
              <w:tr2bl w:val="nil"/>
            </w:tcBorders>
            <w:vAlign w:val="center"/>
          </w:tcPr>
          <w:p w14:paraId="2952F20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土地价值</w:t>
            </w:r>
          </w:p>
        </w:tc>
        <w:tc>
          <w:tcPr>
            <w:tcW w:w="2681" w:type="pct"/>
            <w:tcBorders>
              <w:tl2br w:val="nil"/>
              <w:tr2bl w:val="nil"/>
            </w:tcBorders>
            <w:vAlign w:val="center"/>
          </w:tcPr>
          <w:p w14:paraId="302E844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利用价值转换，利</w:t>
            </w:r>
            <w:r>
              <w:rPr>
                <w:rFonts w:hint="eastAsia"/>
                <w:color w:val="000000" w:themeColor="text1"/>
                <w14:textFill>
                  <w14:solidFill>
                    <w14:schemeClr w14:val="tx1"/>
                  </w14:solidFill>
                </w14:textFill>
              </w:rPr>
              <w:t>大于</w:t>
            </w:r>
            <w:r>
              <w:rPr>
                <w:color w:val="000000" w:themeColor="text1"/>
                <w14:textFill>
                  <w14:solidFill>
                    <w14:schemeClr w14:val="tx1"/>
                  </w14:solidFill>
                </w14:textFill>
              </w:rPr>
              <w:t>弊</w:t>
            </w:r>
            <w:r>
              <w:rPr>
                <w:rFonts w:hint="eastAsia"/>
                <w:color w:val="000000" w:themeColor="text1"/>
                <w14:textFill>
                  <w14:solidFill>
                    <w14:schemeClr w14:val="tx1"/>
                  </w14:solidFill>
                </w14:textFill>
              </w:rPr>
              <w:t>，利于乡镇拓展</w:t>
            </w:r>
          </w:p>
        </w:tc>
        <w:tc>
          <w:tcPr>
            <w:tcW w:w="385" w:type="pct"/>
            <w:tcBorders>
              <w:tl2br w:val="nil"/>
              <w:tr2bl w:val="nil"/>
            </w:tcBorders>
            <w:vAlign w:val="center"/>
          </w:tcPr>
          <w:p w14:paraId="5F97B62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527" w:type="pct"/>
            <w:vMerge w:val="continue"/>
            <w:tcBorders>
              <w:tl2br w:val="nil"/>
              <w:tr2bl w:val="nil"/>
            </w:tcBorders>
            <w:vAlign w:val="center"/>
          </w:tcPr>
          <w:p w14:paraId="7043F22C">
            <w:pPr>
              <w:pStyle w:val="105"/>
              <w:rPr>
                <w:color w:val="000000" w:themeColor="text1"/>
                <w14:textFill>
                  <w14:solidFill>
                    <w14:schemeClr w14:val="tx1"/>
                  </w14:solidFill>
                </w14:textFill>
              </w:rPr>
            </w:pPr>
          </w:p>
        </w:tc>
      </w:tr>
      <w:tr w14:paraId="5850B139">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44" w:hRule="atLeast"/>
        </w:trPr>
        <w:tc>
          <w:tcPr>
            <w:tcW w:w="369" w:type="pct"/>
            <w:tcBorders>
              <w:tl2br w:val="nil"/>
              <w:tr2bl w:val="nil"/>
            </w:tcBorders>
            <w:vAlign w:val="center"/>
          </w:tcPr>
          <w:p w14:paraId="7942288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12</w:t>
            </w:r>
          </w:p>
        </w:tc>
        <w:tc>
          <w:tcPr>
            <w:tcW w:w="1038" w:type="pct"/>
            <w:tcBorders>
              <w:tl2br w:val="nil"/>
              <w:tr2bl w:val="nil"/>
            </w:tcBorders>
            <w:vAlign w:val="center"/>
          </w:tcPr>
          <w:p w14:paraId="1E4D97D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直接效益</w:t>
            </w:r>
          </w:p>
        </w:tc>
        <w:tc>
          <w:tcPr>
            <w:tcW w:w="2681" w:type="pct"/>
            <w:tcBorders>
              <w:tl2br w:val="nil"/>
              <w:tr2bl w:val="nil"/>
            </w:tcBorders>
            <w:vAlign w:val="center"/>
          </w:tcPr>
          <w:p w14:paraId="4FD7FFB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缩短里程、节约在途时间、降低油耗、运输成本、提高舒适、安全性等效益</w:t>
            </w:r>
          </w:p>
        </w:tc>
        <w:tc>
          <w:tcPr>
            <w:tcW w:w="385" w:type="pct"/>
            <w:tcBorders>
              <w:tl2br w:val="nil"/>
              <w:tr2bl w:val="nil"/>
            </w:tcBorders>
            <w:vAlign w:val="center"/>
          </w:tcPr>
          <w:p w14:paraId="7CD44E4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p>
        </w:tc>
        <w:tc>
          <w:tcPr>
            <w:tcW w:w="527" w:type="pct"/>
            <w:vMerge w:val="continue"/>
            <w:tcBorders>
              <w:tl2br w:val="nil"/>
              <w:tr2bl w:val="nil"/>
            </w:tcBorders>
            <w:vAlign w:val="center"/>
          </w:tcPr>
          <w:p w14:paraId="46DEF042">
            <w:pPr>
              <w:pStyle w:val="105"/>
              <w:rPr>
                <w:color w:val="000000" w:themeColor="text1"/>
                <w14:textFill>
                  <w14:solidFill>
                    <w14:schemeClr w14:val="tx1"/>
                  </w14:solidFill>
                </w14:textFill>
              </w:rPr>
            </w:pPr>
          </w:p>
        </w:tc>
      </w:tr>
      <w:tr w14:paraId="2E9CB2B5">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46" w:hRule="atLeast"/>
        </w:trPr>
        <w:tc>
          <w:tcPr>
            <w:tcW w:w="369" w:type="pct"/>
            <w:tcBorders>
              <w:tl2br w:val="nil"/>
              <w:tr2bl w:val="nil"/>
            </w:tcBorders>
            <w:vAlign w:val="center"/>
          </w:tcPr>
          <w:p w14:paraId="13C8355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13</w:t>
            </w:r>
          </w:p>
        </w:tc>
        <w:tc>
          <w:tcPr>
            <w:tcW w:w="1038" w:type="pct"/>
            <w:tcBorders>
              <w:tl2br w:val="nil"/>
              <w:tr2bl w:val="nil"/>
            </w:tcBorders>
            <w:vAlign w:val="center"/>
          </w:tcPr>
          <w:p w14:paraId="17FA93C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间接效益</w:t>
            </w:r>
          </w:p>
        </w:tc>
        <w:tc>
          <w:tcPr>
            <w:tcW w:w="2681" w:type="pct"/>
            <w:tcBorders>
              <w:tl2br w:val="nil"/>
              <w:tr2bl w:val="nil"/>
            </w:tcBorders>
            <w:vAlign w:val="center"/>
          </w:tcPr>
          <w:p w14:paraId="3C6445C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促进城镇建设、社会文明进步、带动相关产业发展、提高全民环境保护意识等</w:t>
            </w:r>
          </w:p>
        </w:tc>
        <w:tc>
          <w:tcPr>
            <w:tcW w:w="385" w:type="pct"/>
            <w:tcBorders>
              <w:tl2br w:val="nil"/>
              <w:tr2bl w:val="nil"/>
            </w:tcBorders>
            <w:vAlign w:val="center"/>
          </w:tcPr>
          <w:p w14:paraId="0C8B045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+2</w:t>
            </w:r>
          </w:p>
        </w:tc>
        <w:tc>
          <w:tcPr>
            <w:tcW w:w="527" w:type="pct"/>
            <w:vMerge w:val="continue"/>
            <w:tcBorders>
              <w:tl2br w:val="nil"/>
              <w:tr2bl w:val="nil"/>
            </w:tcBorders>
            <w:vAlign w:val="center"/>
          </w:tcPr>
          <w:p w14:paraId="7E3E8B49">
            <w:pPr>
              <w:pStyle w:val="105"/>
              <w:rPr>
                <w:color w:val="000000" w:themeColor="text1"/>
                <w14:textFill>
                  <w14:solidFill>
                    <w14:schemeClr w14:val="tx1"/>
                  </w14:solidFill>
                </w14:textFill>
              </w:rPr>
            </w:pPr>
          </w:p>
        </w:tc>
      </w:tr>
      <w:tr w14:paraId="2FC01315">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88" w:hRule="atLeast"/>
        </w:trPr>
        <w:tc>
          <w:tcPr>
            <w:tcW w:w="369" w:type="pct"/>
            <w:tcBorders>
              <w:tl2br w:val="nil"/>
              <w:tr2bl w:val="nil"/>
            </w:tcBorders>
            <w:vAlign w:val="center"/>
          </w:tcPr>
          <w:p w14:paraId="2BC76BA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14</w:t>
            </w:r>
          </w:p>
        </w:tc>
        <w:tc>
          <w:tcPr>
            <w:tcW w:w="1038" w:type="pct"/>
            <w:tcBorders>
              <w:tl2br w:val="nil"/>
              <w:tr2bl w:val="nil"/>
            </w:tcBorders>
            <w:vAlign w:val="center"/>
          </w:tcPr>
          <w:p w14:paraId="01F2B27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环保措施</w:t>
            </w:r>
          </w:p>
        </w:tc>
        <w:tc>
          <w:tcPr>
            <w:tcW w:w="2681" w:type="pct"/>
            <w:tcBorders>
              <w:tl2br w:val="nil"/>
              <w:tr2bl w:val="nil"/>
            </w:tcBorders>
            <w:vAlign w:val="center"/>
          </w:tcPr>
          <w:p w14:paraId="50DF854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增加工程环保投资和维护管理成本</w:t>
            </w:r>
          </w:p>
        </w:tc>
        <w:tc>
          <w:tcPr>
            <w:tcW w:w="385" w:type="pct"/>
            <w:tcBorders>
              <w:tl2br w:val="nil"/>
              <w:tr2bl w:val="nil"/>
            </w:tcBorders>
            <w:vAlign w:val="center"/>
          </w:tcPr>
          <w:p w14:paraId="5A5B38C6">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w:t>
            </w:r>
            <w:r>
              <w:rPr>
                <w:rFonts w:hint="eastAsia"/>
                <w:color w:val="000000" w:themeColor="text1"/>
                <w14:textFill>
                  <w14:solidFill>
                    <w14:schemeClr w14:val="tx1"/>
                  </w14:solidFill>
                </w14:textFill>
              </w:rPr>
              <w:t>1</w:t>
            </w:r>
          </w:p>
        </w:tc>
        <w:tc>
          <w:tcPr>
            <w:tcW w:w="527" w:type="pct"/>
            <w:vMerge w:val="continue"/>
            <w:tcBorders>
              <w:tl2br w:val="nil"/>
              <w:tr2bl w:val="nil"/>
            </w:tcBorders>
            <w:vAlign w:val="center"/>
          </w:tcPr>
          <w:p w14:paraId="7381456B">
            <w:pPr>
              <w:pStyle w:val="105"/>
              <w:rPr>
                <w:color w:val="000000" w:themeColor="text1"/>
                <w14:textFill>
                  <w14:solidFill>
                    <w14:schemeClr w14:val="tx1"/>
                  </w14:solidFill>
                </w14:textFill>
              </w:rPr>
            </w:pPr>
          </w:p>
        </w:tc>
      </w:tr>
      <w:tr w14:paraId="3D21DA33">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51" w:hRule="atLeast"/>
        </w:trPr>
        <w:tc>
          <w:tcPr>
            <w:tcW w:w="1407" w:type="pct"/>
            <w:gridSpan w:val="2"/>
            <w:vMerge w:val="restart"/>
            <w:tcBorders>
              <w:tl2br w:val="nil"/>
              <w:tr2bl w:val="nil"/>
            </w:tcBorders>
            <w:vAlign w:val="center"/>
          </w:tcPr>
          <w:p w14:paraId="6187390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合计</w:t>
            </w:r>
          </w:p>
        </w:tc>
        <w:tc>
          <w:tcPr>
            <w:tcW w:w="2681" w:type="pct"/>
            <w:tcBorders>
              <w:tl2br w:val="nil"/>
              <w:tr2bl w:val="nil"/>
            </w:tcBorders>
            <w:vAlign w:val="center"/>
          </w:tcPr>
          <w:p w14:paraId="19A2772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正效益：（+16）；负效益：（-5）；</w:t>
            </w:r>
          </w:p>
        </w:tc>
        <w:tc>
          <w:tcPr>
            <w:tcW w:w="385" w:type="pct"/>
            <w:vMerge w:val="restart"/>
            <w:tcBorders>
              <w:tl2br w:val="nil"/>
              <w:tr2bl w:val="nil"/>
            </w:tcBorders>
            <w:vAlign w:val="center"/>
          </w:tcPr>
          <w:p w14:paraId="0D27C7B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+5</w:t>
            </w:r>
          </w:p>
        </w:tc>
        <w:tc>
          <w:tcPr>
            <w:tcW w:w="527" w:type="pct"/>
            <w:vMerge w:val="continue"/>
            <w:tcBorders>
              <w:tl2br w:val="nil"/>
              <w:tr2bl w:val="nil"/>
            </w:tcBorders>
            <w:vAlign w:val="center"/>
          </w:tcPr>
          <w:p w14:paraId="3FF5D3CB">
            <w:pPr>
              <w:pStyle w:val="105"/>
              <w:rPr>
                <w:color w:val="000000" w:themeColor="text1"/>
                <w14:textFill>
                  <w14:solidFill>
                    <w14:schemeClr w14:val="tx1"/>
                  </w14:solidFill>
                </w14:textFill>
              </w:rPr>
            </w:pPr>
          </w:p>
        </w:tc>
      </w:tr>
      <w:tr w14:paraId="44DEA4C9">
        <w:tblPrEx>
          <w:tblBorders>
            <w:top w:val="single" w:color="000000" w:sz="12" w:space="0"/>
            <w:left w:val="none" w:color="auto" w:sz="0" w:space="0"/>
            <w:bottom w:val="single" w:color="000000" w:sz="12" w:space="0"/>
            <w:right w:val="none" w:color="auto" w:sz="0" w:space="0"/>
            <w:insideH w:val="single" w:color="000000" w:sz="8" w:space="0"/>
            <w:insideV w:val="single" w:color="000000" w:sz="4" w:space="0"/>
          </w:tblBorders>
          <w:tblCellMar>
            <w:top w:w="0" w:type="dxa"/>
            <w:left w:w="0" w:type="dxa"/>
            <w:bottom w:w="0" w:type="dxa"/>
            <w:right w:w="0" w:type="dxa"/>
          </w:tblCellMar>
        </w:tblPrEx>
        <w:trPr>
          <w:trHeight w:val="252" w:hRule="atLeast"/>
        </w:trPr>
        <w:tc>
          <w:tcPr>
            <w:tcW w:w="1407" w:type="pct"/>
            <w:gridSpan w:val="2"/>
            <w:vMerge w:val="continue"/>
            <w:tcBorders>
              <w:tl2br w:val="nil"/>
              <w:tr2bl w:val="nil"/>
            </w:tcBorders>
            <w:vAlign w:val="center"/>
          </w:tcPr>
          <w:p w14:paraId="609724C5">
            <w:pPr>
              <w:pStyle w:val="105"/>
              <w:jc w:val="center"/>
              <w:rPr>
                <w:color w:val="000000" w:themeColor="text1"/>
                <w14:textFill>
                  <w14:solidFill>
                    <w14:schemeClr w14:val="tx1"/>
                  </w14:solidFill>
                </w14:textFill>
              </w:rPr>
            </w:pPr>
          </w:p>
        </w:tc>
        <w:tc>
          <w:tcPr>
            <w:tcW w:w="2681" w:type="pct"/>
            <w:tcBorders>
              <w:tl2br w:val="nil"/>
              <w:tr2bl w:val="nil"/>
            </w:tcBorders>
            <w:vAlign w:val="center"/>
          </w:tcPr>
          <w:p w14:paraId="10798E7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正效益/负效益＝</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.86</w:t>
            </w:r>
          </w:p>
        </w:tc>
        <w:tc>
          <w:tcPr>
            <w:tcW w:w="385" w:type="pct"/>
            <w:vMerge w:val="continue"/>
            <w:tcBorders>
              <w:tl2br w:val="nil"/>
              <w:tr2bl w:val="nil"/>
            </w:tcBorders>
            <w:vAlign w:val="center"/>
          </w:tcPr>
          <w:p w14:paraId="08DE9CB3">
            <w:pPr>
              <w:pStyle w:val="105"/>
              <w:rPr>
                <w:color w:val="000000" w:themeColor="text1"/>
                <w14:textFill>
                  <w14:solidFill>
                    <w14:schemeClr w14:val="tx1"/>
                  </w14:solidFill>
                </w14:textFill>
              </w:rPr>
            </w:pPr>
          </w:p>
        </w:tc>
        <w:tc>
          <w:tcPr>
            <w:tcW w:w="527" w:type="pct"/>
            <w:vMerge w:val="continue"/>
            <w:tcBorders>
              <w:tl2br w:val="nil"/>
              <w:tr2bl w:val="nil"/>
            </w:tcBorders>
            <w:vAlign w:val="center"/>
          </w:tcPr>
          <w:p w14:paraId="319E5494">
            <w:pPr>
              <w:pStyle w:val="105"/>
              <w:rPr>
                <w:color w:val="000000" w:themeColor="text1"/>
                <w14:textFill>
                  <w14:solidFill>
                    <w14:schemeClr w14:val="tx1"/>
                  </w14:solidFill>
                </w14:textFill>
              </w:rPr>
            </w:pPr>
          </w:p>
        </w:tc>
      </w:tr>
    </w:tbl>
    <w:p w14:paraId="3A169ED4">
      <w:pPr>
        <w:pStyle w:val="124"/>
        <w:rPr>
          <w:color w:val="000000" w:themeColor="text1"/>
          <w14:textFill>
            <w14:solidFill>
              <w14:schemeClr w14:val="tx1"/>
            </w14:solidFill>
          </w14:textFill>
        </w:rPr>
      </w:pPr>
      <w:r>
        <w:rPr>
          <w:color w:val="000000" w:themeColor="text1"/>
          <w14:textFill>
            <w14:solidFill>
              <w14:schemeClr w14:val="tx1"/>
            </w14:solidFill>
          </w14:textFill>
        </w:rPr>
        <w:t>环境损益分析结果表明，拟建公路环境正效益分别是负效益的1.86倍，说明拟建项目所产生的环境经济的正效益占主导地位，从环保角度来看该项目是可行的。</w:t>
      </w:r>
    </w:p>
    <w:p w14:paraId="7884A90F">
      <w:pPr>
        <w:pStyle w:val="116"/>
        <w:rPr>
          <w:color w:val="000000" w:themeColor="text1"/>
          <w14:textFill>
            <w14:solidFill>
              <w14:schemeClr w14:val="tx1"/>
            </w14:solidFill>
          </w14:textFill>
        </w:rPr>
      </w:pPr>
      <w:bookmarkStart w:id="917" w:name="_Toc434828828"/>
      <w:bookmarkStart w:id="918" w:name="_Toc154668073"/>
      <w:bookmarkStart w:id="919" w:name="_Toc477789400"/>
      <w:bookmarkStart w:id="920" w:name="_Toc434828500"/>
      <w:bookmarkStart w:id="921" w:name="_Toc434829316"/>
      <w:bookmarkStart w:id="922" w:name="_Toc437962208"/>
      <w:bookmarkStart w:id="923" w:name="_Toc268722004"/>
      <w:bookmarkStart w:id="924" w:name="_Toc434828952"/>
      <w:bookmarkStart w:id="925" w:name="_Toc193912402"/>
      <w:bookmarkStart w:id="926" w:name="_Toc149645969"/>
      <w:bookmarkStart w:id="927" w:name="_Toc268722160"/>
      <w:bookmarkStart w:id="928" w:name="_Toc159405496"/>
      <w:bookmarkStart w:id="929" w:name="_Toc350866588"/>
      <w:bookmarkStart w:id="930" w:name="_Toc339883017"/>
      <w:r>
        <w:rPr>
          <w:color w:val="000000" w:themeColor="text1"/>
          <w14:textFill>
            <w14:solidFill>
              <w14:schemeClr w14:val="tx1"/>
            </w14:solidFill>
          </w14:textFill>
        </w:rPr>
        <w:t>效益分析小结</w:t>
      </w:r>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p>
    <w:p w14:paraId="389F666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建设将带来较大的社会、经济效益。特别在社会经济方面，对国民经济具有明显的拉动作用。环境损失以永久性占用土地，使农业和生态环境受到一些负面影响。经环境影响损益分析，环境损益效益为正效益，说明项目在评价期内，效益大于损失，从环境经济角度考虑，项目建设基本可行。</w:t>
      </w:r>
    </w:p>
    <w:p w14:paraId="1BB739F2">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sectPr>
          <w:pgSz w:w="11910" w:h="16840"/>
          <w:pgMar w:top="1418" w:right="1418" w:bottom="1418" w:left="1418" w:header="851" w:footer="851" w:gutter="0"/>
          <w:cols w:space="720" w:num="1"/>
        </w:sectPr>
      </w:pPr>
    </w:p>
    <w:p w14:paraId="1BD48145">
      <w:pPr>
        <w:pStyle w:val="114"/>
        <w:rPr>
          <w:color w:val="000000" w:themeColor="text1"/>
          <w14:textFill>
            <w14:solidFill>
              <w14:schemeClr w14:val="tx1"/>
            </w14:solidFill>
          </w14:textFill>
        </w:rPr>
      </w:pPr>
      <w:bookmarkStart w:id="931" w:name="8环境管理与监测计划"/>
      <w:bookmarkEnd w:id="931"/>
      <w:bookmarkStart w:id="932" w:name="_Toc22516"/>
      <w:bookmarkStart w:id="933" w:name="_Toc159405497"/>
      <w:bookmarkStart w:id="934" w:name="_Toc193912403"/>
      <w:r>
        <w:rPr>
          <w:color w:val="000000" w:themeColor="text1"/>
          <w14:textFill>
            <w14:solidFill>
              <w14:schemeClr w14:val="tx1"/>
            </w14:solidFill>
          </w14:textFill>
        </w:rPr>
        <w:t>环境管理与监测计划</w:t>
      </w:r>
      <w:bookmarkEnd w:id="932"/>
      <w:bookmarkEnd w:id="933"/>
      <w:bookmarkEnd w:id="934"/>
    </w:p>
    <w:p w14:paraId="3CC51C15">
      <w:pPr>
        <w:pStyle w:val="116"/>
        <w:rPr>
          <w:color w:val="000000" w:themeColor="text1"/>
          <w14:textFill>
            <w14:solidFill>
              <w14:schemeClr w14:val="tx1"/>
            </w14:solidFill>
          </w14:textFill>
        </w:rPr>
      </w:pPr>
      <w:bookmarkStart w:id="935" w:name="8.1环境保护管理计划"/>
      <w:bookmarkEnd w:id="935"/>
      <w:bookmarkStart w:id="936" w:name="_Toc159405498"/>
      <w:bookmarkStart w:id="937" w:name="_Toc193912404"/>
      <w:bookmarkStart w:id="938" w:name="_Toc20262"/>
      <w:r>
        <w:rPr>
          <w:color w:val="000000" w:themeColor="text1"/>
          <w14:textFill>
            <w14:solidFill>
              <w14:schemeClr w14:val="tx1"/>
            </w14:solidFill>
          </w14:textFill>
        </w:rPr>
        <w:t>环境保护管理计划</w:t>
      </w:r>
      <w:bookmarkEnd w:id="936"/>
      <w:bookmarkEnd w:id="937"/>
      <w:bookmarkEnd w:id="938"/>
    </w:p>
    <w:p w14:paraId="1D7966A4">
      <w:pPr>
        <w:pStyle w:val="120"/>
        <w:rPr>
          <w:color w:val="000000" w:themeColor="text1"/>
          <w14:textFill>
            <w14:solidFill>
              <w14:schemeClr w14:val="tx1"/>
            </w14:solidFill>
          </w14:textFill>
        </w:rPr>
      </w:pPr>
      <w:bookmarkStart w:id="939" w:name="8.1.1环境管理计划目标"/>
      <w:bookmarkEnd w:id="939"/>
      <w:r>
        <w:rPr>
          <w:color w:val="000000" w:themeColor="text1"/>
          <w14:textFill>
            <w14:solidFill>
              <w14:schemeClr w14:val="tx1"/>
            </w14:solidFill>
          </w14:textFill>
        </w:rPr>
        <w:t>环境管理计划目标</w:t>
      </w:r>
    </w:p>
    <w:p w14:paraId="72958A6C">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r>
        <w:rPr>
          <w:rFonts w:ascii="Times New Roman" w:hAnsi="Times New Roman" w:cs="Times New Roman"/>
          <w:color w:val="000000" w:themeColor="text1"/>
          <w:spacing w:val="-3"/>
          <w14:textFill>
            <w14:solidFill>
              <w14:schemeClr w14:val="tx1"/>
            </w14:solidFill>
          </w14:textFill>
        </w:rPr>
        <w:t>通过制定系统的、科学的环境管理计划，使本报告书针对</w:t>
      </w:r>
      <w:r>
        <w:rPr>
          <w:rFonts w:hint="eastAsia" w:ascii="Times New Roman" w:hAnsi="Times New Roman" w:cs="Times New Roman"/>
          <w:color w:val="000000" w:themeColor="text1"/>
          <w:spacing w:val="-3"/>
          <w14:textFill>
            <w14:solidFill>
              <w14:schemeClr w14:val="tx1"/>
            </w14:solidFill>
          </w14:textFill>
        </w:rPr>
        <w:t>黄檗山万福寺</w:t>
      </w:r>
      <w:r>
        <w:rPr>
          <w:rFonts w:ascii="Times New Roman" w:hAnsi="Times New Roman" w:cs="Times New Roman"/>
          <w:color w:val="000000" w:themeColor="text1"/>
          <w:spacing w:val="-3"/>
          <w14:textFill>
            <w14:solidFill>
              <w14:schemeClr w14:val="tx1"/>
            </w14:solidFill>
          </w14:textFill>
        </w:rPr>
        <w:t>旅游公路建设过程中产生的负面环境影响所提出的防治或减缓措施，在该项目的设计、施工和</w:t>
      </w:r>
      <w:r>
        <w:rPr>
          <w:rFonts w:hint="eastAsia" w:ascii="Times New Roman" w:hAnsi="Times New Roman" w:cs="Times New Roman"/>
          <w:color w:val="000000" w:themeColor="text1"/>
          <w:spacing w:val="-3"/>
          <w14:textFill>
            <w14:solidFill>
              <w14:schemeClr w14:val="tx1"/>
            </w14:solidFill>
          </w14:textFill>
        </w:rPr>
        <w:t>运营</w:t>
      </w:r>
      <w:r>
        <w:rPr>
          <w:rFonts w:ascii="Times New Roman" w:hAnsi="Times New Roman" w:cs="Times New Roman"/>
          <w:color w:val="000000" w:themeColor="text1"/>
          <w:spacing w:val="-3"/>
          <w14:textFill>
            <w14:solidFill>
              <w14:schemeClr w14:val="tx1"/>
            </w14:solidFill>
          </w14:textFill>
        </w:rPr>
        <w:t>中逐步得到落实，从而使得环境建设和公路主体工程建设符合国家同步设计、同步实施和同步投产使用的“三同时”制度要求。为环境保护措施得以有计划</w:t>
      </w:r>
      <w:r>
        <w:rPr>
          <w:rFonts w:hint="eastAsia" w:ascii="Times New Roman" w:hAnsi="Times New Roman" w:cs="Times New Roman"/>
          <w:color w:val="000000" w:themeColor="text1"/>
          <w:spacing w:val="-3"/>
          <w14:textFill>
            <w14:solidFill>
              <w14:schemeClr w14:val="tx1"/>
            </w14:solidFill>
          </w14:textFill>
        </w:rPr>
        <w:t>地</w:t>
      </w:r>
      <w:r>
        <w:rPr>
          <w:rFonts w:ascii="Times New Roman" w:hAnsi="Times New Roman" w:cs="Times New Roman"/>
          <w:color w:val="000000" w:themeColor="text1"/>
          <w:spacing w:val="-3"/>
          <w14:textFill>
            <w14:solidFill>
              <w14:schemeClr w14:val="tx1"/>
            </w14:solidFill>
          </w14:textFill>
        </w:rPr>
        <w:t>落实和地方环保部门对其进行监督提供依据。通过环境管理计划的实施，将拟建公路对沿线环境带来的不利影响减缓到相应法规和标准限值要求之内，使工程建设的经济效益和环境效益得以协调、持续和稳定发展。</w:t>
      </w:r>
    </w:p>
    <w:p w14:paraId="74A7F779">
      <w:pPr>
        <w:pStyle w:val="120"/>
        <w:rPr>
          <w:color w:val="000000" w:themeColor="text1"/>
          <w14:textFill>
            <w14:solidFill>
              <w14:schemeClr w14:val="tx1"/>
            </w14:solidFill>
          </w14:textFill>
        </w:rPr>
      </w:pPr>
      <w:bookmarkStart w:id="940" w:name="8.1.2环境保护管理机构及职责"/>
      <w:bookmarkEnd w:id="940"/>
      <w:r>
        <w:rPr>
          <w:color w:val="000000" w:themeColor="text1"/>
          <w14:textFill>
            <w14:solidFill>
              <w14:schemeClr w14:val="tx1"/>
            </w14:solidFill>
          </w14:textFill>
        </w:rPr>
        <w:t>环境保护管理机构及职责</w:t>
      </w:r>
    </w:p>
    <w:p w14:paraId="102530AB">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r>
        <w:rPr>
          <w:rFonts w:ascii="Times New Roman" w:hAnsi="Times New Roman" w:cs="Times New Roman"/>
          <w:color w:val="000000" w:themeColor="text1"/>
          <w:spacing w:val="-3"/>
          <w14:textFill>
            <w14:solidFill>
              <w14:schemeClr w14:val="tx1"/>
            </w14:solidFill>
          </w14:textFill>
        </w:rPr>
        <w:t>为保证环境管理任务的顺利实施，建设单位应设立专门的环保机构和专职负责人，负责本项目的施工期和运营期的环境管理工作，负责贯彻、执行国家和福建省各项环保方针、政策、法规和地方环境保护管理规定。</w:t>
      </w:r>
      <w:r>
        <w:rPr>
          <w:rFonts w:hint="eastAsia" w:ascii="Times New Roman" w:hAnsi="Times New Roman" w:cs="Times New Roman"/>
          <w:color w:val="000000" w:themeColor="text1"/>
          <w:spacing w:val="-3"/>
          <w14:textFill>
            <w14:solidFill>
              <w14:schemeClr w14:val="tx1"/>
            </w14:solidFill>
          </w14:textFill>
        </w:rPr>
        <w:t>福清市交通建设投资集团有限公司</w:t>
      </w:r>
      <w:r>
        <w:rPr>
          <w:rFonts w:ascii="Times New Roman" w:hAnsi="Times New Roman" w:cs="Times New Roman"/>
          <w:color w:val="000000" w:themeColor="text1"/>
          <w:spacing w:val="-3"/>
          <w14:textFill>
            <w14:solidFill>
              <w14:schemeClr w14:val="tx1"/>
            </w14:solidFill>
          </w14:textFill>
        </w:rPr>
        <w:t>为本项目的建设实施单位</w:t>
      </w:r>
      <w:r>
        <w:rPr>
          <w:rFonts w:hint="eastAsia" w:ascii="Times New Roman" w:hAnsi="Times New Roman" w:cs="Times New Roman"/>
          <w:color w:val="000000" w:themeColor="text1"/>
          <w:spacing w:val="-3"/>
          <w14:textFill>
            <w14:solidFill>
              <w14:schemeClr w14:val="tx1"/>
            </w14:solidFill>
          </w14:textFill>
        </w:rPr>
        <w:t>，</w:t>
      </w:r>
      <w:r>
        <w:rPr>
          <w:rFonts w:ascii="Times New Roman" w:hAnsi="Times New Roman" w:cs="Times New Roman"/>
          <w:color w:val="000000" w:themeColor="text1"/>
          <w:spacing w:val="-3"/>
          <w14:textFill>
            <w14:solidFill>
              <w14:schemeClr w14:val="tx1"/>
            </w14:solidFill>
          </w14:textFill>
        </w:rPr>
        <w:t>并负责本项目的</w:t>
      </w:r>
      <w:r>
        <w:rPr>
          <w:rFonts w:hint="eastAsia" w:ascii="Times New Roman" w:hAnsi="Times New Roman" w:cs="Times New Roman"/>
          <w:color w:val="000000" w:themeColor="text1"/>
          <w:spacing w:val="-3"/>
          <w14:textFill>
            <w14:solidFill>
              <w14:schemeClr w14:val="tx1"/>
            </w14:solidFill>
          </w14:textFill>
        </w:rPr>
        <w:t>运营</w:t>
      </w:r>
      <w:r>
        <w:rPr>
          <w:rFonts w:ascii="Times New Roman" w:hAnsi="Times New Roman" w:cs="Times New Roman"/>
          <w:color w:val="000000" w:themeColor="text1"/>
          <w:spacing w:val="-3"/>
          <w14:textFill>
            <w14:solidFill>
              <w14:schemeClr w14:val="tx1"/>
            </w14:solidFill>
          </w14:textFill>
        </w:rPr>
        <w:t>管理。本评价建议拟建公路必须根据项目特点建立环境管理和监测体系。该项目的环境管理体系可分为管理机构与监督机构，管理机构见图9.1-1，监督机构为当地生态环境局。</w:t>
      </w:r>
    </w:p>
    <w:p w14:paraId="37F646CD">
      <w:pPr>
        <w:pStyle w:val="105"/>
        <w:jc w:val="center"/>
        <w:rPr>
          <w:rFonts w:cs="Times New Roman"/>
          <w:color w:val="000000" w:themeColor="text1"/>
          <w:sz w:val="6"/>
          <w14:textFill>
            <w14:solidFill>
              <w14:schemeClr w14:val="tx1"/>
            </w14:solidFill>
          </w14:textFill>
        </w:rPr>
      </w:pPr>
      <w:r>
        <w:rPr>
          <w:color w:val="000000" w:themeColor="text1"/>
          <w14:textFill>
            <w14:solidFill>
              <w14:schemeClr w14:val="tx1"/>
            </w14:solidFill>
          </w14:textFill>
        </w:rPr>
        <w:drawing>
          <wp:inline distT="0" distB="0" distL="0" distR="0">
            <wp:extent cx="4171950" cy="2794635"/>
            <wp:effectExtent l="0" t="0" r="0" b="5715"/>
            <wp:docPr id="1593004340" name="图片 159300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04340" name="图片 1593004340"/>
                    <pic:cNvPicPr>
                      <a:picLocks noChangeAspect="1"/>
                    </pic:cNvPicPr>
                  </pic:nvPicPr>
                  <pic:blipFill>
                    <a:blip r:embed="rId147" cstate="email"/>
                    <a:stretch>
                      <a:fillRect/>
                    </a:stretch>
                  </pic:blipFill>
                  <pic:spPr>
                    <a:xfrm>
                      <a:off x="0" y="0"/>
                      <a:ext cx="4175960" cy="2797409"/>
                    </a:xfrm>
                    <a:prstGeom prst="rect">
                      <a:avLst/>
                    </a:prstGeom>
                  </pic:spPr>
                </pic:pic>
              </a:graphicData>
            </a:graphic>
          </wp:inline>
        </w:drawing>
      </w:r>
    </w:p>
    <w:p w14:paraId="230C95DD">
      <w:pPr>
        <w:pStyle w:val="122"/>
        <w:rPr>
          <w:color w:val="000000" w:themeColor="text1"/>
          <w14:textFill>
            <w14:solidFill>
              <w14:schemeClr w14:val="tx1"/>
            </w14:solidFill>
          </w14:textFill>
        </w:rPr>
      </w:pPr>
      <w:r>
        <w:rPr>
          <w:color w:val="000000" w:themeColor="text1"/>
          <w14:textFill>
            <w14:solidFill>
              <w14:schemeClr w14:val="tx1"/>
            </w14:solidFill>
          </w14:textFill>
        </w:rPr>
        <w:t>环境管理机构示意图</w:t>
      </w:r>
    </w:p>
    <w:p w14:paraId="55ED8389">
      <w:pPr>
        <w:pStyle w:val="19"/>
        <w:spacing w:before="2"/>
        <w:ind w:firstLine="480"/>
        <w:jc w:val="center"/>
        <w:rPr>
          <w:rFonts w:ascii="Times New Roman" w:hAnsi="Times New Roman" w:eastAsia="黑体" w:cs="Times New Roman"/>
          <w:bCs/>
          <w:color w:val="000000" w:themeColor="text1"/>
          <w14:textFill>
            <w14:solidFill>
              <w14:schemeClr w14:val="tx1"/>
            </w14:solidFill>
          </w14:textFill>
        </w:rPr>
        <w:sectPr>
          <w:pgSz w:w="11910" w:h="16840"/>
          <w:pgMar w:top="1418" w:right="1418" w:bottom="1418" w:left="1418" w:header="851" w:footer="851" w:gutter="0"/>
          <w:cols w:space="720" w:num="1"/>
        </w:sectPr>
      </w:pPr>
    </w:p>
    <w:p w14:paraId="76A47407">
      <w:pPr>
        <w:ind w:firstLine="480"/>
        <w:rPr>
          <w:color w:val="000000" w:themeColor="text1"/>
          <w14:textFill>
            <w14:solidFill>
              <w14:schemeClr w14:val="tx1"/>
            </w14:solidFill>
          </w14:textFill>
        </w:rPr>
      </w:pPr>
      <w:r>
        <w:rPr>
          <w:color w:val="000000" w:themeColor="text1"/>
          <w14:textFill>
            <w14:solidFill>
              <w14:schemeClr w14:val="tx1"/>
            </w14:solidFill>
          </w14:textFill>
        </w:rPr>
        <w:t>各级环境管理机构在本项目环境保护管理工作中的具体职责见表9.1-1。</w:t>
      </w:r>
    </w:p>
    <w:p w14:paraId="7C809A77">
      <w:pPr>
        <w:pStyle w:val="87"/>
        <w:spacing w:before="120"/>
        <w:rPr>
          <w:color w:val="000000" w:themeColor="text1"/>
          <w14:textFill>
            <w14:solidFill>
              <w14:schemeClr w14:val="tx1"/>
            </w14:solidFill>
          </w14:textFill>
        </w:rPr>
      </w:pPr>
      <w:r>
        <w:rPr>
          <w:color w:val="000000" w:themeColor="text1"/>
          <w14:textFill>
            <w14:solidFill>
              <w14:schemeClr w14:val="tx1"/>
            </w14:solidFill>
          </w14:textFill>
        </w:rPr>
        <w:tab/>
      </w:r>
      <w:r>
        <w:rPr>
          <w:color w:val="000000" w:themeColor="text1"/>
          <w14:textFill>
            <w14:solidFill>
              <w14:schemeClr w14:val="tx1"/>
            </w14:solidFill>
          </w14:textFill>
        </w:rPr>
        <w:t>环境管理机构及其职责</w:t>
      </w:r>
    </w:p>
    <w:tbl>
      <w:tblPr>
        <w:tblStyle w:val="152"/>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85"/>
        <w:gridCol w:w="3827"/>
        <w:gridCol w:w="3262"/>
      </w:tblGrid>
      <w:tr w14:paraId="200312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4" w:hRule="atLeast"/>
          <w:tblHeader/>
          <w:jc w:val="center"/>
        </w:trPr>
        <w:tc>
          <w:tcPr>
            <w:tcW w:w="1094" w:type="pct"/>
            <w:vAlign w:val="center"/>
          </w:tcPr>
          <w:p w14:paraId="22D2014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机构名称</w:t>
            </w:r>
          </w:p>
        </w:tc>
        <w:tc>
          <w:tcPr>
            <w:tcW w:w="2109" w:type="pct"/>
            <w:vAlign w:val="center"/>
          </w:tcPr>
          <w:p w14:paraId="6C8F74B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机构职责</w:t>
            </w:r>
          </w:p>
        </w:tc>
        <w:tc>
          <w:tcPr>
            <w:tcW w:w="1797" w:type="pct"/>
            <w:vAlign w:val="center"/>
          </w:tcPr>
          <w:p w14:paraId="6B0AE70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2039AE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644" w:hRule="atLeast"/>
          <w:tblHeader/>
          <w:jc w:val="center"/>
        </w:trPr>
        <w:tc>
          <w:tcPr>
            <w:tcW w:w="1094" w:type="pct"/>
            <w:vMerge w:val="restart"/>
            <w:vAlign w:val="center"/>
          </w:tcPr>
          <w:p w14:paraId="14B95F4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w:t>
            </w:r>
          </w:p>
        </w:tc>
        <w:tc>
          <w:tcPr>
            <w:tcW w:w="2109" w:type="pct"/>
            <w:vAlign w:val="center"/>
          </w:tcPr>
          <w:p w14:paraId="685D993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负责本项目施工期环境计划的实施与管理工作。</w:t>
            </w:r>
          </w:p>
        </w:tc>
        <w:tc>
          <w:tcPr>
            <w:tcW w:w="1797" w:type="pct"/>
            <w:vAlign w:val="center"/>
          </w:tcPr>
          <w:p w14:paraId="2BD8D74D">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施工期成立环保领导小组，下设环保办，具体负责施工期环境管理工作。</w:t>
            </w:r>
          </w:p>
        </w:tc>
      </w:tr>
      <w:tr w14:paraId="58D862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17" w:hRule="atLeast"/>
          <w:tblHeader/>
          <w:jc w:val="center"/>
        </w:trPr>
        <w:tc>
          <w:tcPr>
            <w:tcW w:w="1094" w:type="pct"/>
            <w:vMerge w:val="continue"/>
            <w:vAlign w:val="center"/>
          </w:tcPr>
          <w:p w14:paraId="7525CFA5">
            <w:pPr>
              <w:pStyle w:val="105"/>
              <w:jc w:val="center"/>
              <w:rPr>
                <w:color w:val="000000" w:themeColor="text1"/>
                <w14:textFill>
                  <w14:solidFill>
                    <w14:schemeClr w14:val="tx1"/>
                  </w14:solidFill>
                </w14:textFill>
              </w:rPr>
            </w:pPr>
          </w:p>
        </w:tc>
        <w:tc>
          <w:tcPr>
            <w:tcW w:w="2109" w:type="pct"/>
            <w:vAlign w:val="center"/>
          </w:tcPr>
          <w:p w14:paraId="164AD72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负责竣工环境保护验收</w:t>
            </w:r>
          </w:p>
        </w:tc>
        <w:tc>
          <w:tcPr>
            <w:tcW w:w="1797" w:type="pct"/>
            <w:vAlign w:val="center"/>
          </w:tcPr>
          <w:p w14:paraId="3C11F9B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组织竣工环境保护自验工作</w:t>
            </w:r>
          </w:p>
        </w:tc>
      </w:tr>
      <w:tr w14:paraId="7ADA09D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427" w:hRule="atLeast"/>
          <w:tblHeader/>
          <w:jc w:val="center"/>
        </w:trPr>
        <w:tc>
          <w:tcPr>
            <w:tcW w:w="1094" w:type="pct"/>
            <w:vMerge w:val="continue"/>
            <w:vAlign w:val="center"/>
          </w:tcPr>
          <w:p w14:paraId="06335670">
            <w:pPr>
              <w:pStyle w:val="105"/>
              <w:jc w:val="center"/>
              <w:rPr>
                <w:color w:val="000000" w:themeColor="text1"/>
                <w14:textFill>
                  <w14:solidFill>
                    <w14:schemeClr w14:val="tx1"/>
                  </w14:solidFill>
                </w14:textFill>
              </w:rPr>
            </w:pPr>
          </w:p>
        </w:tc>
        <w:tc>
          <w:tcPr>
            <w:tcW w:w="2109" w:type="pct"/>
            <w:vAlign w:val="center"/>
          </w:tcPr>
          <w:p w14:paraId="076C5B5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负责项目竣工环境运营期环境保护工作。</w:t>
            </w:r>
          </w:p>
        </w:tc>
        <w:tc>
          <w:tcPr>
            <w:tcW w:w="1797" w:type="pct"/>
            <w:vAlign w:val="center"/>
          </w:tcPr>
          <w:p w14:paraId="32A2C322">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运营期设立环保科。</w:t>
            </w:r>
          </w:p>
        </w:tc>
      </w:tr>
      <w:tr w14:paraId="660FC21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434" w:hRule="atLeast"/>
          <w:tblHeader/>
          <w:jc w:val="center"/>
        </w:trPr>
        <w:tc>
          <w:tcPr>
            <w:tcW w:w="1094" w:type="pct"/>
            <w:vAlign w:val="center"/>
          </w:tcPr>
          <w:p w14:paraId="4284FBBE">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主体工程设计单位</w:t>
            </w:r>
          </w:p>
        </w:tc>
        <w:tc>
          <w:tcPr>
            <w:tcW w:w="2109" w:type="pct"/>
            <w:vAlign w:val="center"/>
          </w:tcPr>
          <w:p w14:paraId="70775E9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根据环评报告书提出的环保措施与要求，在设计文件中落实。</w:t>
            </w:r>
          </w:p>
        </w:tc>
        <w:tc>
          <w:tcPr>
            <w:tcW w:w="1797" w:type="pct"/>
            <w:vAlign w:val="center"/>
          </w:tcPr>
          <w:p w14:paraId="5CFF1CDF">
            <w:pPr>
              <w:pStyle w:val="105"/>
              <w:jc w:val="center"/>
              <w:rPr>
                <w:color w:val="000000" w:themeColor="text1"/>
                <w14:textFill>
                  <w14:solidFill>
                    <w14:schemeClr w14:val="tx1"/>
                  </w14:solidFill>
                </w14:textFill>
              </w:rPr>
            </w:pPr>
          </w:p>
        </w:tc>
      </w:tr>
      <w:tr w14:paraId="3DE74EF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427" w:hRule="atLeast"/>
          <w:tblHeader/>
          <w:jc w:val="center"/>
        </w:trPr>
        <w:tc>
          <w:tcPr>
            <w:tcW w:w="1094" w:type="pct"/>
            <w:vAlign w:val="center"/>
          </w:tcPr>
          <w:p w14:paraId="74BFFE44">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环保工程设计单位</w:t>
            </w:r>
          </w:p>
        </w:tc>
        <w:tc>
          <w:tcPr>
            <w:tcW w:w="2109" w:type="pct"/>
            <w:vAlign w:val="center"/>
          </w:tcPr>
          <w:p w14:paraId="4F29A06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负责绿化工程、植被恢复等环保工程的设计。</w:t>
            </w:r>
          </w:p>
        </w:tc>
        <w:tc>
          <w:tcPr>
            <w:tcW w:w="1797" w:type="pct"/>
            <w:vAlign w:val="center"/>
          </w:tcPr>
          <w:p w14:paraId="19587EB9">
            <w:pPr>
              <w:pStyle w:val="105"/>
              <w:jc w:val="center"/>
              <w:rPr>
                <w:color w:val="000000" w:themeColor="text1"/>
                <w14:textFill>
                  <w14:solidFill>
                    <w14:schemeClr w14:val="tx1"/>
                  </w14:solidFill>
                </w14:textFill>
              </w:rPr>
            </w:pPr>
          </w:p>
        </w:tc>
      </w:tr>
      <w:tr w14:paraId="355BD0E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427" w:hRule="atLeast"/>
          <w:tblHeader/>
          <w:jc w:val="center"/>
        </w:trPr>
        <w:tc>
          <w:tcPr>
            <w:tcW w:w="1094" w:type="pct"/>
            <w:vAlign w:val="center"/>
          </w:tcPr>
          <w:p w14:paraId="464EE0F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环境监测机构</w:t>
            </w:r>
          </w:p>
        </w:tc>
        <w:tc>
          <w:tcPr>
            <w:tcW w:w="2109" w:type="pct"/>
            <w:vAlign w:val="center"/>
          </w:tcPr>
          <w:p w14:paraId="079B7F4B">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承担本项目施工期与运营期的环境监测工作。</w:t>
            </w:r>
          </w:p>
        </w:tc>
        <w:tc>
          <w:tcPr>
            <w:tcW w:w="1797" w:type="pct"/>
            <w:vAlign w:val="center"/>
          </w:tcPr>
          <w:p w14:paraId="75CC5B20">
            <w:pPr>
              <w:pStyle w:val="105"/>
              <w:jc w:val="center"/>
              <w:rPr>
                <w:color w:val="000000" w:themeColor="text1"/>
                <w14:textFill>
                  <w14:solidFill>
                    <w14:schemeClr w14:val="tx1"/>
                  </w14:solidFill>
                </w14:textFill>
              </w:rPr>
            </w:pPr>
          </w:p>
        </w:tc>
      </w:tr>
      <w:tr w14:paraId="09B5CB2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644" w:hRule="atLeast"/>
          <w:tblHeader/>
          <w:jc w:val="center"/>
        </w:trPr>
        <w:tc>
          <w:tcPr>
            <w:tcW w:w="1094" w:type="pct"/>
            <w:vAlign w:val="center"/>
          </w:tcPr>
          <w:p w14:paraId="37EA5E05">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施工单位</w:t>
            </w:r>
          </w:p>
        </w:tc>
        <w:tc>
          <w:tcPr>
            <w:tcW w:w="2109" w:type="pct"/>
            <w:vAlign w:val="center"/>
          </w:tcPr>
          <w:p w14:paraId="48A3AC61">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负责本单位施工标段内的环境保护工作，具体落实环评报告书中提出的环保措施及要求。</w:t>
            </w:r>
          </w:p>
        </w:tc>
        <w:tc>
          <w:tcPr>
            <w:tcW w:w="1797" w:type="pct"/>
            <w:vAlign w:val="center"/>
          </w:tcPr>
          <w:p w14:paraId="07350C96">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项目部成立环保小组，由某一部门兼环保办，配备</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名以上专职环保人员。</w:t>
            </w:r>
          </w:p>
        </w:tc>
      </w:tr>
      <w:tr w14:paraId="72FB32F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cantSplit/>
          <w:trHeight w:val="224" w:hRule="atLeast"/>
          <w:tblHeader/>
          <w:jc w:val="center"/>
        </w:trPr>
        <w:tc>
          <w:tcPr>
            <w:tcW w:w="1094" w:type="pct"/>
            <w:vAlign w:val="center"/>
          </w:tcPr>
          <w:p w14:paraId="01A74EC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环评单位</w:t>
            </w:r>
          </w:p>
        </w:tc>
        <w:tc>
          <w:tcPr>
            <w:tcW w:w="2109" w:type="pct"/>
            <w:vAlign w:val="center"/>
          </w:tcPr>
          <w:p w14:paraId="3554A887">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承担本项目的环境影响评价工作。</w:t>
            </w:r>
          </w:p>
        </w:tc>
        <w:tc>
          <w:tcPr>
            <w:tcW w:w="1797" w:type="pct"/>
            <w:vAlign w:val="center"/>
          </w:tcPr>
          <w:p w14:paraId="0E2D785F">
            <w:pPr>
              <w:pStyle w:val="105"/>
              <w:jc w:val="center"/>
              <w:rPr>
                <w:color w:val="000000" w:themeColor="text1"/>
                <w14:textFill>
                  <w14:solidFill>
                    <w14:schemeClr w14:val="tx1"/>
                  </w14:solidFill>
                </w14:textFill>
              </w:rPr>
            </w:pPr>
          </w:p>
        </w:tc>
      </w:tr>
    </w:tbl>
    <w:p w14:paraId="3DE5DF9C">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建设前期环境管理</w:t>
      </w:r>
    </w:p>
    <w:p w14:paraId="7AAB56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建设前期的环境管理是指工程设计及施工发包工作中的环境管理。</w:t>
      </w:r>
    </w:p>
    <w:p w14:paraId="100C4D5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设计阶段，建设单位、设计单位将环境影响报告书中提出的各项环保措施落实到工程设计中，并将环保工程投资纳入工程概（预）算中，以实现环保工程“三同时”中的“同时设计”的要求。建设和环保等有关主管部门实施监督管理职能。</w:t>
      </w:r>
    </w:p>
    <w:p w14:paraId="09A8B05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工程发包过程中，建设单位应将环保工程摆在与主体工程同等重要地位，在工程施工招标文件中予以明确，按环境影响报告书的有关要求对施工单位的施工组织方案提出环境保护要求，优先选用环保意识强、环保工程业绩好、能力强的施工单位和队伍，为文明施工、各环保要求能高质量地“同时施工”奠定基础。</w:t>
      </w:r>
    </w:p>
    <w:p w14:paraId="09F36E8A">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施工期环境管理</w:t>
      </w:r>
    </w:p>
    <w:p w14:paraId="7522B4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施工期的环境管理实行包括施工单位、监理单位和建设单位在内的三级管理体制，并接受福清市有关管理部门的监督检查。其中施工单位是本阶段各项环保措施的实施单位，同时要求设计单位做好配合和服务。</w:t>
      </w:r>
    </w:p>
    <w:p w14:paraId="62E706EE">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在这一管理体系中，首先强化施工单位自身的环境意识和环境管理。各施工单位应配备专职或兼职人员负责施工期的环境保护工作，对施工场地的污水排放、扬尘、施工噪声等环境污染控制措施进行自我监督管理。这些人员应是经过培训、具备一定能力和资质的工程技术人员，并赋予相关的职责和权力，使其充分发挥一线环保监管职责。实行环境管理责任制和环境保护考核制，组织主要领导进行环境保护知识培训，增强环保意识。</w:t>
      </w:r>
    </w:p>
    <w:p w14:paraId="7BA76FF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建设单位施工期环境管理的主要职能督促施工单位建立、健全施工管理制度和管理体系，及时掌握全线施工环保动态，当出现重大环保问题或纠纷时，积极组织力量解决，并协助各施工单位处理好与环保部门、公众及利益相关各方的关系。</w:t>
      </w:r>
    </w:p>
    <w:p w14:paraId="38A7C393">
      <w:pPr>
        <w:pStyle w:val="120"/>
        <w:rPr>
          <w:color w:val="000000" w:themeColor="text1"/>
          <w14:textFill>
            <w14:solidFill>
              <w14:schemeClr w14:val="tx1"/>
            </w14:solidFill>
          </w14:textFill>
        </w:rPr>
      </w:pPr>
      <w:bookmarkStart w:id="941" w:name="_Hlk144137223"/>
      <w:r>
        <w:rPr>
          <w:rFonts w:hint="eastAsia"/>
          <w:color w:val="000000" w:themeColor="text1"/>
          <w14:textFill>
            <w14:solidFill>
              <w14:schemeClr w14:val="tx1"/>
            </w14:solidFill>
          </w14:textFill>
        </w:rPr>
        <w:t>运营期环境管理</w:t>
      </w:r>
    </w:p>
    <w:bookmarkEnd w:id="941"/>
    <w:p w14:paraId="23059E93">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运营期的环保工作由运营管理部门承担，环境管理的措施主要是搞好工程沿线的卫生清洁、绿化工作；做好日常环境监测工作，必要时再采取适当的污染防治措施，并接受福州市福清生态环境主管部门的监督管理。</w:t>
      </w:r>
    </w:p>
    <w:p w14:paraId="464E02EF">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环境管理计划</w:t>
      </w:r>
    </w:p>
    <w:p w14:paraId="37B7297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本项目环境管理计</w:t>
      </w:r>
      <w:bookmarkStart w:id="942" w:name="hmcheck_fa4b3e463eb14f4196e9e3703603b5eb"/>
      <w:r>
        <w:rPr>
          <w:rFonts w:hint="eastAsia"/>
          <w:color w:val="000000" w:themeColor="text1"/>
          <w:shd w:val="clear" w:fill="FFAFAA"/>
          <w14:textFill>
            <w14:solidFill>
              <w14:schemeClr w14:val="tx1"/>
            </w14:solidFill>
          </w14:textFill>
        </w:rPr>
        <w:t>划</w:t>
      </w:r>
      <w:bookmarkEnd w:id="942"/>
      <w:r>
        <w:rPr>
          <w:rFonts w:hint="eastAsia"/>
          <w:color w:val="000000" w:themeColor="text1"/>
          <w14:textFill>
            <w14:solidFill>
              <w14:schemeClr w14:val="tx1"/>
            </w14:solidFill>
          </w14:textFill>
        </w:rPr>
        <w:t>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_Ref144237344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表9.1-2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5ECDC2EE">
      <w:pPr>
        <w:pStyle w:val="87"/>
        <w:spacing w:before="120"/>
        <w:rPr>
          <w:color w:val="000000" w:themeColor="text1"/>
          <w14:textFill>
            <w14:solidFill>
              <w14:schemeClr w14:val="tx1"/>
            </w14:solidFill>
          </w14:textFill>
        </w:rPr>
      </w:pPr>
      <w:bookmarkStart w:id="943" w:name="_Ref144237344"/>
      <w:r>
        <w:rPr>
          <w:rFonts w:hint="eastAsia"/>
          <w:color w:val="000000" w:themeColor="text1"/>
          <w14:textFill>
            <w14:solidFill>
              <w14:schemeClr w14:val="tx1"/>
            </w14:solidFill>
          </w14:textFill>
        </w:rPr>
        <w:t>环境管理计划一览表</w:t>
      </w:r>
      <w:bookmarkEnd w:id="943"/>
    </w:p>
    <w:tbl>
      <w:tblPr>
        <w:tblStyle w:val="5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493"/>
        <w:gridCol w:w="2199"/>
        <w:gridCol w:w="3807"/>
        <w:gridCol w:w="822"/>
        <w:gridCol w:w="938"/>
        <w:gridCol w:w="811"/>
      </w:tblGrid>
      <w:tr w14:paraId="6768D8F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blHeader/>
        </w:trPr>
        <w:tc>
          <w:tcPr>
            <w:tcW w:w="272" w:type="pct"/>
            <w:tcBorders>
              <w:left w:val="nil"/>
              <w:bottom w:val="single" w:color="000000" w:sz="4" w:space="0"/>
              <w:right w:val="single" w:color="000000" w:sz="4" w:space="0"/>
            </w:tcBorders>
            <w:vAlign w:val="center"/>
          </w:tcPr>
          <w:p w14:paraId="6839D8F9">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阶</w:t>
            </w:r>
          </w:p>
          <w:p w14:paraId="4019E6F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段</w:t>
            </w:r>
          </w:p>
        </w:tc>
        <w:tc>
          <w:tcPr>
            <w:tcW w:w="1212" w:type="pct"/>
            <w:tcBorders>
              <w:left w:val="single" w:color="000000" w:sz="4" w:space="0"/>
              <w:bottom w:val="single" w:color="000000" w:sz="4" w:space="0"/>
              <w:right w:val="single" w:color="000000" w:sz="4" w:space="0"/>
            </w:tcBorders>
            <w:vAlign w:val="center"/>
          </w:tcPr>
          <w:p w14:paraId="2ED4E0F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潜在的负影响</w:t>
            </w:r>
          </w:p>
        </w:tc>
        <w:tc>
          <w:tcPr>
            <w:tcW w:w="2098" w:type="pct"/>
            <w:tcBorders>
              <w:left w:val="single" w:color="000000" w:sz="4" w:space="0"/>
              <w:bottom w:val="single" w:color="000000" w:sz="4" w:space="0"/>
              <w:right w:val="single" w:color="000000" w:sz="4" w:space="0"/>
            </w:tcBorders>
            <w:vAlign w:val="center"/>
          </w:tcPr>
          <w:p w14:paraId="60478780">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减缓措施</w:t>
            </w:r>
          </w:p>
        </w:tc>
        <w:tc>
          <w:tcPr>
            <w:tcW w:w="453" w:type="pct"/>
            <w:tcBorders>
              <w:left w:val="single" w:color="000000" w:sz="4" w:space="0"/>
              <w:bottom w:val="single" w:color="000000" w:sz="4" w:space="0"/>
              <w:right w:val="single" w:color="000000" w:sz="4" w:space="0"/>
            </w:tcBorders>
            <w:vAlign w:val="center"/>
          </w:tcPr>
          <w:p w14:paraId="35050CF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实施</w:t>
            </w:r>
          </w:p>
          <w:p w14:paraId="4FF4648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机构</w:t>
            </w:r>
          </w:p>
        </w:tc>
        <w:tc>
          <w:tcPr>
            <w:tcW w:w="517" w:type="pct"/>
            <w:tcBorders>
              <w:left w:val="single" w:color="000000" w:sz="4" w:space="0"/>
              <w:bottom w:val="single" w:color="000000" w:sz="4" w:space="0"/>
              <w:right w:val="single" w:color="000000" w:sz="4" w:space="0"/>
            </w:tcBorders>
            <w:vAlign w:val="center"/>
          </w:tcPr>
          <w:p w14:paraId="52F30B1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机构责</w:t>
            </w:r>
          </w:p>
          <w:p w14:paraId="024B683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任主体</w:t>
            </w:r>
          </w:p>
        </w:tc>
        <w:tc>
          <w:tcPr>
            <w:tcW w:w="447" w:type="pct"/>
            <w:tcBorders>
              <w:left w:val="single" w:color="000000" w:sz="4" w:space="0"/>
              <w:bottom w:val="single" w:color="000000" w:sz="4" w:space="0"/>
              <w:right w:val="nil"/>
            </w:tcBorders>
            <w:vAlign w:val="center"/>
          </w:tcPr>
          <w:p w14:paraId="4901A11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监督</w:t>
            </w:r>
          </w:p>
          <w:p w14:paraId="050B7881">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机构</w:t>
            </w:r>
          </w:p>
        </w:tc>
      </w:tr>
      <w:tr w14:paraId="77B83D9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272" w:type="pct"/>
            <w:vMerge w:val="restart"/>
            <w:tcBorders>
              <w:top w:val="single" w:color="000000" w:sz="4" w:space="0"/>
              <w:left w:val="nil"/>
              <w:bottom w:val="single" w:color="000000" w:sz="4" w:space="0"/>
              <w:right w:val="single" w:color="000000" w:sz="4" w:space="0"/>
            </w:tcBorders>
            <w:vAlign w:val="center"/>
          </w:tcPr>
          <w:p w14:paraId="70FE34F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设计期</w:t>
            </w:r>
          </w:p>
        </w:tc>
        <w:tc>
          <w:tcPr>
            <w:tcW w:w="1212" w:type="pct"/>
            <w:tcBorders>
              <w:top w:val="single" w:color="000000" w:sz="4" w:space="0"/>
              <w:left w:val="single" w:color="000000" w:sz="4" w:space="0"/>
              <w:bottom w:val="single" w:color="000000" w:sz="4" w:space="0"/>
              <w:right w:val="single" w:color="000000" w:sz="4" w:space="0"/>
            </w:tcBorders>
            <w:vAlign w:val="center"/>
          </w:tcPr>
          <w:p w14:paraId="53B05C5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影响乡镇规划</w:t>
            </w:r>
          </w:p>
        </w:tc>
        <w:tc>
          <w:tcPr>
            <w:tcW w:w="2098" w:type="pct"/>
            <w:tcBorders>
              <w:top w:val="single" w:color="000000" w:sz="4" w:space="0"/>
              <w:left w:val="single" w:color="000000" w:sz="4" w:space="0"/>
              <w:bottom w:val="single" w:color="000000" w:sz="4" w:space="0"/>
              <w:right w:val="single" w:color="000000" w:sz="4" w:space="0"/>
            </w:tcBorders>
            <w:vAlign w:val="center"/>
          </w:tcPr>
          <w:p w14:paraId="64A35D2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科学设计，使公路景观与乡镇规划相协调</w:t>
            </w:r>
          </w:p>
        </w:tc>
        <w:tc>
          <w:tcPr>
            <w:tcW w:w="453" w:type="pct"/>
            <w:vMerge w:val="restart"/>
            <w:tcBorders>
              <w:top w:val="single" w:color="000000" w:sz="4" w:space="0"/>
              <w:left w:val="single" w:color="000000" w:sz="4" w:space="0"/>
              <w:bottom w:val="single" w:color="000000" w:sz="4" w:space="0"/>
              <w:right w:val="single" w:color="000000" w:sz="4" w:space="0"/>
            </w:tcBorders>
            <w:vAlign w:val="center"/>
          </w:tcPr>
          <w:p w14:paraId="0815B2D8">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福清市交通建设投资集团有限公司</w:t>
            </w:r>
          </w:p>
        </w:tc>
        <w:tc>
          <w:tcPr>
            <w:tcW w:w="517" w:type="pct"/>
            <w:vMerge w:val="restart"/>
            <w:tcBorders>
              <w:top w:val="single" w:color="000000" w:sz="4" w:space="0"/>
              <w:left w:val="single" w:color="000000" w:sz="4" w:space="0"/>
              <w:bottom w:val="single" w:color="000000" w:sz="4" w:space="0"/>
              <w:right w:val="single" w:color="000000" w:sz="4" w:space="0"/>
            </w:tcBorders>
            <w:vAlign w:val="center"/>
          </w:tcPr>
          <w:p w14:paraId="371C01E9">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福清市交通建设投资集团有限公司</w:t>
            </w:r>
          </w:p>
        </w:tc>
        <w:tc>
          <w:tcPr>
            <w:tcW w:w="447" w:type="pct"/>
            <w:vMerge w:val="restart"/>
            <w:tcBorders>
              <w:top w:val="single" w:color="000000" w:sz="4" w:space="0"/>
              <w:left w:val="single" w:color="000000" w:sz="4" w:space="0"/>
              <w:bottom w:val="single" w:color="000000" w:sz="4" w:space="0"/>
              <w:right w:val="nil"/>
            </w:tcBorders>
            <w:vAlign w:val="center"/>
          </w:tcPr>
          <w:p w14:paraId="0EFCC8BF">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福州市福清</w:t>
            </w:r>
            <w:r>
              <w:rPr>
                <w:color w:val="000000" w:themeColor="text1"/>
                <w14:textFill>
                  <w14:solidFill>
                    <w14:schemeClr w14:val="tx1"/>
                  </w14:solidFill>
                </w14:textFill>
              </w:rPr>
              <w:t>生态环境局</w:t>
            </w:r>
          </w:p>
        </w:tc>
      </w:tr>
      <w:tr w14:paraId="174CB87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272" w:type="pct"/>
            <w:vMerge w:val="continue"/>
            <w:tcBorders>
              <w:top w:val="nil"/>
              <w:left w:val="nil"/>
              <w:bottom w:val="single" w:color="000000" w:sz="4" w:space="0"/>
              <w:right w:val="single" w:color="000000" w:sz="4" w:space="0"/>
            </w:tcBorders>
            <w:vAlign w:val="center"/>
          </w:tcPr>
          <w:p w14:paraId="79ED7B57">
            <w:pPr>
              <w:pStyle w:val="105"/>
              <w:jc w:val="center"/>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0924231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影响景观美、环境美</w:t>
            </w:r>
          </w:p>
        </w:tc>
        <w:tc>
          <w:tcPr>
            <w:tcW w:w="2098" w:type="pct"/>
            <w:tcBorders>
              <w:top w:val="single" w:color="000000" w:sz="4" w:space="0"/>
              <w:left w:val="single" w:color="000000" w:sz="4" w:space="0"/>
              <w:bottom w:val="single" w:color="000000" w:sz="4" w:space="0"/>
              <w:right w:val="single" w:color="000000" w:sz="4" w:space="0"/>
            </w:tcBorders>
            <w:vAlign w:val="center"/>
          </w:tcPr>
          <w:p w14:paraId="26D7930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科学设计，使工程景观和沿线地形、地貌相协调</w:t>
            </w:r>
          </w:p>
        </w:tc>
        <w:tc>
          <w:tcPr>
            <w:tcW w:w="453" w:type="pct"/>
            <w:vMerge w:val="continue"/>
            <w:tcBorders>
              <w:top w:val="nil"/>
              <w:left w:val="single" w:color="000000" w:sz="4" w:space="0"/>
              <w:bottom w:val="single" w:color="000000" w:sz="4" w:space="0"/>
              <w:right w:val="single" w:color="000000" w:sz="4" w:space="0"/>
            </w:tcBorders>
            <w:vAlign w:val="center"/>
          </w:tcPr>
          <w:p w14:paraId="2699D9E1">
            <w:pPr>
              <w:pStyle w:val="105"/>
              <w:jc w:val="center"/>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0CA44D90">
            <w:pPr>
              <w:pStyle w:val="105"/>
              <w:jc w:val="center"/>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0609F585">
            <w:pPr>
              <w:pStyle w:val="105"/>
              <w:jc w:val="center"/>
              <w:rPr>
                <w:color w:val="000000" w:themeColor="text1"/>
                <w14:textFill>
                  <w14:solidFill>
                    <w14:schemeClr w14:val="tx1"/>
                  </w14:solidFill>
                </w14:textFill>
              </w:rPr>
            </w:pPr>
          </w:p>
        </w:tc>
      </w:tr>
      <w:tr w14:paraId="13AD767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272" w:type="pct"/>
            <w:vMerge w:val="continue"/>
            <w:tcBorders>
              <w:top w:val="nil"/>
              <w:left w:val="nil"/>
              <w:bottom w:val="single" w:color="000000" w:sz="4" w:space="0"/>
              <w:right w:val="single" w:color="000000" w:sz="4" w:space="0"/>
            </w:tcBorders>
            <w:vAlign w:val="center"/>
          </w:tcPr>
          <w:p w14:paraId="2FA76B45">
            <w:pPr>
              <w:pStyle w:val="105"/>
              <w:jc w:val="center"/>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5C72459D">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影响地表水质</w:t>
            </w:r>
          </w:p>
        </w:tc>
        <w:tc>
          <w:tcPr>
            <w:tcW w:w="2098" w:type="pct"/>
            <w:tcBorders>
              <w:top w:val="single" w:color="000000" w:sz="4" w:space="0"/>
              <w:left w:val="single" w:color="000000" w:sz="4" w:space="0"/>
              <w:bottom w:val="single" w:color="000000" w:sz="4" w:space="0"/>
              <w:right w:val="single" w:color="000000" w:sz="4" w:space="0"/>
            </w:tcBorders>
            <w:vAlign w:val="center"/>
          </w:tcPr>
          <w:p w14:paraId="13E44A57">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合理设计各类临时用地（临时表土堆场）位置，尽量远离</w:t>
            </w:r>
            <w:r>
              <w:rPr>
                <w:rFonts w:hint="eastAsia"/>
                <w:color w:val="000000" w:themeColor="text1"/>
                <w14:textFill>
                  <w14:solidFill>
                    <w14:schemeClr w14:val="tx1"/>
                  </w14:solidFill>
                </w14:textFill>
              </w:rPr>
              <w:t>河道</w:t>
            </w:r>
          </w:p>
        </w:tc>
        <w:tc>
          <w:tcPr>
            <w:tcW w:w="453" w:type="pct"/>
            <w:vMerge w:val="continue"/>
            <w:tcBorders>
              <w:top w:val="nil"/>
              <w:left w:val="single" w:color="000000" w:sz="4" w:space="0"/>
              <w:bottom w:val="single" w:color="000000" w:sz="4" w:space="0"/>
              <w:right w:val="single" w:color="000000" w:sz="4" w:space="0"/>
            </w:tcBorders>
            <w:vAlign w:val="center"/>
          </w:tcPr>
          <w:p w14:paraId="3EEF3E1E">
            <w:pPr>
              <w:pStyle w:val="105"/>
              <w:jc w:val="center"/>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72AF6F01">
            <w:pPr>
              <w:pStyle w:val="105"/>
              <w:jc w:val="center"/>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43487B9A">
            <w:pPr>
              <w:pStyle w:val="105"/>
              <w:jc w:val="center"/>
              <w:rPr>
                <w:color w:val="000000" w:themeColor="text1"/>
                <w14:textFill>
                  <w14:solidFill>
                    <w14:schemeClr w14:val="tx1"/>
                  </w14:solidFill>
                </w14:textFill>
              </w:rPr>
            </w:pPr>
          </w:p>
        </w:tc>
      </w:tr>
      <w:tr w14:paraId="361B5DD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272" w:type="pct"/>
            <w:vMerge w:val="continue"/>
            <w:tcBorders>
              <w:top w:val="nil"/>
              <w:left w:val="nil"/>
              <w:bottom w:val="single" w:color="000000" w:sz="4" w:space="0"/>
              <w:right w:val="single" w:color="000000" w:sz="4" w:space="0"/>
            </w:tcBorders>
            <w:vAlign w:val="center"/>
          </w:tcPr>
          <w:p w14:paraId="27BCEA82">
            <w:pPr>
              <w:pStyle w:val="105"/>
              <w:jc w:val="center"/>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0488BB1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损失土地资源</w:t>
            </w:r>
          </w:p>
        </w:tc>
        <w:tc>
          <w:tcPr>
            <w:tcW w:w="2098" w:type="pct"/>
            <w:tcBorders>
              <w:top w:val="single" w:color="000000" w:sz="4" w:space="0"/>
              <w:left w:val="single" w:color="000000" w:sz="4" w:space="0"/>
              <w:bottom w:val="single" w:color="000000" w:sz="4" w:space="0"/>
              <w:right w:val="single" w:color="000000" w:sz="4" w:space="0"/>
            </w:tcBorders>
            <w:vAlign w:val="center"/>
          </w:tcPr>
          <w:p w14:paraId="2B38911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采纳少占耕地、园地的方案，尽量减少对农用地的占用。</w:t>
            </w:r>
          </w:p>
        </w:tc>
        <w:tc>
          <w:tcPr>
            <w:tcW w:w="453" w:type="pct"/>
            <w:vMerge w:val="continue"/>
            <w:tcBorders>
              <w:top w:val="nil"/>
              <w:left w:val="single" w:color="000000" w:sz="4" w:space="0"/>
              <w:bottom w:val="single" w:color="000000" w:sz="4" w:space="0"/>
              <w:right w:val="single" w:color="000000" w:sz="4" w:space="0"/>
            </w:tcBorders>
            <w:vAlign w:val="center"/>
          </w:tcPr>
          <w:p w14:paraId="25A84AE7">
            <w:pPr>
              <w:pStyle w:val="105"/>
              <w:jc w:val="center"/>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5E14ABC5">
            <w:pPr>
              <w:pStyle w:val="105"/>
              <w:jc w:val="center"/>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27A9E9B1">
            <w:pPr>
              <w:pStyle w:val="105"/>
              <w:jc w:val="center"/>
              <w:rPr>
                <w:color w:val="000000" w:themeColor="text1"/>
                <w14:textFill>
                  <w14:solidFill>
                    <w14:schemeClr w14:val="tx1"/>
                  </w14:solidFill>
                </w14:textFill>
              </w:rPr>
            </w:pPr>
          </w:p>
        </w:tc>
      </w:tr>
      <w:tr w14:paraId="23C4113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272" w:type="pct"/>
            <w:vMerge w:val="continue"/>
            <w:tcBorders>
              <w:top w:val="nil"/>
              <w:left w:val="nil"/>
              <w:bottom w:val="single" w:color="000000" w:sz="4" w:space="0"/>
              <w:right w:val="single" w:color="000000" w:sz="4" w:space="0"/>
            </w:tcBorders>
            <w:vAlign w:val="center"/>
          </w:tcPr>
          <w:p w14:paraId="226F6885">
            <w:pPr>
              <w:pStyle w:val="105"/>
              <w:jc w:val="center"/>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6E72C08A">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交通噪声、汽车尾气污染</w:t>
            </w:r>
          </w:p>
        </w:tc>
        <w:tc>
          <w:tcPr>
            <w:tcW w:w="2098" w:type="pct"/>
            <w:tcBorders>
              <w:top w:val="single" w:color="000000" w:sz="4" w:space="0"/>
              <w:left w:val="single" w:color="000000" w:sz="4" w:space="0"/>
              <w:bottom w:val="single" w:color="000000" w:sz="4" w:space="0"/>
              <w:right w:val="single" w:color="000000" w:sz="4" w:space="0"/>
            </w:tcBorders>
            <w:vAlign w:val="center"/>
          </w:tcPr>
          <w:p w14:paraId="1F0EB19F">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科学设计，保护沿线声、气环境质量</w:t>
            </w:r>
          </w:p>
        </w:tc>
        <w:tc>
          <w:tcPr>
            <w:tcW w:w="453" w:type="pct"/>
            <w:vMerge w:val="continue"/>
            <w:tcBorders>
              <w:top w:val="nil"/>
              <w:left w:val="single" w:color="000000" w:sz="4" w:space="0"/>
              <w:bottom w:val="single" w:color="000000" w:sz="4" w:space="0"/>
              <w:right w:val="single" w:color="000000" w:sz="4" w:space="0"/>
            </w:tcBorders>
            <w:vAlign w:val="center"/>
          </w:tcPr>
          <w:p w14:paraId="58EF4680">
            <w:pPr>
              <w:pStyle w:val="105"/>
              <w:jc w:val="center"/>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72C22B06">
            <w:pPr>
              <w:pStyle w:val="105"/>
              <w:jc w:val="center"/>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1160D382">
            <w:pPr>
              <w:pStyle w:val="105"/>
              <w:jc w:val="center"/>
              <w:rPr>
                <w:color w:val="000000" w:themeColor="text1"/>
                <w14:textFill>
                  <w14:solidFill>
                    <w14:schemeClr w14:val="tx1"/>
                  </w14:solidFill>
                </w14:textFill>
              </w:rPr>
            </w:pPr>
          </w:p>
        </w:tc>
      </w:tr>
      <w:tr w14:paraId="33AC734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272" w:type="pct"/>
            <w:vMerge w:val="continue"/>
            <w:tcBorders>
              <w:top w:val="nil"/>
              <w:left w:val="nil"/>
              <w:bottom w:val="single" w:color="000000" w:sz="4" w:space="0"/>
              <w:right w:val="single" w:color="000000" w:sz="4" w:space="0"/>
            </w:tcBorders>
            <w:vAlign w:val="center"/>
          </w:tcPr>
          <w:p w14:paraId="4F120448">
            <w:pPr>
              <w:pStyle w:val="105"/>
              <w:jc w:val="center"/>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4C1C9293">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公路对居民的阻隔</w:t>
            </w:r>
          </w:p>
        </w:tc>
        <w:tc>
          <w:tcPr>
            <w:tcW w:w="2098" w:type="pct"/>
            <w:tcBorders>
              <w:top w:val="single" w:color="000000" w:sz="4" w:space="0"/>
              <w:left w:val="single" w:color="000000" w:sz="4" w:space="0"/>
              <w:bottom w:val="single" w:color="000000" w:sz="4" w:space="0"/>
              <w:right w:val="single" w:color="000000" w:sz="4" w:space="0"/>
            </w:tcBorders>
            <w:vAlign w:val="center"/>
          </w:tcPr>
          <w:p w14:paraId="637A02B5">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布置位置和数量恰当的通道</w:t>
            </w:r>
          </w:p>
        </w:tc>
        <w:tc>
          <w:tcPr>
            <w:tcW w:w="453" w:type="pct"/>
            <w:vMerge w:val="continue"/>
            <w:tcBorders>
              <w:top w:val="nil"/>
              <w:left w:val="single" w:color="000000" w:sz="4" w:space="0"/>
              <w:bottom w:val="single" w:color="000000" w:sz="4" w:space="0"/>
              <w:right w:val="single" w:color="000000" w:sz="4" w:space="0"/>
            </w:tcBorders>
            <w:vAlign w:val="center"/>
          </w:tcPr>
          <w:p w14:paraId="21D5E756">
            <w:pPr>
              <w:pStyle w:val="105"/>
              <w:jc w:val="center"/>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38E09FAA">
            <w:pPr>
              <w:pStyle w:val="105"/>
              <w:jc w:val="center"/>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36B9882E">
            <w:pPr>
              <w:pStyle w:val="105"/>
              <w:jc w:val="center"/>
              <w:rPr>
                <w:color w:val="000000" w:themeColor="text1"/>
                <w14:textFill>
                  <w14:solidFill>
                    <w14:schemeClr w14:val="tx1"/>
                  </w14:solidFill>
                </w14:textFill>
              </w:rPr>
            </w:pPr>
          </w:p>
        </w:tc>
      </w:tr>
      <w:tr w14:paraId="74228AA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272" w:type="pct"/>
            <w:vMerge w:val="continue"/>
            <w:tcBorders>
              <w:top w:val="nil"/>
              <w:left w:val="nil"/>
              <w:bottom w:val="single" w:color="000000" w:sz="4" w:space="0"/>
              <w:right w:val="single" w:color="000000" w:sz="4" w:space="0"/>
            </w:tcBorders>
            <w:vAlign w:val="center"/>
          </w:tcPr>
          <w:p w14:paraId="14044EFC">
            <w:pPr>
              <w:pStyle w:val="105"/>
              <w:jc w:val="center"/>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2F66FADC">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交通噪声防噪设计</w:t>
            </w:r>
          </w:p>
        </w:tc>
        <w:tc>
          <w:tcPr>
            <w:tcW w:w="2098" w:type="pct"/>
            <w:tcBorders>
              <w:top w:val="single" w:color="000000" w:sz="4" w:space="0"/>
              <w:left w:val="single" w:color="000000" w:sz="4" w:space="0"/>
              <w:bottom w:val="single" w:color="000000" w:sz="4" w:space="0"/>
              <w:right w:val="single" w:color="000000" w:sz="4" w:space="0"/>
            </w:tcBorders>
            <w:vAlign w:val="center"/>
          </w:tcPr>
          <w:p w14:paraId="07035908">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限速、禁鸣设施及防噪林带</w:t>
            </w:r>
          </w:p>
        </w:tc>
        <w:tc>
          <w:tcPr>
            <w:tcW w:w="453" w:type="pct"/>
            <w:vMerge w:val="continue"/>
            <w:tcBorders>
              <w:top w:val="nil"/>
              <w:left w:val="single" w:color="000000" w:sz="4" w:space="0"/>
              <w:bottom w:val="single" w:color="000000" w:sz="4" w:space="0"/>
              <w:right w:val="single" w:color="000000" w:sz="4" w:space="0"/>
            </w:tcBorders>
            <w:vAlign w:val="center"/>
          </w:tcPr>
          <w:p w14:paraId="0BA0AF4E">
            <w:pPr>
              <w:pStyle w:val="105"/>
              <w:jc w:val="center"/>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37E6CF24">
            <w:pPr>
              <w:pStyle w:val="105"/>
              <w:jc w:val="center"/>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06441B98">
            <w:pPr>
              <w:pStyle w:val="105"/>
              <w:jc w:val="center"/>
              <w:rPr>
                <w:color w:val="000000" w:themeColor="text1"/>
                <w14:textFill>
                  <w14:solidFill>
                    <w14:schemeClr w14:val="tx1"/>
                  </w14:solidFill>
                </w14:textFill>
              </w:rPr>
            </w:pPr>
          </w:p>
        </w:tc>
      </w:tr>
      <w:tr w14:paraId="5313DB8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6" w:hRule="atLeast"/>
        </w:trPr>
        <w:tc>
          <w:tcPr>
            <w:tcW w:w="272" w:type="pct"/>
            <w:vMerge w:val="restart"/>
            <w:tcBorders>
              <w:top w:val="single" w:color="000000" w:sz="4" w:space="0"/>
              <w:left w:val="nil"/>
              <w:bottom w:val="single" w:color="000000" w:sz="4" w:space="0"/>
              <w:right w:val="single" w:color="000000" w:sz="4" w:space="0"/>
            </w:tcBorders>
            <w:vAlign w:val="center"/>
          </w:tcPr>
          <w:p w14:paraId="0F37868E">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施工期</w:t>
            </w:r>
          </w:p>
        </w:tc>
        <w:tc>
          <w:tcPr>
            <w:tcW w:w="1212" w:type="pct"/>
            <w:tcBorders>
              <w:top w:val="single" w:color="000000" w:sz="4" w:space="0"/>
              <w:left w:val="single" w:color="000000" w:sz="4" w:space="0"/>
              <w:bottom w:val="single" w:color="000000" w:sz="4" w:space="0"/>
              <w:right w:val="single" w:color="000000" w:sz="4" w:space="0"/>
            </w:tcBorders>
            <w:vAlign w:val="center"/>
          </w:tcPr>
          <w:p w14:paraId="3BF6D8EB">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施工现场的粉尘、噪声及光污染</w:t>
            </w:r>
          </w:p>
        </w:tc>
        <w:tc>
          <w:tcPr>
            <w:tcW w:w="2098" w:type="pct"/>
            <w:tcBorders>
              <w:top w:val="single" w:color="000000" w:sz="4" w:space="0"/>
              <w:left w:val="single" w:color="000000" w:sz="4" w:space="0"/>
              <w:bottom w:val="single" w:color="000000" w:sz="4" w:space="0"/>
              <w:right w:val="single" w:color="000000" w:sz="4" w:space="0"/>
            </w:tcBorders>
            <w:vAlign w:val="center"/>
          </w:tcPr>
          <w:p w14:paraId="4D843B64">
            <w:pPr>
              <w:pStyle w:val="105"/>
              <w:jc w:val="center"/>
              <w:rPr>
                <w:color w:val="000000" w:themeColor="text1"/>
                <w14:textFill>
                  <w14:solidFill>
                    <w14:schemeClr w14:val="tx1"/>
                  </w14:solidFill>
                </w14:textFill>
              </w:rPr>
            </w:pPr>
            <w:r>
              <w:rPr>
                <w:color w:val="000000" w:themeColor="text1"/>
                <w14:textFill>
                  <w14:solidFill>
                    <w14:schemeClr w14:val="tx1"/>
                  </w14:solidFill>
                </w14:textFill>
              </w:rPr>
              <w:t>加强文明施工监理工作，安装责任标牌，定期洒水，在设备上安装和维护消声器，居民点禁止深夜施工</w:t>
            </w:r>
          </w:p>
        </w:tc>
        <w:tc>
          <w:tcPr>
            <w:tcW w:w="453" w:type="pct"/>
            <w:vMerge w:val="restart"/>
            <w:tcBorders>
              <w:top w:val="single" w:color="000000" w:sz="4" w:space="0"/>
              <w:left w:val="single" w:color="000000" w:sz="4" w:space="0"/>
              <w:bottom w:val="single" w:color="000000" w:sz="4" w:space="0"/>
              <w:right w:val="single" w:color="000000" w:sz="4" w:space="0"/>
            </w:tcBorders>
            <w:vAlign w:val="center"/>
          </w:tcPr>
          <w:p w14:paraId="75DE2DDC">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福清市交通建设投资集团有限公司</w:t>
            </w:r>
          </w:p>
        </w:tc>
        <w:tc>
          <w:tcPr>
            <w:tcW w:w="517" w:type="pct"/>
            <w:vMerge w:val="restart"/>
            <w:tcBorders>
              <w:top w:val="single" w:color="000000" w:sz="4" w:space="0"/>
              <w:left w:val="single" w:color="000000" w:sz="4" w:space="0"/>
              <w:bottom w:val="single" w:color="000000" w:sz="4" w:space="0"/>
              <w:right w:val="single" w:color="000000" w:sz="4" w:space="0"/>
            </w:tcBorders>
            <w:vAlign w:val="center"/>
          </w:tcPr>
          <w:p w14:paraId="19893C2A">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福清市交通建设投资集团有限公司</w:t>
            </w:r>
          </w:p>
        </w:tc>
        <w:tc>
          <w:tcPr>
            <w:tcW w:w="447" w:type="pct"/>
            <w:vMerge w:val="restart"/>
            <w:tcBorders>
              <w:top w:val="single" w:color="000000" w:sz="4" w:space="0"/>
              <w:left w:val="single" w:color="000000" w:sz="4" w:space="0"/>
              <w:bottom w:val="single" w:color="000000" w:sz="4" w:space="0"/>
              <w:right w:val="nil"/>
            </w:tcBorders>
            <w:vAlign w:val="center"/>
          </w:tcPr>
          <w:p w14:paraId="7DC25793">
            <w:pPr>
              <w:pStyle w:val="105"/>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福州市福清</w:t>
            </w:r>
            <w:r>
              <w:rPr>
                <w:color w:val="000000" w:themeColor="text1"/>
                <w14:textFill>
                  <w14:solidFill>
                    <w14:schemeClr w14:val="tx1"/>
                  </w14:solidFill>
                </w14:textFill>
              </w:rPr>
              <w:t>生态环境局</w:t>
            </w:r>
          </w:p>
        </w:tc>
      </w:tr>
      <w:tr w14:paraId="6554BE5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17" w:hRule="atLeast"/>
        </w:trPr>
        <w:tc>
          <w:tcPr>
            <w:tcW w:w="272" w:type="pct"/>
            <w:vMerge w:val="continue"/>
            <w:tcBorders>
              <w:top w:val="nil"/>
              <w:left w:val="nil"/>
              <w:bottom w:val="single" w:color="000000" w:sz="4" w:space="0"/>
              <w:right w:val="single" w:color="000000" w:sz="4" w:space="0"/>
            </w:tcBorders>
            <w:vAlign w:val="center"/>
          </w:tcPr>
          <w:p w14:paraId="5098AE99">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7BE88017">
            <w:pPr>
              <w:pStyle w:val="105"/>
              <w:rPr>
                <w:color w:val="000000" w:themeColor="text1"/>
                <w14:textFill>
                  <w14:solidFill>
                    <w14:schemeClr w14:val="tx1"/>
                  </w14:solidFill>
                </w14:textFill>
              </w:rPr>
            </w:pPr>
            <w:r>
              <w:rPr>
                <w:color w:val="000000" w:themeColor="text1"/>
                <w14:textFill>
                  <w14:solidFill>
                    <w14:schemeClr w14:val="tx1"/>
                  </w14:solidFill>
                </w14:textFill>
              </w:rPr>
              <w:t>施工现场的生产、生活污水和废油，生产和生活垃圾对土壤和水体污染</w:t>
            </w:r>
          </w:p>
        </w:tc>
        <w:tc>
          <w:tcPr>
            <w:tcW w:w="2098" w:type="pct"/>
            <w:tcBorders>
              <w:top w:val="single" w:color="000000" w:sz="4" w:space="0"/>
              <w:left w:val="single" w:color="000000" w:sz="4" w:space="0"/>
              <w:bottom w:val="single" w:color="000000" w:sz="4" w:space="0"/>
              <w:right w:val="single" w:color="000000" w:sz="4" w:space="0"/>
            </w:tcBorders>
            <w:vAlign w:val="center"/>
          </w:tcPr>
          <w:p w14:paraId="6A96703F">
            <w:pPr>
              <w:pStyle w:val="105"/>
              <w:rPr>
                <w:color w:val="000000" w:themeColor="text1"/>
                <w14:textFill>
                  <w14:solidFill>
                    <w14:schemeClr w14:val="tx1"/>
                  </w14:solidFill>
                </w14:textFill>
              </w:rPr>
            </w:pPr>
            <w:r>
              <w:rPr>
                <w:color w:val="000000" w:themeColor="text1"/>
                <w14:textFill>
                  <w14:solidFill>
                    <w14:schemeClr w14:val="tx1"/>
                  </w14:solidFill>
                </w14:textFill>
              </w:rPr>
              <w:t>加强环境管理和监督，安装污水处理设备并保持正常运行，废油统一存放和处理，提供合适的卫生场所</w:t>
            </w:r>
          </w:p>
        </w:tc>
        <w:tc>
          <w:tcPr>
            <w:tcW w:w="453" w:type="pct"/>
            <w:vMerge w:val="continue"/>
            <w:tcBorders>
              <w:top w:val="nil"/>
              <w:left w:val="single" w:color="000000" w:sz="4" w:space="0"/>
              <w:bottom w:val="single" w:color="000000" w:sz="4" w:space="0"/>
              <w:right w:val="single" w:color="000000" w:sz="4" w:space="0"/>
            </w:tcBorders>
            <w:vAlign w:val="center"/>
          </w:tcPr>
          <w:p w14:paraId="482E959D">
            <w:pPr>
              <w:pStyle w:val="105"/>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146003B1">
            <w:pPr>
              <w:pStyle w:val="105"/>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6C943D04">
            <w:pPr>
              <w:pStyle w:val="105"/>
              <w:rPr>
                <w:color w:val="000000" w:themeColor="text1"/>
                <w14:textFill>
                  <w14:solidFill>
                    <w14:schemeClr w14:val="tx1"/>
                  </w14:solidFill>
                </w14:textFill>
              </w:rPr>
            </w:pPr>
          </w:p>
        </w:tc>
      </w:tr>
      <w:tr w14:paraId="725FAEA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272" w:type="pct"/>
            <w:vMerge w:val="continue"/>
            <w:tcBorders>
              <w:top w:val="nil"/>
              <w:left w:val="nil"/>
              <w:bottom w:val="single" w:color="000000" w:sz="4" w:space="0"/>
              <w:right w:val="single" w:color="000000" w:sz="4" w:space="0"/>
            </w:tcBorders>
            <w:vAlign w:val="center"/>
          </w:tcPr>
          <w:p w14:paraId="332FCFB5">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06036B1B">
            <w:pPr>
              <w:pStyle w:val="105"/>
              <w:rPr>
                <w:color w:val="000000" w:themeColor="text1"/>
                <w14:textFill>
                  <w14:solidFill>
                    <w14:schemeClr w14:val="tx1"/>
                  </w14:solidFill>
                </w14:textFill>
              </w:rPr>
            </w:pPr>
            <w:r>
              <w:rPr>
                <w:color w:val="000000" w:themeColor="text1"/>
                <w14:textFill>
                  <w14:solidFill>
                    <w14:schemeClr w14:val="tx1"/>
                  </w14:solidFill>
                </w14:textFill>
              </w:rPr>
              <w:t>影响景观美</w:t>
            </w:r>
          </w:p>
        </w:tc>
        <w:tc>
          <w:tcPr>
            <w:tcW w:w="2098" w:type="pct"/>
            <w:tcBorders>
              <w:top w:val="single" w:color="000000" w:sz="4" w:space="0"/>
              <w:left w:val="single" w:color="000000" w:sz="4" w:space="0"/>
              <w:bottom w:val="single" w:color="000000" w:sz="4" w:space="0"/>
              <w:right w:val="single" w:color="000000" w:sz="4" w:space="0"/>
            </w:tcBorders>
            <w:vAlign w:val="center"/>
          </w:tcPr>
          <w:p w14:paraId="35774F9B">
            <w:pPr>
              <w:pStyle w:val="105"/>
              <w:rPr>
                <w:color w:val="000000" w:themeColor="text1"/>
                <w14:textFill>
                  <w14:solidFill>
                    <w14:schemeClr w14:val="tx1"/>
                  </w14:solidFill>
                </w14:textFill>
              </w:rPr>
            </w:pPr>
            <w:r>
              <w:rPr>
                <w:color w:val="000000" w:themeColor="text1"/>
                <w14:textFill>
                  <w14:solidFill>
                    <w14:schemeClr w14:val="tx1"/>
                  </w14:solidFill>
                </w14:textFill>
              </w:rPr>
              <w:t>严格按设计实施景观工程，</w:t>
            </w:r>
            <w:r>
              <w:rPr>
                <w:rFonts w:hint="eastAsia"/>
                <w:color w:val="000000" w:themeColor="text1"/>
                <w14:textFill>
                  <w14:solidFill>
                    <w14:schemeClr w14:val="tx1"/>
                  </w14:solidFill>
                </w14:textFill>
              </w:rPr>
              <w:t>及时</w:t>
            </w:r>
            <w:r>
              <w:rPr>
                <w:color w:val="000000" w:themeColor="text1"/>
                <w14:textFill>
                  <w14:solidFill>
                    <w14:schemeClr w14:val="tx1"/>
                  </w14:solidFill>
                </w14:textFill>
              </w:rPr>
              <w:t>进行绿化和土地复垦工作</w:t>
            </w:r>
          </w:p>
        </w:tc>
        <w:tc>
          <w:tcPr>
            <w:tcW w:w="453" w:type="pct"/>
            <w:vMerge w:val="continue"/>
            <w:tcBorders>
              <w:top w:val="nil"/>
              <w:left w:val="single" w:color="000000" w:sz="4" w:space="0"/>
              <w:bottom w:val="single" w:color="000000" w:sz="4" w:space="0"/>
              <w:right w:val="single" w:color="000000" w:sz="4" w:space="0"/>
            </w:tcBorders>
            <w:vAlign w:val="center"/>
          </w:tcPr>
          <w:p w14:paraId="0A5CB6AC">
            <w:pPr>
              <w:pStyle w:val="105"/>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03C815B1">
            <w:pPr>
              <w:pStyle w:val="105"/>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0FC8D546">
            <w:pPr>
              <w:pStyle w:val="105"/>
              <w:rPr>
                <w:color w:val="000000" w:themeColor="text1"/>
                <w14:textFill>
                  <w14:solidFill>
                    <w14:schemeClr w14:val="tx1"/>
                  </w14:solidFill>
                </w14:textFill>
              </w:rPr>
            </w:pPr>
          </w:p>
        </w:tc>
      </w:tr>
      <w:tr w14:paraId="40E1F69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3" w:hRule="atLeast"/>
        </w:trPr>
        <w:tc>
          <w:tcPr>
            <w:tcW w:w="272" w:type="pct"/>
            <w:vMerge w:val="continue"/>
            <w:tcBorders>
              <w:top w:val="nil"/>
              <w:left w:val="nil"/>
              <w:bottom w:val="single" w:color="000000" w:sz="4" w:space="0"/>
              <w:right w:val="single" w:color="000000" w:sz="4" w:space="0"/>
            </w:tcBorders>
            <w:vAlign w:val="center"/>
          </w:tcPr>
          <w:p w14:paraId="487C1DA1">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156A35EB">
            <w:pPr>
              <w:pStyle w:val="105"/>
              <w:rPr>
                <w:color w:val="000000" w:themeColor="text1"/>
                <w14:textFill>
                  <w14:solidFill>
                    <w14:schemeClr w14:val="tx1"/>
                  </w14:solidFill>
                </w14:textFill>
              </w:rPr>
            </w:pPr>
            <w:r>
              <w:rPr>
                <w:color w:val="000000" w:themeColor="text1"/>
                <w14:textFill>
                  <w14:solidFill>
                    <w14:schemeClr w14:val="tx1"/>
                  </w14:solidFill>
                </w14:textFill>
              </w:rPr>
              <w:t>建筑和生活垃圾处理</w:t>
            </w:r>
          </w:p>
        </w:tc>
        <w:tc>
          <w:tcPr>
            <w:tcW w:w="2098" w:type="pct"/>
            <w:tcBorders>
              <w:top w:val="single" w:color="000000" w:sz="4" w:space="0"/>
              <w:left w:val="single" w:color="000000" w:sz="4" w:space="0"/>
              <w:bottom w:val="single" w:color="000000" w:sz="4" w:space="0"/>
              <w:right w:val="single" w:color="000000" w:sz="4" w:space="0"/>
            </w:tcBorders>
            <w:vAlign w:val="center"/>
          </w:tcPr>
          <w:p w14:paraId="4AEB96DA">
            <w:pPr>
              <w:pStyle w:val="105"/>
              <w:rPr>
                <w:color w:val="000000" w:themeColor="text1"/>
                <w14:textFill>
                  <w14:solidFill>
                    <w14:schemeClr w14:val="tx1"/>
                  </w14:solidFill>
                </w14:textFill>
              </w:rPr>
            </w:pPr>
            <w:r>
              <w:rPr>
                <w:color w:val="000000" w:themeColor="text1"/>
                <w14:textFill>
                  <w14:solidFill>
                    <w14:schemeClr w14:val="tx1"/>
                  </w14:solidFill>
                </w14:textFill>
              </w:rPr>
              <w:t>加强监督管理，指定统一存放地点，统一处理</w:t>
            </w:r>
          </w:p>
        </w:tc>
        <w:tc>
          <w:tcPr>
            <w:tcW w:w="453" w:type="pct"/>
            <w:vMerge w:val="continue"/>
            <w:tcBorders>
              <w:top w:val="nil"/>
              <w:left w:val="single" w:color="000000" w:sz="4" w:space="0"/>
              <w:bottom w:val="single" w:color="000000" w:sz="4" w:space="0"/>
              <w:right w:val="single" w:color="000000" w:sz="4" w:space="0"/>
            </w:tcBorders>
            <w:vAlign w:val="center"/>
          </w:tcPr>
          <w:p w14:paraId="57427070">
            <w:pPr>
              <w:pStyle w:val="105"/>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509F5AB0">
            <w:pPr>
              <w:pStyle w:val="105"/>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473717A4">
            <w:pPr>
              <w:pStyle w:val="105"/>
              <w:rPr>
                <w:color w:val="000000" w:themeColor="text1"/>
                <w14:textFill>
                  <w14:solidFill>
                    <w14:schemeClr w14:val="tx1"/>
                  </w14:solidFill>
                </w14:textFill>
              </w:rPr>
            </w:pPr>
          </w:p>
        </w:tc>
      </w:tr>
      <w:tr w14:paraId="16D9B3A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272" w:type="pct"/>
            <w:vMerge w:val="continue"/>
            <w:tcBorders>
              <w:top w:val="nil"/>
              <w:left w:val="nil"/>
              <w:bottom w:val="single" w:color="000000" w:sz="4" w:space="0"/>
              <w:right w:val="single" w:color="000000" w:sz="4" w:space="0"/>
            </w:tcBorders>
            <w:vAlign w:val="center"/>
          </w:tcPr>
          <w:p w14:paraId="3CBE5DAE">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34B565BE">
            <w:pPr>
              <w:pStyle w:val="105"/>
              <w:rPr>
                <w:color w:val="000000" w:themeColor="text1"/>
                <w14:textFill>
                  <w14:solidFill>
                    <w14:schemeClr w14:val="tx1"/>
                  </w14:solidFill>
                </w14:textFill>
              </w:rPr>
            </w:pPr>
            <w:r>
              <w:rPr>
                <w:color w:val="000000" w:themeColor="text1"/>
                <w14:textFill>
                  <w14:solidFill>
                    <w14:schemeClr w14:val="tx1"/>
                  </w14:solidFill>
                </w14:textFill>
              </w:rPr>
              <w:t>干扰沿线公用设施</w:t>
            </w:r>
          </w:p>
        </w:tc>
        <w:tc>
          <w:tcPr>
            <w:tcW w:w="2098" w:type="pct"/>
            <w:tcBorders>
              <w:top w:val="single" w:color="000000" w:sz="4" w:space="0"/>
              <w:left w:val="single" w:color="000000" w:sz="4" w:space="0"/>
              <w:bottom w:val="single" w:color="000000" w:sz="4" w:space="0"/>
              <w:right w:val="single" w:color="000000" w:sz="4" w:space="0"/>
            </w:tcBorders>
            <w:vAlign w:val="center"/>
          </w:tcPr>
          <w:p w14:paraId="103748CE">
            <w:pPr>
              <w:pStyle w:val="105"/>
              <w:rPr>
                <w:color w:val="000000" w:themeColor="text1"/>
                <w14:textFill>
                  <w14:solidFill>
                    <w14:schemeClr w14:val="tx1"/>
                  </w14:solidFill>
                </w14:textFill>
              </w:rPr>
            </w:pPr>
            <w:r>
              <w:rPr>
                <w:color w:val="000000" w:themeColor="text1"/>
                <w14:textFill>
                  <w14:solidFill>
                    <w14:schemeClr w14:val="tx1"/>
                  </w14:solidFill>
                </w14:textFill>
              </w:rPr>
              <w:t>协调各单位利益，先通后拆</w:t>
            </w:r>
          </w:p>
        </w:tc>
        <w:tc>
          <w:tcPr>
            <w:tcW w:w="453" w:type="pct"/>
            <w:vMerge w:val="continue"/>
            <w:tcBorders>
              <w:top w:val="nil"/>
              <w:left w:val="single" w:color="000000" w:sz="4" w:space="0"/>
              <w:bottom w:val="single" w:color="000000" w:sz="4" w:space="0"/>
              <w:right w:val="single" w:color="000000" w:sz="4" w:space="0"/>
            </w:tcBorders>
            <w:vAlign w:val="center"/>
          </w:tcPr>
          <w:p w14:paraId="7BEE8ADE">
            <w:pPr>
              <w:pStyle w:val="105"/>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33284616">
            <w:pPr>
              <w:pStyle w:val="105"/>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261BEEAA">
            <w:pPr>
              <w:pStyle w:val="105"/>
              <w:rPr>
                <w:color w:val="000000" w:themeColor="text1"/>
                <w14:textFill>
                  <w14:solidFill>
                    <w14:schemeClr w14:val="tx1"/>
                  </w14:solidFill>
                </w14:textFill>
              </w:rPr>
            </w:pPr>
          </w:p>
        </w:tc>
      </w:tr>
      <w:tr w14:paraId="7A90FB8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2" w:hRule="atLeast"/>
        </w:trPr>
        <w:tc>
          <w:tcPr>
            <w:tcW w:w="272" w:type="pct"/>
            <w:vMerge w:val="continue"/>
            <w:tcBorders>
              <w:top w:val="nil"/>
              <w:left w:val="nil"/>
              <w:bottom w:val="single" w:color="000000" w:sz="4" w:space="0"/>
              <w:right w:val="single" w:color="000000" w:sz="4" w:space="0"/>
            </w:tcBorders>
            <w:vAlign w:val="center"/>
          </w:tcPr>
          <w:p w14:paraId="4919531A">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7ACF5B45">
            <w:pPr>
              <w:pStyle w:val="105"/>
              <w:rPr>
                <w:color w:val="000000" w:themeColor="text1"/>
                <w14:textFill>
                  <w14:solidFill>
                    <w14:schemeClr w14:val="tx1"/>
                  </w14:solidFill>
                </w14:textFill>
              </w:rPr>
            </w:pPr>
            <w:r>
              <w:rPr>
                <w:color w:val="000000" w:themeColor="text1"/>
                <w14:textFill>
                  <w14:solidFill>
                    <w14:schemeClr w14:val="tx1"/>
                  </w14:solidFill>
                </w14:textFill>
              </w:rPr>
              <w:t>影响现有公路的行车</w:t>
            </w:r>
          </w:p>
        </w:tc>
        <w:tc>
          <w:tcPr>
            <w:tcW w:w="2098" w:type="pct"/>
            <w:tcBorders>
              <w:top w:val="single" w:color="000000" w:sz="4" w:space="0"/>
              <w:left w:val="single" w:color="000000" w:sz="4" w:space="0"/>
              <w:bottom w:val="single" w:color="000000" w:sz="4" w:space="0"/>
              <w:right w:val="single" w:color="000000" w:sz="4" w:space="0"/>
            </w:tcBorders>
            <w:vAlign w:val="center"/>
          </w:tcPr>
          <w:p w14:paraId="592B972B">
            <w:pPr>
              <w:pStyle w:val="105"/>
              <w:rPr>
                <w:color w:val="000000" w:themeColor="text1"/>
                <w14:textFill>
                  <w14:solidFill>
                    <w14:schemeClr w14:val="tx1"/>
                  </w14:solidFill>
                </w14:textFill>
              </w:rPr>
            </w:pPr>
            <w:r>
              <w:rPr>
                <w:color w:val="000000" w:themeColor="text1"/>
                <w14:textFill>
                  <w14:solidFill>
                    <w14:schemeClr w14:val="tx1"/>
                  </w14:solidFill>
                </w14:textFill>
              </w:rPr>
              <w:t>加强交通管理，及时疏通公路</w:t>
            </w:r>
          </w:p>
        </w:tc>
        <w:tc>
          <w:tcPr>
            <w:tcW w:w="453" w:type="pct"/>
            <w:vMerge w:val="continue"/>
            <w:tcBorders>
              <w:top w:val="nil"/>
              <w:left w:val="single" w:color="000000" w:sz="4" w:space="0"/>
              <w:bottom w:val="single" w:color="000000" w:sz="4" w:space="0"/>
              <w:right w:val="single" w:color="000000" w:sz="4" w:space="0"/>
            </w:tcBorders>
            <w:vAlign w:val="center"/>
          </w:tcPr>
          <w:p w14:paraId="2F589D3F">
            <w:pPr>
              <w:pStyle w:val="105"/>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55FC459E">
            <w:pPr>
              <w:pStyle w:val="105"/>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3CAF819F">
            <w:pPr>
              <w:pStyle w:val="105"/>
              <w:rPr>
                <w:color w:val="000000" w:themeColor="text1"/>
                <w14:textFill>
                  <w14:solidFill>
                    <w14:schemeClr w14:val="tx1"/>
                  </w14:solidFill>
                </w14:textFill>
              </w:rPr>
            </w:pPr>
          </w:p>
        </w:tc>
      </w:tr>
      <w:tr w14:paraId="4AF7912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1" w:hRule="atLeast"/>
        </w:trPr>
        <w:tc>
          <w:tcPr>
            <w:tcW w:w="272" w:type="pct"/>
            <w:vMerge w:val="continue"/>
            <w:tcBorders>
              <w:top w:val="nil"/>
              <w:left w:val="nil"/>
              <w:bottom w:val="single" w:color="000000" w:sz="4" w:space="0"/>
              <w:right w:val="single" w:color="000000" w:sz="4" w:space="0"/>
            </w:tcBorders>
            <w:vAlign w:val="center"/>
          </w:tcPr>
          <w:p w14:paraId="27811606">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77E55FE9">
            <w:pPr>
              <w:pStyle w:val="105"/>
              <w:rPr>
                <w:color w:val="000000" w:themeColor="text1"/>
                <w14:textFill>
                  <w14:solidFill>
                    <w14:schemeClr w14:val="tx1"/>
                  </w14:solidFill>
                </w14:textFill>
              </w:rPr>
            </w:pPr>
            <w:r>
              <w:rPr>
                <w:color w:val="000000" w:themeColor="text1"/>
                <w14:textFill>
                  <w14:solidFill>
                    <w14:schemeClr w14:val="tx1"/>
                  </w14:solidFill>
                </w14:textFill>
              </w:rPr>
              <w:t>可能</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传染病传播</w:t>
            </w:r>
          </w:p>
        </w:tc>
        <w:tc>
          <w:tcPr>
            <w:tcW w:w="2098" w:type="pct"/>
            <w:tcBorders>
              <w:top w:val="single" w:color="000000" w:sz="4" w:space="0"/>
              <w:left w:val="single" w:color="000000" w:sz="4" w:space="0"/>
              <w:bottom w:val="single" w:color="000000" w:sz="4" w:space="0"/>
              <w:right w:val="single" w:color="000000" w:sz="4" w:space="0"/>
            </w:tcBorders>
            <w:vAlign w:val="center"/>
          </w:tcPr>
          <w:p w14:paraId="0DE41D69">
            <w:pPr>
              <w:pStyle w:val="105"/>
              <w:rPr>
                <w:color w:val="000000" w:themeColor="text1"/>
                <w14:textFill>
                  <w14:solidFill>
                    <w14:schemeClr w14:val="tx1"/>
                  </w14:solidFill>
                </w14:textFill>
              </w:rPr>
            </w:pPr>
            <w:r>
              <w:rPr>
                <w:color w:val="000000" w:themeColor="text1"/>
                <w14:textFill>
                  <w14:solidFill>
                    <w14:schemeClr w14:val="tx1"/>
                  </w14:solidFill>
                </w14:textFill>
              </w:rPr>
              <w:t>定期健康检查，加强卫生监督</w:t>
            </w:r>
          </w:p>
        </w:tc>
        <w:tc>
          <w:tcPr>
            <w:tcW w:w="453" w:type="pct"/>
            <w:vMerge w:val="continue"/>
            <w:tcBorders>
              <w:top w:val="nil"/>
              <w:left w:val="single" w:color="000000" w:sz="4" w:space="0"/>
              <w:bottom w:val="single" w:color="000000" w:sz="4" w:space="0"/>
              <w:right w:val="single" w:color="000000" w:sz="4" w:space="0"/>
            </w:tcBorders>
            <w:vAlign w:val="center"/>
          </w:tcPr>
          <w:p w14:paraId="70246323">
            <w:pPr>
              <w:pStyle w:val="105"/>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784EB9A4">
            <w:pPr>
              <w:pStyle w:val="105"/>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10438823">
            <w:pPr>
              <w:pStyle w:val="105"/>
              <w:rPr>
                <w:color w:val="000000" w:themeColor="text1"/>
                <w14:textFill>
                  <w14:solidFill>
                    <w14:schemeClr w14:val="tx1"/>
                  </w14:solidFill>
                </w14:textFill>
              </w:rPr>
            </w:pPr>
          </w:p>
        </w:tc>
      </w:tr>
      <w:tr w14:paraId="1AC89B0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5" w:hRule="atLeast"/>
        </w:trPr>
        <w:tc>
          <w:tcPr>
            <w:tcW w:w="272" w:type="pct"/>
            <w:vMerge w:val="continue"/>
            <w:tcBorders>
              <w:top w:val="nil"/>
              <w:left w:val="nil"/>
              <w:bottom w:val="single" w:color="000000" w:sz="4" w:space="0"/>
              <w:right w:val="single" w:color="000000" w:sz="4" w:space="0"/>
            </w:tcBorders>
            <w:vAlign w:val="center"/>
          </w:tcPr>
          <w:p w14:paraId="1A9B1F61">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3B543D9F">
            <w:pPr>
              <w:pStyle w:val="105"/>
              <w:rPr>
                <w:color w:val="000000" w:themeColor="text1"/>
                <w14:textFill>
                  <w14:solidFill>
                    <w14:schemeClr w14:val="tx1"/>
                  </w14:solidFill>
                </w14:textFill>
              </w:rPr>
            </w:pPr>
            <w:r>
              <w:rPr>
                <w:color w:val="000000" w:themeColor="text1"/>
                <w14:textFill>
                  <w14:solidFill>
                    <w14:schemeClr w14:val="tx1"/>
                  </w14:solidFill>
                </w14:textFill>
              </w:rPr>
              <w:t>临时表土堆场等</w:t>
            </w:r>
            <w:bookmarkStart w:id="944" w:name="hmcheck_57ea04d12951435eb479f04cb30bd7f2"/>
            <w:r>
              <w:rPr>
                <w:color w:val="000000" w:themeColor="text1"/>
                <w:shd w:val="clear" w:fill="FFAFAA"/>
                <w14:textFill>
                  <w14:solidFill>
                    <w14:schemeClr w14:val="tx1"/>
                  </w14:solidFill>
                </w14:textFill>
              </w:rPr>
              <w:t>对土地</w:t>
            </w:r>
            <w:bookmarkEnd w:id="944"/>
          </w:p>
          <w:p w14:paraId="110B9867">
            <w:pPr>
              <w:pStyle w:val="105"/>
              <w:rPr>
                <w:color w:val="000000" w:themeColor="text1"/>
                <w14:textFill>
                  <w14:solidFill>
                    <w14:schemeClr w14:val="tx1"/>
                  </w14:solidFill>
                </w14:textFill>
              </w:rPr>
            </w:pPr>
            <w:r>
              <w:rPr>
                <w:color w:val="000000" w:themeColor="text1"/>
                <w14:textFill>
                  <w14:solidFill>
                    <w14:schemeClr w14:val="tx1"/>
                  </w14:solidFill>
                </w14:textFill>
              </w:rPr>
              <w:t>利用的影响</w:t>
            </w:r>
          </w:p>
        </w:tc>
        <w:tc>
          <w:tcPr>
            <w:tcW w:w="2098" w:type="pct"/>
            <w:tcBorders>
              <w:top w:val="single" w:color="000000" w:sz="4" w:space="0"/>
              <w:left w:val="single" w:color="000000" w:sz="4" w:space="0"/>
              <w:bottom w:val="single" w:color="000000" w:sz="4" w:space="0"/>
              <w:right w:val="single" w:color="000000" w:sz="4" w:space="0"/>
            </w:tcBorders>
            <w:vAlign w:val="center"/>
          </w:tcPr>
          <w:p w14:paraId="024837D0">
            <w:pPr>
              <w:pStyle w:val="105"/>
              <w:rPr>
                <w:color w:val="000000" w:themeColor="text1"/>
                <w14:textFill>
                  <w14:solidFill>
                    <w14:schemeClr w14:val="tx1"/>
                  </w14:solidFill>
                </w14:textFill>
              </w:rPr>
            </w:pPr>
            <w:r>
              <w:rPr>
                <w:color w:val="000000" w:themeColor="text1"/>
                <w14:textFill>
                  <w14:solidFill>
                    <w14:schemeClr w14:val="tx1"/>
                  </w14:solidFill>
                </w14:textFill>
              </w:rPr>
              <w:t>及时平整土地、按农业技术要求进行土地复垦或植被恢复</w:t>
            </w:r>
          </w:p>
        </w:tc>
        <w:tc>
          <w:tcPr>
            <w:tcW w:w="453" w:type="pct"/>
            <w:vMerge w:val="continue"/>
            <w:tcBorders>
              <w:top w:val="nil"/>
              <w:left w:val="single" w:color="000000" w:sz="4" w:space="0"/>
              <w:bottom w:val="single" w:color="000000" w:sz="4" w:space="0"/>
              <w:right w:val="single" w:color="000000" w:sz="4" w:space="0"/>
            </w:tcBorders>
            <w:vAlign w:val="center"/>
          </w:tcPr>
          <w:p w14:paraId="4F69B2E0">
            <w:pPr>
              <w:pStyle w:val="105"/>
              <w:rPr>
                <w:color w:val="000000" w:themeColor="text1"/>
                <w14:textFill>
                  <w14:solidFill>
                    <w14:schemeClr w14:val="tx1"/>
                  </w14:solidFill>
                </w14:textFill>
              </w:rPr>
            </w:pPr>
          </w:p>
        </w:tc>
        <w:tc>
          <w:tcPr>
            <w:tcW w:w="517" w:type="pct"/>
            <w:vMerge w:val="continue"/>
            <w:tcBorders>
              <w:top w:val="nil"/>
              <w:left w:val="single" w:color="000000" w:sz="4" w:space="0"/>
              <w:bottom w:val="single" w:color="000000" w:sz="4" w:space="0"/>
              <w:right w:val="single" w:color="000000" w:sz="4" w:space="0"/>
            </w:tcBorders>
            <w:vAlign w:val="center"/>
          </w:tcPr>
          <w:p w14:paraId="6FD2ED6F">
            <w:pPr>
              <w:pStyle w:val="105"/>
              <w:rPr>
                <w:color w:val="000000" w:themeColor="text1"/>
                <w14:textFill>
                  <w14:solidFill>
                    <w14:schemeClr w14:val="tx1"/>
                  </w14:solidFill>
                </w14:textFill>
              </w:rPr>
            </w:pPr>
          </w:p>
        </w:tc>
        <w:tc>
          <w:tcPr>
            <w:tcW w:w="447" w:type="pct"/>
            <w:vMerge w:val="continue"/>
            <w:tcBorders>
              <w:top w:val="nil"/>
              <w:left w:val="single" w:color="000000" w:sz="4" w:space="0"/>
              <w:bottom w:val="single" w:color="000000" w:sz="4" w:space="0"/>
              <w:right w:val="nil"/>
            </w:tcBorders>
            <w:vAlign w:val="center"/>
          </w:tcPr>
          <w:p w14:paraId="25288F55">
            <w:pPr>
              <w:pStyle w:val="105"/>
              <w:rPr>
                <w:color w:val="000000" w:themeColor="text1"/>
                <w14:textFill>
                  <w14:solidFill>
                    <w14:schemeClr w14:val="tx1"/>
                  </w14:solidFill>
                </w14:textFill>
              </w:rPr>
            </w:pPr>
          </w:p>
        </w:tc>
      </w:tr>
      <w:tr w14:paraId="03D3C5B5">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807" w:hRule="atLeast"/>
        </w:trPr>
        <w:tc>
          <w:tcPr>
            <w:tcW w:w="272" w:type="pct"/>
            <w:vMerge w:val="restart"/>
            <w:tcBorders>
              <w:top w:val="single" w:color="000000" w:sz="4" w:space="0"/>
              <w:left w:val="nil"/>
              <w:right w:val="single" w:color="000000" w:sz="4" w:space="0"/>
            </w:tcBorders>
            <w:vAlign w:val="center"/>
          </w:tcPr>
          <w:p w14:paraId="39408010">
            <w:pPr>
              <w:pStyle w:val="105"/>
              <w:rPr>
                <w:color w:val="000000" w:themeColor="text1"/>
                <w14:textFill>
                  <w14:solidFill>
                    <w14:schemeClr w14:val="tx1"/>
                  </w14:solidFill>
                </w14:textFill>
              </w:rPr>
            </w:pPr>
            <w:r>
              <w:rPr>
                <w:color w:val="000000" w:themeColor="text1"/>
                <w14:textFill>
                  <w14:solidFill>
                    <w14:schemeClr w14:val="tx1"/>
                  </w14:solidFill>
                </w14:textFill>
              </w:rPr>
              <w:t>运营期</w:t>
            </w:r>
          </w:p>
        </w:tc>
        <w:tc>
          <w:tcPr>
            <w:tcW w:w="1212" w:type="pct"/>
            <w:tcBorders>
              <w:top w:val="single" w:color="000000" w:sz="4" w:space="0"/>
              <w:left w:val="single" w:color="000000" w:sz="4" w:space="0"/>
              <w:bottom w:val="single" w:color="000000" w:sz="4" w:space="0"/>
              <w:right w:val="single" w:color="000000" w:sz="4" w:space="0"/>
            </w:tcBorders>
            <w:vAlign w:val="center"/>
          </w:tcPr>
          <w:p w14:paraId="17F66C34">
            <w:pPr>
              <w:pStyle w:val="105"/>
              <w:rPr>
                <w:color w:val="000000" w:themeColor="text1"/>
                <w14:textFill>
                  <w14:solidFill>
                    <w14:schemeClr w14:val="tx1"/>
                  </w14:solidFill>
                </w14:textFill>
              </w:rPr>
            </w:pPr>
            <w:r>
              <w:rPr>
                <w:color w:val="000000" w:themeColor="text1"/>
                <w14:textFill>
                  <w14:solidFill>
                    <w14:schemeClr w14:val="tx1"/>
                  </w14:solidFill>
                </w14:textFill>
              </w:rPr>
              <w:t>生态环境恢复</w:t>
            </w:r>
          </w:p>
          <w:p w14:paraId="176ED053">
            <w:pPr>
              <w:pStyle w:val="105"/>
              <w:rPr>
                <w:color w:val="000000" w:themeColor="text1"/>
                <w14:textFill>
                  <w14:solidFill>
                    <w14:schemeClr w14:val="tx1"/>
                  </w14:solidFill>
                </w14:textFill>
              </w:rPr>
            </w:pPr>
            <w:r>
              <w:rPr>
                <w:color w:val="000000" w:themeColor="text1"/>
                <w14:textFill>
                  <w14:solidFill>
                    <w14:schemeClr w14:val="tx1"/>
                  </w14:solidFill>
                </w14:textFill>
              </w:rPr>
              <w:t>大气污染和噪声污染</w:t>
            </w:r>
          </w:p>
        </w:tc>
        <w:tc>
          <w:tcPr>
            <w:tcW w:w="2098" w:type="pct"/>
            <w:tcBorders>
              <w:top w:val="single" w:color="000000" w:sz="4" w:space="0"/>
              <w:left w:val="single" w:color="000000" w:sz="4" w:space="0"/>
              <w:bottom w:val="single" w:color="000000" w:sz="4" w:space="0"/>
              <w:right w:val="single" w:color="000000" w:sz="4" w:space="0"/>
            </w:tcBorders>
            <w:vAlign w:val="center"/>
          </w:tcPr>
          <w:p w14:paraId="7B101C27">
            <w:pPr>
              <w:pStyle w:val="105"/>
              <w:rPr>
                <w:color w:val="000000" w:themeColor="text1"/>
                <w14:textFill>
                  <w14:solidFill>
                    <w14:schemeClr w14:val="tx1"/>
                  </w14:solidFill>
                </w14:textFill>
              </w:rPr>
            </w:pPr>
            <w:r>
              <w:rPr>
                <w:color w:val="000000" w:themeColor="text1"/>
                <w14:textFill>
                  <w14:solidFill>
                    <w14:schemeClr w14:val="tx1"/>
                  </w14:solidFill>
                </w14:textFill>
              </w:rPr>
              <w:t>结合环保拆迁，设置绿化带和声屏障等，精心养护公路用地范围内的绿化工程</w:t>
            </w:r>
          </w:p>
        </w:tc>
        <w:tc>
          <w:tcPr>
            <w:tcW w:w="453" w:type="pct"/>
            <w:vMerge w:val="restart"/>
            <w:tcBorders>
              <w:top w:val="single" w:color="000000" w:sz="4" w:space="0"/>
              <w:left w:val="single" w:color="000000" w:sz="4" w:space="0"/>
              <w:right w:val="single" w:color="000000" w:sz="4" w:space="0"/>
            </w:tcBorders>
            <w:vAlign w:val="center"/>
          </w:tcPr>
          <w:p w14:paraId="0C79400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福清市交通建设投资集团有限公司</w:t>
            </w:r>
          </w:p>
        </w:tc>
        <w:tc>
          <w:tcPr>
            <w:tcW w:w="517" w:type="pct"/>
            <w:vMerge w:val="restart"/>
            <w:tcBorders>
              <w:top w:val="single" w:color="000000" w:sz="4" w:space="0"/>
              <w:left w:val="single" w:color="000000" w:sz="4" w:space="0"/>
              <w:right w:val="single" w:color="000000" w:sz="4" w:space="0"/>
            </w:tcBorders>
            <w:vAlign w:val="center"/>
          </w:tcPr>
          <w:p w14:paraId="39FDA81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福清市交通建设投资集团有限公司</w:t>
            </w:r>
          </w:p>
        </w:tc>
        <w:tc>
          <w:tcPr>
            <w:tcW w:w="447" w:type="pct"/>
            <w:vMerge w:val="restart"/>
            <w:tcBorders>
              <w:top w:val="single" w:color="000000" w:sz="4" w:space="0"/>
              <w:left w:val="single" w:color="000000" w:sz="4" w:space="0"/>
              <w:right w:val="nil"/>
            </w:tcBorders>
            <w:vAlign w:val="center"/>
          </w:tcPr>
          <w:p w14:paraId="7D066CF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福州市福清</w:t>
            </w:r>
            <w:r>
              <w:rPr>
                <w:color w:val="000000" w:themeColor="text1"/>
                <w14:textFill>
                  <w14:solidFill>
                    <w14:schemeClr w14:val="tx1"/>
                  </w14:solidFill>
                </w14:textFill>
              </w:rPr>
              <w:t>生态环境局、公安消防部门</w:t>
            </w:r>
          </w:p>
        </w:tc>
      </w:tr>
      <w:tr w14:paraId="05B5C26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5" w:hRule="atLeast"/>
        </w:trPr>
        <w:tc>
          <w:tcPr>
            <w:tcW w:w="272" w:type="pct"/>
            <w:vMerge w:val="continue"/>
            <w:tcBorders>
              <w:top w:val="nil"/>
              <w:left w:val="nil"/>
              <w:right w:val="single" w:color="000000" w:sz="4" w:space="0"/>
            </w:tcBorders>
            <w:vAlign w:val="center"/>
          </w:tcPr>
          <w:p w14:paraId="1781D7B3">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6DF268C5">
            <w:pPr>
              <w:pStyle w:val="105"/>
              <w:rPr>
                <w:color w:val="000000" w:themeColor="text1"/>
                <w14:textFill>
                  <w14:solidFill>
                    <w14:schemeClr w14:val="tx1"/>
                  </w14:solidFill>
                </w14:textFill>
              </w:rPr>
            </w:pPr>
            <w:r>
              <w:rPr>
                <w:color w:val="000000" w:themeColor="text1"/>
                <w14:textFill>
                  <w14:solidFill>
                    <w14:schemeClr w14:val="tx1"/>
                  </w14:solidFill>
                </w14:textFill>
              </w:rPr>
              <w:t>路面径流污染</w:t>
            </w:r>
          </w:p>
        </w:tc>
        <w:tc>
          <w:tcPr>
            <w:tcW w:w="2098" w:type="pct"/>
            <w:tcBorders>
              <w:top w:val="single" w:color="000000" w:sz="4" w:space="0"/>
              <w:left w:val="single" w:color="000000" w:sz="4" w:space="0"/>
              <w:bottom w:val="single" w:color="000000" w:sz="4" w:space="0"/>
              <w:right w:val="single" w:color="000000" w:sz="4" w:space="0"/>
            </w:tcBorders>
            <w:vAlign w:val="center"/>
          </w:tcPr>
          <w:p w14:paraId="6BFAAADD">
            <w:pPr>
              <w:pStyle w:val="105"/>
              <w:rPr>
                <w:color w:val="000000" w:themeColor="text1"/>
                <w14:textFill>
                  <w14:solidFill>
                    <w14:schemeClr w14:val="tx1"/>
                  </w14:solidFill>
                </w14:textFill>
              </w:rPr>
            </w:pPr>
            <w:r>
              <w:rPr>
                <w:color w:val="000000" w:themeColor="text1"/>
                <w14:textFill>
                  <w14:solidFill>
                    <w14:schemeClr w14:val="tx1"/>
                  </w14:solidFill>
                </w14:textFill>
              </w:rPr>
              <w:t>采取疏通边沟等措施，不使其直接排入水体</w:t>
            </w:r>
          </w:p>
        </w:tc>
        <w:tc>
          <w:tcPr>
            <w:tcW w:w="453" w:type="pct"/>
            <w:vMerge w:val="continue"/>
            <w:tcBorders>
              <w:top w:val="nil"/>
              <w:left w:val="single" w:color="000000" w:sz="4" w:space="0"/>
              <w:right w:val="single" w:color="000000" w:sz="4" w:space="0"/>
            </w:tcBorders>
            <w:vAlign w:val="center"/>
          </w:tcPr>
          <w:p w14:paraId="61B8A0A8">
            <w:pPr>
              <w:pStyle w:val="105"/>
              <w:rPr>
                <w:color w:val="000000" w:themeColor="text1"/>
                <w14:textFill>
                  <w14:solidFill>
                    <w14:schemeClr w14:val="tx1"/>
                  </w14:solidFill>
                </w14:textFill>
              </w:rPr>
            </w:pPr>
          </w:p>
        </w:tc>
        <w:tc>
          <w:tcPr>
            <w:tcW w:w="517" w:type="pct"/>
            <w:vMerge w:val="continue"/>
            <w:tcBorders>
              <w:top w:val="nil"/>
              <w:left w:val="single" w:color="000000" w:sz="4" w:space="0"/>
              <w:right w:val="single" w:color="000000" w:sz="4" w:space="0"/>
            </w:tcBorders>
            <w:vAlign w:val="center"/>
          </w:tcPr>
          <w:p w14:paraId="386F45C1">
            <w:pPr>
              <w:pStyle w:val="105"/>
              <w:rPr>
                <w:color w:val="000000" w:themeColor="text1"/>
                <w14:textFill>
                  <w14:solidFill>
                    <w14:schemeClr w14:val="tx1"/>
                  </w14:solidFill>
                </w14:textFill>
              </w:rPr>
            </w:pPr>
          </w:p>
        </w:tc>
        <w:tc>
          <w:tcPr>
            <w:tcW w:w="447" w:type="pct"/>
            <w:vMerge w:val="continue"/>
            <w:tcBorders>
              <w:top w:val="nil"/>
              <w:left w:val="single" w:color="000000" w:sz="4" w:space="0"/>
              <w:right w:val="nil"/>
            </w:tcBorders>
            <w:vAlign w:val="center"/>
          </w:tcPr>
          <w:p w14:paraId="70496278">
            <w:pPr>
              <w:pStyle w:val="105"/>
              <w:rPr>
                <w:color w:val="000000" w:themeColor="text1"/>
                <w14:textFill>
                  <w14:solidFill>
                    <w14:schemeClr w14:val="tx1"/>
                  </w14:solidFill>
                </w14:textFill>
              </w:rPr>
            </w:pPr>
          </w:p>
        </w:tc>
      </w:tr>
      <w:tr w14:paraId="32B6DEC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5" w:hRule="atLeast"/>
        </w:trPr>
        <w:tc>
          <w:tcPr>
            <w:tcW w:w="272" w:type="pct"/>
            <w:vMerge w:val="continue"/>
            <w:tcBorders>
              <w:top w:val="nil"/>
              <w:left w:val="nil"/>
              <w:right w:val="single" w:color="000000" w:sz="4" w:space="0"/>
            </w:tcBorders>
            <w:vAlign w:val="center"/>
          </w:tcPr>
          <w:p w14:paraId="3C497D9E">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bottom w:val="single" w:color="000000" w:sz="4" w:space="0"/>
              <w:right w:val="single" w:color="000000" w:sz="4" w:space="0"/>
            </w:tcBorders>
            <w:vAlign w:val="center"/>
          </w:tcPr>
          <w:p w14:paraId="110D7493">
            <w:pPr>
              <w:pStyle w:val="105"/>
              <w:rPr>
                <w:color w:val="000000" w:themeColor="text1"/>
                <w14:textFill>
                  <w14:solidFill>
                    <w14:schemeClr w14:val="tx1"/>
                  </w14:solidFill>
                </w14:textFill>
              </w:rPr>
            </w:pPr>
            <w:r>
              <w:rPr>
                <w:color w:val="000000" w:themeColor="text1"/>
                <w14:textFill>
                  <w14:solidFill>
                    <w14:schemeClr w14:val="tx1"/>
                  </w14:solidFill>
                </w14:textFill>
              </w:rPr>
              <w:t>危险品运输风险事故</w:t>
            </w:r>
          </w:p>
        </w:tc>
        <w:tc>
          <w:tcPr>
            <w:tcW w:w="2098" w:type="pct"/>
            <w:tcBorders>
              <w:top w:val="single" w:color="000000" w:sz="4" w:space="0"/>
              <w:left w:val="single" w:color="000000" w:sz="4" w:space="0"/>
              <w:bottom w:val="single" w:color="000000" w:sz="4" w:space="0"/>
              <w:right w:val="single" w:color="000000" w:sz="4" w:space="0"/>
            </w:tcBorders>
            <w:vAlign w:val="center"/>
          </w:tcPr>
          <w:p w14:paraId="53B3BEB4">
            <w:pPr>
              <w:pStyle w:val="105"/>
              <w:rPr>
                <w:color w:val="000000" w:themeColor="text1"/>
                <w14:textFill>
                  <w14:solidFill>
                    <w14:schemeClr w14:val="tx1"/>
                  </w14:solidFill>
                </w14:textFill>
              </w:rPr>
            </w:pPr>
            <w:r>
              <w:rPr>
                <w:color w:val="000000" w:themeColor="text1"/>
                <w14:textFill>
                  <w14:solidFill>
                    <w14:schemeClr w14:val="tx1"/>
                  </w14:solidFill>
                </w14:textFill>
              </w:rPr>
              <w:t>制定和执行危险品运输风险事故应急计划并加强管理</w:t>
            </w:r>
          </w:p>
        </w:tc>
        <w:tc>
          <w:tcPr>
            <w:tcW w:w="453" w:type="pct"/>
            <w:vMerge w:val="continue"/>
            <w:tcBorders>
              <w:top w:val="nil"/>
              <w:left w:val="single" w:color="000000" w:sz="4" w:space="0"/>
              <w:right w:val="single" w:color="000000" w:sz="4" w:space="0"/>
            </w:tcBorders>
            <w:vAlign w:val="center"/>
          </w:tcPr>
          <w:p w14:paraId="66FC8273">
            <w:pPr>
              <w:pStyle w:val="105"/>
              <w:rPr>
                <w:color w:val="000000" w:themeColor="text1"/>
                <w14:textFill>
                  <w14:solidFill>
                    <w14:schemeClr w14:val="tx1"/>
                  </w14:solidFill>
                </w14:textFill>
              </w:rPr>
            </w:pPr>
          </w:p>
        </w:tc>
        <w:tc>
          <w:tcPr>
            <w:tcW w:w="517" w:type="pct"/>
            <w:vMerge w:val="continue"/>
            <w:tcBorders>
              <w:top w:val="nil"/>
              <w:left w:val="single" w:color="000000" w:sz="4" w:space="0"/>
              <w:right w:val="single" w:color="000000" w:sz="4" w:space="0"/>
            </w:tcBorders>
            <w:vAlign w:val="center"/>
          </w:tcPr>
          <w:p w14:paraId="57E0FAEF">
            <w:pPr>
              <w:pStyle w:val="105"/>
              <w:rPr>
                <w:color w:val="000000" w:themeColor="text1"/>
                <w14:textFill>
                  <w14:solidFill>
                    <w14:schemeClr w14:val="tx1"/>
                  </w14:solidFill>
                </w14:textFill>
              </w:rPr>
            </w:pPr>
          </w:p>
        </w:tc>
        <w:tc>
          <w:tcPr>
            <w:tcW w:w="447" w:type="pct"/>
            <w:vMerge w:val="continue"/>
            <w:tcBorders>
              <w:top w:val="nil"/>
              <w:left w:val="single" w:color="000000" w:sz="4" w:space="0"/>
              <w:right w:val="nil"/>
            </w:tcBorders>
            <w:vAlign w:val="center"/>
          </w:tcPr>
          <w:p w14:paraId="2AF7518B">
            <w:pPr>
              <w:pStyle w:val="105"/>
              <w:rPr>
                <w:color w:val="000000" w:themeColor="text1"/>
                <w14:textFill>
                  <w14:solidFill>
                    <w14:schemeClr w14:val="tx1"/>
                  </w14:solidFill>
                </w14:textFill>
              </w:rPr>
            </w:pPr>
          </w:p>
        </w:tc>
      </w:tr>
      <w:tr w14:paraId="57C8A191">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33" w:hRule="atLeast"/>
        </w:trPr>
        <w:tc>
          <w:tcPr>
            <w:tcW w:w="272" w:type="pct"/>
            <w:vMerge w:val="continue"/>
            <w:tcBorders>
              <w:top w:val="nil"/>
              <w:left w:val="nil"/>
              <w:right w:val="single" w:color="000000" w:sz="4" w:space="0"/>
            </w:tcBorders>
            <w:vAlign w:val="center"/>
          </w:tcPr>
          <w:p w14:paraId="2F7C72CC">
            <w:pPr>
              <w:pStyle w:val="105"/>
              <w:rPr>
                <w:color w:val="000000" w:themeColor="text1"/>
                <w14:textFill>
                  <w14:solidFill>
                    <w14:schemeClr w14:val="tx1"/>
                  </w14:solidFill>
                </w14:textFill>
              </w:rPr>
            </w:pPr>
          </w:p>
        </w:tc>
        <w:tc>
          <w:tcPr>
            <w:tcW w:w="1212" w:type="pct"/>
            <w:tcBorders>
              <w:top w:val="single" w:color="000000" w:sz="4" w:space="0"/>
              <w:left w:val="single" w:color="000000" w:sz="4" w:space="0"/>
              <w:right w:val="single" w:color="000000" w:sz="4" w:space="0"/>
            </w:tcBorders>
            <w:vAlign w:val="center"/>
          </w:tcPr>
          <w:p w14:paraId="7C9852BB">
            <w:pPr>
              <w:pStyle w:val="105"/>
              <w:rPr>
                <w:color w:val="000000" w:themeColor="text1"/>
                <w14:textFill>
                  <w14:solidFill>
                    <w14:schemeClr w14:val="tx1"/>
                  </w14:solidFill>
                </w14:textFill>
              </w:rPr>
            </w:pPr>
            <w:r>
              <w:rPr>
                <w:color w:val="000000" w:themeColor="text1"/>
                <w14:textFill>
                  <w14:solidFill>
                    <w14:schemeClr w14:val="tx1"/>
                  </w14:solidFill>
                </w14:textFill>
              </w:rPr>
              <w:t>交通事故</w:t>
            </w:r>
          </w:p>
        </w:tc>
        <w:tc>
          <w:tcPr>
            <w:tcW w:w="2098" w:type="pct"/>
            <w:tcBorders>
              <w:top w:val="single" w:color="000000" w:sz="4" w:space="0"/>
              <w:left w:val="single" w:color="000000" w:sz="4" w:space="0"/>
              <w:right w:val="single" w:color="000000" w:sz="4" w:space="0"/>
            </w:tcBorders>
            <w:vAlign w:val="center"/>
          </w:tcPr>
          <w:p w14:paraId="5BF486A7">
            <w:pPr>
              <w:pStyle w:val="105"/>
              <w:rPr>
                <w:color w:val="000000" w:themeColor="text1"/>
                <w14:textFill>
                  <w14:solidFill>
                    <w14:schemeClr w14:val="tx1"/>
                  </w14:solidFill>
                </w14:textFill>
              </w:rPr>
            </w:pPr>
            <w:r>
              <w:rPr>
                <w:color w:val="000000" w:themeColor="text1"/>
                <w14:textFill>
                  <w14:solidFill>
                    <w14:schemeClr w14:val="tx1"/>
                  </w14:solidFill>
                </w14:textFill>
              </w:rPr>
              <w:t>制定和执行交通事故处置计划</w:t>
            </w:r>
          </w:p>
          <w:p w14:paraId="0330C581">
            <w:pPr>
              <w:pStyle w:val="105"/>
              <w:rPr>
                <w:color w:val="000000" w:themeColor="text1"/>
                <w14:textFill>
                  <w14:solidFill>
                    <w14:schemeClr w14:val="tx1"/>
                  </w14:solidFill>
                </w14:textFill>
              </w:rPr>
            </w:pPr>
            <w:r>
              <w:rPr>
                <w:color w:val="000000" w:themeColor="text1"/>
                <w14:textFill>
                  <w14:solidFill>
                    <w14:schemeClr w14:val="tx1"/>
                  </w14:solidFill>
                </w14:textFill>
              </w:rPr>
              <w:t>通行车辆必须加装后防雾灯</w:t>
            </w:r>
          </w:p>
        </w:tc>
        <w:tc>
          <w:tcPr>
            <w:tcW w:w="453" w:type="pct"/>
            <w:vMerge w:val="continue"/>
            <w:tcBorders>
              <w:top w:val="nil"/>
              <w:left w:val="single" w:color="000000" w:sz="4" w:space="0"/>
              <w:right w:val="single" w:color="000000" w:sz="4" w:space="0"/>
            </w:tcBorders>
            <w:vAlign w:val="center"/>
          </w:tcPr>
          <w:p w14:paraId="13F33089">
            <w:pPr>
              <w:pStyle w:val="105"/>
              <w:rPr>
                <w:color w:val="000000" w:themeColor="text1"/>
                <w14:textFill>
                  <w14:solidFill>
                    <w14:schemeClr w14:val="tx1"/>
                  </w14:solidFill>
                </w14:textFill>
              </w:rPr>
            </w:pPr>
          </w:p>
        </w:tc>
        <w:tc>
          <w:tcPr>
            <w:tcW w:w="517" w:type="pct"/>
            <w:vMerge w:val="continue"/>
            <w:tcBorders>
              <w:top w:val="nil"/>
              <w:left w:val="single" w:color="000000" w:sz="4" w:space="0"/>
              <w:right w:val="single" w:color="000000" w:sz="4" w:space="0"/>
            </w:tcBorders>
            <w:vAlign w:val="center"/>
          </w:tcPr>
          <w:p w14:paraId="3D4ED688">
            <w:pPr>
              <w:pStyle w:val="105"/>
              <w:rPr>
                <w:color w:val="000000" w:themeColor="text1"/>
                <w14:textFill>
                  <w14:solidFill>
                    <w14:schemeClr w14:val="tx1"/>
                  </w14:solidFill>
                </w14:textFill>
              </w:rPr>
            </w:pPr>
          </w:p>
        </w:tc>
        <w:tc>
          <w:tcPr>
            <w:tcW w:w="447" w:type="pct"/>
            <w:vMerge w:val="continue"/>
            <w:tcBorders>
              <w:top w:val="nil"/>
              <w:left w:val="single" w:color="000000" w:sz="4" w:space="0"/>
              <w:right w:val="nil"/>
            </w:tcBorders>
            <w:vAlign w:val="center"/>
          </w:tcPr>
          <w:p w14:paraId="1CDD030F">
            <w:pPr>
              <w:pStyle w:val="105"/>
              <w:rPr>
                <w:color w:val="000000" w:themeColor="text1"/>
                <w14:textFill>
                  <w14:solidFill>
                    <w14:schemeClr w14:val="tx1"/>
                  </w14:solidFill>
                </w14:textFill>
              </w:rPr>
            </w:pPr>
          </w:p>
        </w:tc>
      </w:tr>
    </w:tbl>
    <w:p w14:paraId="15BD3E02">
      <w:pPr>
        <w:pStyle w:val="116"/>
        <w:rPr>
          <w:color w:val="000000" w:themeColor="text1"/>
          <w14:textFill>
            <w14:solidFill>
              <w14:schemeClr w14:val="tx1"/>
            </w14:solidFill>
          </w14:textFill>
        </w:rPr>
      </w:pPr>
      <w:bookmarkStart w:id="945" w:name="_Toc149645972"/>
      <w:bookmarkStart w:id="946" w:name="_Toc146525002"/>
      <w:bookmarkStart w:id="947" w:name="_Toc154668076"/>
      <w:bookmarkStart w:id="948" w:name="_Toc193912405"/>
      <w:bookmarkStart w:id="949" w:name="_Toc159405499"/>
      <w:r>
        <w:rPr>
          <w:rFonts w:hint="eastAsia"/>
          <w:color w:val="000000" w:themeColor="text1"/>
          <w14:textFill>
            <w14:solidFill>
              <w14:schemeClr w14:val="tx1"/>
            </w14:solidFill>
          </w14:textFill>
        </w:rPr>
        <w:t>环境监测</w:t>
      </w:r>
      <w:bookmarkEnd w:id="945"/>
      <w:bookmarkEnd w:id="946"/>
      <w:bookmarkEnd w:id="947"/>
      <w:bookmarkEnd w:id="948"/>
      <w:bookmarkEnd w:id="949"/>
    </w:p>
    <w:p w14:paraId="45EE2206">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环境监测目的和原则</w:t>
      </w:r>
    </w:p>
    <w:p w14:paraId="079AED2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制订环境监测计划的目的是监督各项环保措施的落实执行情况，根据监测结果适时调整环境保护行动计划，为环保措施的实施时间和周期提供依据，为项目的环保竣工验收提供依据。制订的原则是根据预测的各个时期的主要环境影响及可能超标的路段和超标量而确定（重点是主要敏感点、地段）。</w:t>
      </w:r>
    </w:p>
    <w:p w14:paraId="2F0AA1AD">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环境监测机构</w:t>
      </w:r>
    </w:p>
    <w:p w14:paraId="41EB87B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本项目不设置专门的环境监测机构，环境监测工作拟由业主委托有监测资质的监测单位进行，环境监测主要为工程施工期。运营期监测纳入地方日常环境管理监测中。</w:t>
      </w:r>
    </w:p>
    <w:p w14:paraId="1A0987B3">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环境监测计划</w:t>
      </w:r>
    </w:p>
    <w:p w14:paraId="7FDB1EA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（1）施工阶段的环境监控计划：将相关环保措施纳入施工招标项目中，并做好相关环境监测计划。</w:t>
      </w:r>
    </w:p>
    <w:p w14:paraId="328B827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（2）运营期的环境监测计划：主要根据运营期对环境的影响，制定环境监测计划，运营期委托资质单位进行监测。初拟见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_Ref152942440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表9.2-1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，根据工程具体情况调整。</w:t>
      </w:r>
    </w:p>
    <w:p w14:paraId="7944147B">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pPr>
      <w:r>
        <w:rPr>
          <w:rFonts w:ascii="Times New Roman" w:hAnsi="Times New Roman" w:cs="Times New Roman"/>
          <w:color w:val="000000" w:themeColor="text1"/>
          <w:spacing w:val="-3"/>
          <w14:textFill>
            <w14:solidFill>
              <w14:schemeClr w14:val="tx1"/>
            </w14:solidFill>
          </w14:textFill>
        </w:rPr>
        <w:t>（3）事故监测</w:t>
      </w:r>
      <w:r>
        <w:rPr>
          <w:rFonts w:hint="eastAsia" w:ascii="Times New Roman" w:hAnsi="Times New Roman" w:cs="Times New Roman"/>
          <w:color w:val="000000" w:themeColor="text1"/>
          <w:spacing w:val="-3"/>
          <w14:textFill>
            <w14:solidFill>
              <w14:schemeClr w14:val="tx1"/>
            </w14:solidFill>
          </w14:textFill>
        </w:rPr>
        <w:t>：</w:t>
      </w:r>
      <w:r>
        <w:rPr>
          <w:rFonts w:ascii="Times New Roman" w:hAnsi="Times New Roman" w:cs="Times New Roman"/>
          <w:color w:val="000000" w:themeColor="text1"/>
          <w:spacing w:val="-3"/>
          <w14:textFill>
            <w14:solidFill>
              <w14:schemeClr w14:val="tx1"/>
            </w14:solidFill>
          </w14:textFill>
        </w:rPr>
        <w:t>运营期若发生污染事故时，应根据污染物变化趋势及时进行跟踪监测，监测项目为主要事故污染</w:t>
      </w:r>
      <w:r>
        <w:rPr>
          <w:rFonts w:hint="eastAsia" w:ascii="Times New Roman" w:hAnsi="Times New Roman" w:cs="Times New Roman"/>
          <w:color w:val="000000" w:themeColor="text1"/>
          <w:spacing w:val="-3"/>
          <w14:textFill>
            <w14:solidFill>
              <w14:schemeClr w14:val="tx1"/>
            </w14:solidFill>
          </w14:textFill>
        </w:rPr>
        <w:t>物</w:t>
      </w:r>
      <w:r>
        <w:rPr>
          <w:rFonts w:ascii="Times New Roman" w:hAnsi="Times New Roman" w:cs="Times New Roman"/>
          <w:color w:val="000000" w:themeColor="text1"/>
          <w:spacing w:val="-3"/>
          <w14:textFill>
            <w14:solidFill>
              <w14:schemeClr w14:val="tx1"/>
            </w14:solidFill>
          </w14:textFill>
        </w:rPr>
        <w:t>，监测结果应及时向有关部门</w:t>
      </w:r>
      <w:r>
        <w:rPr>
          <w:rFonts w:hint="eastAsia" w:ascii="Times New Roman" w:hAnsi="Times New Roman" w:cs="Times New Roman"/>
          <w:color w:val="000000" w:themeColor="text1"/>
          <w:spacing w:val="-3"/>
          <w14:textFill>
            <w14:solidFill>
              <w14:schemeClr w14:val="tx1"/>
            </w14:solidFill>
          </w14:textFill>
        </w:rPr>
        <w:t>报告</w:t>
      </w:r>
      <w:r>
        <w:rPr>
          <w:rFonts w:ascii="Times New Roman" w:hAnsi="Times New Roman" w:cs="Times New Roman"/>
          <w:color w:val="000000" w:themeColor="text1"/>
          <w:spacing w:val="-3"/>
          <w14:textFill>
            <w14:solidFill>
              <w14:schemeClr w14:val="tx1"/>
            </w14:solidFill>
          </w14:textFill>
        </w:rPr>
        <w:t>，以便及时采取应急对策。</w:t>
      </w:r>
    </w:p>
    <w:p w14:paraId="60744479">
      <w:pPr>
        <w:pStyle w:val="87"/>
        <w:spacing w:before="120"/>
        <w:rPr>
          <w:color w:val="000000" w:themeColor="text1"/>
          <w14:textFill>
            <w14:solidFill>
              <w14:schemeClr w14:val="tx1"/>
            </w14:solidFill>
          </w14:textFill>
        </w:rPr>
      </w:pPr>
      <w:bookmarkStart w:id="950" w:name="_Ref152942440"/>
      <w:r>
        <w:rPr>
          <w:rFonts w:hint="eastAsia"/>
          <w:color w:val="000000" w:themeColor="text1"/>
          <w14:textFill>
            <w14:solidFill>
              <w14:schemeClr w14:val="tx1"/>
            </w14:solidFill>
          </w14:textFill>
        </w:rPr>
        <w:t>项目环境</w:t>
      </w:r>
      <w:r>
        <w:rPr>
          <w:color w:val="000000" w:themeColor="text1"/>
          <w14:textFill>
            <w14:solidFill>
              <w14:schemeClr w14:val="tx1"/>
            </w14:solidFill>
          </w14:textFill>
        </w:rPr>
        <w:t>监测计划</w:t>
      </w:r>
      <w:bookmarkEnd w:id="950"/>
    </w:p>
    <w:tbl>
      <w:tblPr>
        <w:tblStyle w:val="157"/>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71"/>
        <w:gridCol w:w="1292"/>
        <w:gridCol w:w="1869"/>
        <w:gridCol w:w="3727"/>
        <w:gridCol w:w="1729"/>
      </w:tblGrid>
      <w:tr w14:paraId="2BE851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1" w:type="pct"/>
            <w:tcMar>
              <w:left w:w="57" w:type="dxa"/>
              <w:right w:w="57" w:type="dxa"/>
            </w:tcMar>
            <w:vAlign w:val="center"/>
          </w:tcPr>
          <w:p w14:paraId="3270B6D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实施阶段</w:t>
            </w:r>
          </w:p>
        </w:tc>
        <w:tc>
          <w:tcPr>
            <w:tcW w:w="703" w:type="pct"/>
            <w:tcMar>
              <w:left w:w="57" w:type="dxa"/>
              <w:right w:w="57" w:type="dxa"/>
            </w:tcMar>
            <w:vAlign w:val="center"/>
          </w:tcPr>
          <w:p w14:paraId="6E2BBE2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监测内</w:t>
            </w:r>
          </w:p>
          <w:p w14:paraId="0E58C84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容</w:t>
            </w:r>
          </w:p>
        </w:tc>
        <w:tc>
          <w:tcPr>
            <w:tcW w:w="1017" w:type="pct"/>
            <w:tcMar>
              <w:left w:w="57" w:type="dxa"/>
              <w:right w:w="57" w:type="dxa"/>
            </w:tcMar>
            <w:vAlign w:val="center"/>
          </w:tcPr>
          <w:p w14:paraId="4612C32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监测因子</w:t>
            </w:r>
          </w:p>
        </w:tc>
        <w:tc>
          <w:tcPr>
            <w:tcW w:w="2028" w:type="pct"/>
            <w:tcMar>
              <w:left w:w="57" w:type="dxa"/>
              <w:right w:w="57" w:type="dxa"/>
            </w:tcMar>
            <w:vAlign w:val="center"/>
          </w:tcPr>
          <w:p w14:paraId="5050A4F7">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监测点位</w:t>
            </w:r>
          </w:p>
        </w:tc>
        <w:tc>
          <w:tcPr>
            <w:tcW w:w="941" w:type="pct"/>
            <w:tcMar>
              <w:left w:w="57" w:type="dxa"/>
              <w:right w:w="57" w:type="dxa"/>
            </w:tcMar>
            <w:vAlign w:val="center"/>
          </w:tcPr>
          <w:p w14:paraId="24F4DB2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监测时间、频次</w:t>
            </w:r>
          </w:p>
        </w:tc>
      </w:tr>
      <w:tr w14:paraId="69A446E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1" w:type="pct"/>
            <w:vMerge w:val="restart"/>
            <w:tcMar>
              <w:left w:w="57" w:type="dxa"/>
              <w:right w:w="57" w:type="dxa"/>
            </w:tcMar>
            <w:vAlign w:val="center"/>
          </w:tcPr>
          <w:p w14:paraId="33C5827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施工期</w:t>
            </w:r>
          </w:p>
        </w:tc>
        <w:tc>
          <w:tcPr>
            <w:tcW w:w="703" w:type="pct"/>
            <w:tcMar>
              <w:left w:w="57" w:type="dxa"/>
              <w:right w:w="57" w:type="dxa"/>
            </w:tcMar>
            <w:vAlign w:val="center"/>
          </w:tcPr>
          <w:p w14:paraId="3D4E9FF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大气环境</w:t>
            </w:r>
          </w:p>
        </w:tc>
        <w:tc>
          <w:tcPr>
            <w:tcW w:w="1017" w:type="pct"/>
            <w:tcMar>
              <w:left w:w="57" w:type="dxa"/>
              <w:right w:w="57" w:type="dxa"/>
            </w:tcMar>
            <w:vAlign w:val="center"/>
          </w:tcPr>
          <w:p w14:paraId="4FCD883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TSP、PM</w:t>
            </w:r>
            <w:r>
              <w:rPr>
                <w:color w:val="000000" w:themeColor="text1"/>
                <w:vertAlign w:val="subscript"/>
                <w14:textFill>
                  <w14:solidFill>
                    <w14:schemeClr w14:val="tx1"/>
                  </w14:solidFill>
                </w14:textFill>
              </w:rPr>
              <w:t>10</w:t>
            </w:r>
          </w:p>
        </w:tc>
        <w:tc>
          <w:tcPr>
            <w:tcW w:w="2028" w:type="pct"/>
            <w:tcMar>
              <w:left w:w="57" w:type="dxa"/>
              <w:right w:w="57" w:type="dxa"/>
            </w:tcMar>
            <w:vAlign w:val="center"/>
          </w:tcPr>
          <w:p w14:paraId="719F54AC">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项目沿线 200m 范围内典型现状敏感点（主要为</w:t>
            </w:r>
            <w:r>
              <w:rPr>
                <w:rFonts w:hint="eastAsia"/>
                <w:color w:val="000000" w:themeColor="text1"/>
                <w14:textFill>
                  <w14:solidFill>
                    <w14:schemeClr w14:val="tx1"/>
                  </w14:solidFill>
                </w14:textFill>
              </w:rPr>
              <w:t>牌边村、上张村、联华村等</w:t>
            </w:r>
            <w:r>
              <w:rPr>
                <w:color w:val="000000" w:themeColor="text1"/>
                <w14:textFill>
                  <w14:solidFill>
                    <w14:schemeClr w14:val="tx1"/>
                  </w14:solidFill>
                </w14:textFill>
              </w:rPr>
              <w:t>）</w:t>
            </w:r>
          </w:p>
        </w:tc>
        <w:tc>
          <w:tcPr>
            <w:tcW w:w="941" w:type="pct"/>
            <w:tcMar>
              <w:left w:w="57" w:type="dxa"/>
              <w:right w:w="57" w:type="dxa"/>
            </w:tcMar>
            <w:vAlign w:val="center"/>
          </w:tcPr>
          <w:p w14:paraId="21B4AAE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施工高峰期</w:t>
            </w:r>
            <w:r>
              <w:rPr>
                <w:rFonts w:hint="eastAsia"/>
                <w:color w:val="000000" w:themeColor="text1"/>
                <w14:textFill>
                  <w14:solidFill>
                    <w14:schemeClr w14:val="tx1"/>
                  </w14:solidFill>
                </w14:textFill>
              </w:rPr>
              <w:t>1</w:t>
            </w:r>
            <w:bookmarkStart w:id="951" w:name="hmcheck_64aa1867038b446582afbb284e962389"/>
            <w:r>
              <w:rPr>
                <w:color w:val="000000" w:themeColor="text1"/>
                <w:shd w:val="clear" w:fill="FFAFAA"/>
                <w14:textFill>
                  <w14:solidFill>
                    <w14:schemeClr w14:val="tx1"/>
                  </w14:solidFill>
                </w14:textFill>
              </w:rPr>
              <w:t>~</w:t>
            </w:r>
            <w:bookmarkEnd w:id="951"/>
            <w:r>
              <w:rPr>
                <w:color w:val="000000" w:themeColor="text1"/>
                <w14:textFill>
                  <w14:solidFill>
                    <w14:schemeClr w14:val="tx1"/>
                  </w14:solidFill>
                </w14:textFill>
              </w:rPr>
              <w:t>4</w:t>
            </w:r>
            <w:r>
              <w:rPr>
                <w:rFonts w:hint="eastAsia"/>
                <w:color w:val="000000" w:themeColor="text1"/>
                <w14:textFill>
                  <w14:solidFill>
                    <w14:schemeClr w14:val="tx1"/>
                  </w14:solidFill>
                </w14:textFill>
              </w:rPr>
              <w:t>次</w:t>
            </w:r>
          </w:p>
        </w:tc>
      </w:tr>
      <w:tr w14:paraId="3B54D63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1" w:type="pct"/>
            <w:vMerge w:val="continue"/>
            <w:tcMar>
              <w:left w:w="57" w:type="dxa"/>
              <w:right w:w="57" w:type="dxa"/>
            </w:tcMar>
            <w:vAlign w:val="center"/>
          </w:tcPr>
          <w:p w14:paraId="4C6B24C2">
            <w:pPr>
              <w:pStyle w:val="105"/>
              <w:widowControl w:val="0"/>
              <w:jc w:val="center"/>
              <w:rPr>
                <w:color w:val="000000" w:themeColor="text1"/>
                <w14:textFill>
                  <w14:solidFill>
                    <w14:schemeClr w14:val="tx1"/>
                  </w14:solidFill>
                </w14:textFill>
              </w:rPr>
            </w:pPr>
          </w:p>
        </w:tc>
        <w:tc>
          <w:tcPr>
            <w:tcW w:w="703" w:type="pct"/>
            <w:tcMar>
              <w:left w:w="57" w:type="dxa"/>
              <w:right w:w="57" w:type="dxa"/>
            </w:tcMar>
            <w:vAlign w:val="center"/>
          </w:tcPr>
          <w:p w14:paraId="14570A8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噪声</w:t>
            </w:r>
          </w:p>
        </w:tc>
        <w:tc>
          <w:tcPr>
            <w:tcW w:w="1017" w:type="pct"/>
            <w:tcMar>
              <w:left w:w="57" w:type="dxa"/>
              <w:right w:w="57" w:type="dxa"/>
            </w:tcMar>
            <w:vAlign w:val="center"/>
          </w:tcPr>
          <w:p w14:paraId="5BFFFC2E">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等效声级：</w:t>
            </w:r>
            <w:bookmarkStart w:id="952" w:name="hmcheck_842c34ea54a043499418db94ef08b93e"/>
            <w:r>
              <w:rPr>
                <w:color w:val="000000" w:themeColor="text1"/>
                <w:shd w:val="clear" w:fill="FFAFAA"/>
                <w14:textFill>
                  <w14:solidFill>
                    <w14:schemeClr w14:val="tx1"/>
                  </w14:solidFill>
                </w14:textFill>
              </w:rPr>
              <w:t>LAeq</w:t>
            </w:r>
            <w:bookmarkEnd w:id="952"/>
            <w:r>
              <w:rPr>
                <w:color w:val="000000" w:themeColor="text1"/>
                <w14:textFill>
                  <w14:solidFill>
                    <w14:schemeClr w14:val="tx1"/>
                  </w14:solidFill>
                </w14:textFill>
              </w:rPr>
              <w:t>、Lmax</w:t>
            </w:r>
          </w:p>
        </w:tc>
        <w:tc>
          <w:tcPr>
            <w:tcW w:w="2028" w:type="pct"/>
            <w:tcMar>
              <w:left w:w="57" w:type="dxa"/>
              <w:right w:w="57" w:type="dxa"/>
            </w:tcMar>
            <w:vAlign w:val="center"/>
          </w:tcPr>
          <w:p w14:paraId="6A106030">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施工繁忙地段典型敏感点处（主要为</w:t>
            </w:r>
            <w:r>
              <w:rPr>
                <w:rFonts w:hint="eastAsia"/>
                <w:color w:val="000000" w:themeColor="text1"/>
                <w14:textFill>
                  <w14:solidFill>
                    <w14:schemeClr w14:val="tx1"/>
                  </w14:solidFill>
                </w14:textFill>
              </w:rPr>
              <w:t>牌边村、上张村、联华村等</w:t>
            </w:r>
            <w:r>
              <w:rPr>
                <w:color w:val="000000" w:themeColor="text1"/>
                <w14:textFill>
                  <w14:solidFill>
                    <w14:schemeClr w14:val="tx1"/>
                  </w14:solidFill>
                </w14:textFill>
              </w:rPr>
              <w:t>）和</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场地厂界</w:t>
            </w:r>
          </w:p>
        </w:tc>
        <w:tc>
          <w:tcPr>
            <w:tcW w:w="941" w:type="pct"/>
            <w:tcMar>
              <w:left w:w="57" w:type="dxa"/>
              <w:right w:w="57" w:type="dxa"/>
            </w:tcMar>
            <w:vAlign w:val="center"/>
          </w:tcPr>
          <w:p w14:paraId="3D4A03B3">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施工高峰期</w:t>
            </w:r>
            <w:r>
              <w:rPr>
                <w:rFonts w:hint="eastAsia"/>
                <w:color w:val="000000" w:themeColor="text1"/>
                <w14:textFill>
                  <w14:solidFill>
                    <w14:schemeClr w14:val="tx1"/>
                  </w14:solidFill>
                </w14:textFill>
              </w:rPr>
              <w:t>1</w:t>
            </w:r>
            <w:bookmarkStart w:id="953" w:name="hmcheck_921d3b499c954038b1d6cd0df0b6cb2b"/>
            <w:r>
              <w:rPr>
                <w:color w:val="000000" w:themeColor="text1"/>
                <w:shd w:val="clear" w:fill="FFAFAA"/>
                <w14:textFill>
                  <w14:solidFill>
                    <w14:schemeClr w14:val="tx1"/>
                  </w14:solidFill>
                </w14:textFill>
              </w:rPr>
              <w:t>~</w:t>
            </w:r>
            <w:bookmarkEnd w:id="953"/>
            <w:r>
              <w:rPr>
                <w:color w:val="000000" w:themeColor="text1"/>
                <w14:textFill>
                  <w14:solidFill>
                    <w14:schemeClr w14:val="tx1"/>
                  </w14:solidFill>
                </w14:textFill>
              </w:rPr>
              <w:t>4</w:t>
            </w:r>
            <w:r>
              <w:rPr>
                <w:rFonts w:hint="eastAsia"/>
                <w:color w:val="000000" w:themeColor="text1"/>
                <w14:textFill>
                  <w14:solidFill>
                    <w14:schemeClr w14:val="tx1"/>
                  </w14:solidFill>
                </w14:textFill>
              </w:rPr>
              <w:t>次</w:t>
            </w:r>
            <w:r>
              <w:rPr>
                <w:color w:val="000000" w:themeColor="text1"/>
                <w14:textFill>
                  <w14:solidFill>
                    <w14:schemeClr w14:val="tx1"/>
                  </w14:solidFill>
                </w14:textFill>
              </w:rPr>
              <w:t>，昼夜各 1 次</w:t>
            </w:r>
          </w:p>
        </w:tc>
      </w:tr>
      <w:tr w14:paraId="5B26536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1" w:type="pct"/>
            <w:vMerge w:val="continue"/>
            <w:tcMar>
              <w:left w:w="57" w:type="dxa"/>
              <w:right w:w="57" w:type="dxa"/>
            </w:tcMar>
            <w:vAlign w:val="center"/>
          </w:tcPr>
          <w:p w14:paraId="0F3A59F5">
            <w:pPr>
              <w:pStyle w:val="105"/>
              <w:widowControl w:val="0"/>
              <w:jc w:val="center"/>
              <w:rPr>
                <w:color w:val="000000" w:themeColor="text1"/>
                <w14:textFill>
                  <w14:solidFill>
                    <w14:schemeClr w14:val="tx1"/>
                  </w14:solidFill>
                </w14:textFill>
              </w:rPr>
            </w:pPr>
          </w:p>
        </w:tc>
        <w:tc>
          <w:tcPr>
            <w:tcW w:w="703" w:type="pct"/>
            <w:tcMar>
              <w:left w:w="57" w:type="dxa"/>
              <w:right w:w="57" w:type="dxa"/>
            </w:tcMar>
            <w:vAlign w:val="center"/>
          </w:tcPr>
          <w:p w14:paraId="4F5389C6">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地表水</w:t>
            </w:r>
          </w:p>
        </w:tc>
        <w:tc>
          <w:tcPr>
            <w:tcW w:w="1017" w:type="pct"/>
            <w:tcMar>
              <w:left w:w="57" w:type="dxa"/>
              <w:right w:w="57" w:type="dxa"/>
            </w:tcMar>
            <w:vAlign w:val="center"/>
          </w:tcPr>
          <w:p w14:paraId="6887D4F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pH、COD、SS、石油类、氨氮</w:t>
            </w:r>
          </w:p>
        </w:tc>
        <w:tc>
          <w:tcPr>
            <w:tcW w:w="2028" w:type="pct"/>
            <w:tcMar>
              <w:left w:w="57" w:type="dxa"/>
              <w:right w:w="57" w:type="dxa"/>
            </w:tcMar>
            <w:vAlign w:val="center"/>
          </w:tcPr>
          <w:p w14:paraId="46B8919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迳江及其支流</w:t>
            </w:r>
          </w:p>
        </w:tc>
        <w:tc>
          <w:tcPr>
            <w:tcW w:w="941" w:type="pct"/>
            <w:tcMar>
              <w:left w:w="57" w:type="dxa"/>
              <w:right w:w="57" w:type="dxa"/>
            </w:tcMar>
            <w:vAlign w:val="center"/>
          </w:tcPr>
          <w:p w14:paraId="5AF38B5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桥梁、改河等工程施工期间</w:t>
            </w:r>
          </w:p>
        </w:tc>
      </w:tr>
      <w:tr w14:paraId="11D41C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1" w:type="pct"/>
            <w:vMerge w:val="continue"/>
            <w:tcMar>
              <w:left w:w="57" w:type="dxa"/>
              <w:right w:w="57" w:type="dxa"/>
            </w:tcMar>
            <w:vAlign w:val="center"/>
          </w:tcPr>
          <w:p w14:paraId="5F640174">
            <w:pPr>
              <w:pStyle w:val="105"/>
              <w:widowControl w:val="0"/>
              <w:jc w:val="center"/>
              <w:rPr>
                <w:color w:val="000000" w:themeColor="text1"/>
                <w14:textFill>
                  <w14:solidFill>
                    <w14:schemeClr w14:val="tx1"/>
                  </w14:solidFill>
                </w14:textFill>
              </w:rPr>
            </w:pPr>
          </w:p>
        </w:tc>
        <w:tc>
          <w:tcPr>
            <w:tcW w:w="703" w:type="pct"/>
            <w:tcMar>
              <w:left w:w="57" w:type="dxa"/>
              <w:right w:w="57" w:type="dxa"/>
            </w:tcMar>
            <w:vAlign w:val="center"/>
          </w:tcPr>
          <w:p w14:paraId="3DD3A72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生态环境调查/监测</w:t>
            </w:r>
          </w:p>
        </w:tc>
        <w:tc>
          <w:tcPr>
            <w:tcW w:w="1017" w:type="pct"/>
            <w:tcMar>
              <w:left w:w="57" w:type="dxa"/>
              <w:right w:w="57" w:type="dxa"/>
            </w:tcMar>
            <w:vAlign w:val="center"/>
          </w:tcPr>
          <w:p w14:paraId="58556625">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植被占用、土地利用、水土流失等</w:t>
            </w:r>
          </w:p>
        </w:tc>
        <w:tc>
          <w:tcPr>
            <w:tcW w:w="2028" w:type="pct"/>
            <w:tcMar>
              <w:left w:w="57" w:type="dxa"/>
              <w:right w:w="57" w:type="dxa"/>
            </w:tcMar>
            <w:vAlign w:val="center"/>
          </w:tcPr>
          <w:p w14:paraId="04CC369A">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施工场地、施工便道等临时占地；路堑开挖面、路基填筑面；土石方转运情况</w:t>
            </w:r>
          </w:p>
        </w:tc>
        <w:tc>
          <w:tcPr>
            <w:tcW w:w="941" w:type="pct"/>
            <w:tcMar>
              <w:left w:w="57" w:type="dxa"/>
              <w:right w:w="57" w:type="dxa"/>
            </w:tcMar>
            <w:vAlign w:val="center"/>
          </w:tcPr>
          <w:p w14:paraId="5B12325F">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1次/季或随机监测</w:t>
            </w:r>
          </w:p>
        </w:tc>
      </w:tr>
      <w:tr w14:paraId="6ED965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11" w:type="pct"/>
            <w:tcMar>
              <w:left w:w="57" w:type="dxa"/>
              <w:right w:w="57" w:type="dxa"/>
            </w:tcMar>
            <w:vAlign w:val="center"/>
          </w:tcPr>
          <w:p w14:paraId="04C0CC5D">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运营期</w:t>
            </w:r>
          </w:p>
        </w:tc>
        <w:tc>
          <w:tcPr>
            <w:tcW w:w="703" w:type="pct"/>
            <w:tcMar>
              <w:left w:w="57" w:type="dxa"/>
              <w:right w:w="57" w:type="dxa"/>
            </w:tcMar>
            <w:vAlign w:val="center"/>
          </w:tcPr>
          <w:p w14:paraId="38F6F171">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1017" w:type="pct"/>
            <w:tcMar>
              <w:left w:w="57" w:type="dxa"/>
              <w:right w:w="57" w:type="dxa"/>
            </w:tcMar>
            <w:vAlign w:val="center"/>
          </w:tcPr>
          <w:p w14:paraId="69D02A9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等效声级</w:t>
            </w:r>
            <w:bookmarkStart w:id="954" w:name="hmcheck_fac94b6ab13a4db8bda578c11033d462"/>
            <w:r>
              <w:rPr>
                <w:color w:val="000000" w:themeColor="text1"/>
                <w:shd w:val="clear" w:fill="FFAFAA"/>
                <w14:textFill>
                  <w14:solidFill>
                    <w14:schemeClr w14:val="tx1"/>
                  </w14:solidFill>
                </w14:textFill>
              </w:rPr>
              <w:t>Leq</w:t>
            </w:r>
            <w:bookmarkEnd w:id="954"/>
          </w:p>
        </w:tc>
        <w:tc>
          <w:tcPr>
            <w:tcW w:w="2028" w:type="pct"/>
            <w:tcMar>
              <w:left w:w="57" w:type="dxa"/>
              <w:right w:w="57" w:type="dxa"/>
            </w:tcMar>
            <w:vAlign w:val="center"/>
          </w:tcPr>
          <w:p w14:paraId="23DF78FB">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线路沿线的敏感目标，运营中期预留资金跟踪监测</w:t>
            </w:r>
          </w:p>
        </w:tc>
        <w:tc>
          <w:tcPr>
            <w:tcW w:w="941" w:type="pct"/>
            <w:tcMar>
              <w:left w:w="57" w:type="dxa"/>
              <w:right w:w="57" w:type="dxa"/>
            </w:tcMar>
            <w:vAlign w:val="center"/>
          </w:tcPr>
          <w:p w14:paraId="7EC19404">
            <w:pPr>
              <w:pStyle w:val="105"/>
              <w:widowControl w:val="0"/>
              <w:jc w:val="center"/>
              <w:rPr>
                <w:color w:val="000000" w:themeColor="text1"/>
                <w14:textFill>
                  <w14:solidFill>
                    <w14:schemeClr w14:val="tx1"/>
                  </w14:solidFill>
                </w14:textFill>
              </w:rPr>
            </w:pPr>
            <w:r>
              <w:rPr>
                <w:color w:val="000000" w:themeColor="text1"/>
                <w14:textFill>
                  <w14:solidFill>
                    <w14:schemeClr w14:val="tx1"/>
                  </w14:solidFill>
                </w14:textFill>
              </w:rPr>
              <w:t>按照实际情况不定期抽测</w:t>
            </w:r>
          </w:p>
        </w:tc>
      </w:tr>
    </w:tbl>
    <w:p w14:paraId="126CF3E3">
      <w:pPr>
        <w:pStyle w:val="120"/>
        <w:rPr>
          <w:color w:val="000000" w:themeColor="text1"/>
          <w14:textFill>
            <w14:solidFill>
              <w14:schemeClr w14:val="tx1"/>
            </w14:solidFill>
          </w14:textFill>
        </w:rPr>
      </w:pPr>
      <w:r>
        <w:rPr>
          <w:color w:val="000000" w:themeColor="text1"/>
          <w14:textFill>
            <w14:solidFill>
              <w14:schemeClr w14:val="tx1"/>
            </w14:solidFill>
          </w14:textFill>
        </w:rPr>
        <w:t>监测报告制度</w:t>
      </w:r>
    </w:p>
    <w:p w14:paraId="1166B2D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环境监测数据对以后的环境管理有着重要的价值，通过这些数据可以看出以后的环境质量变化是否与预期结果相符，为今后制订或修改环境管理措施提供科学依据，建立环境监测数据的档案管理和数据库管理，编写环境监测分析评价报告。具体要求如下：</w:t>
      </w:r>
    </w:p>
    <w:p w14:paraId="6155826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（1）报告内容：原始数据（包括参数、监测点、监测时间和监测的环境条件、监测单位）、统计数据、环境质量分析与评价、责任签字。</w:t>
      </w:r>
    </w:p>
    <w:p w14:paraId="40392BC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（2）报告频率：每季度提交一份综合报告、每年提交一份总报告。</w:t>
      </w:r>
    </w:p>
    <w:p w14:paraId="4FACE741">
      <w:pPr>
        <w:pStyle w:val="67"/>
        <w:numPr>
          <w:ilvl w:val="4"/>
          <w:numId w:val="0"/>
        </w:numPr>
        <w:tabs>
          <w:tab w:val="left" w:pos="1488"/>
        </w:tabs>
        <w:ind w:firstLine="468" w:firstLineChars="200"/>
        <w:rPr>
          <w:rFonts w:ascii="Times New Roman" w:hAnsi="Times New Roman" w:cs="Times New Roman"/>
          <w:color w:val="000000" w:themeColor="text1"/>
          <w:spacing w:val="-3"/>
          <w14:textFill>
            <w14:solidFill>
              <w14:schemeClr w14:val="tx1"/>
            </w14:solidFill>
          </w14:textFill>
        </w:rPr>
        <w:sectPr>
          <w:pgSz w:w="11910" w:h="16840"/>
          <w:pgMar w:top="1418" w:right="1418" w:bottom="1418" w:left="1418" w:header="851" w:footer="851" w:gutter="0"/>
          <w:cols w:space="720" w:num="1"/>
        </w:sectPr>
      </w:pPr>
      <w:bookmarkStart w:id="955" w:name="8.3工程环境监理计划"/>
      <w:bookmarkEnd w:id="955"/>
      <w:bookmarkStart w:id="956" w:name="8.4人员培训计划"/>
      <w:bookmarkEnd w:id="956"/>
    </w:p>
    <w:p w14:paraId="3E4C3797">
      <w:pPr>
        <w:pStyle w:val="114"/>
        <w:rPr>
          <w:color w:val="000000" w:themeColor="text1"/>
          <w14:textFill>
            <w14:solidFill>
              <w14:schemeClr w14:val="tx1"/>
            </w14:solidFill>
          </w14:textFill>
        </w:rPr>
      </w:pPr>
      <w:bookmarkStart w:id="957" w:name="9环境影响评价结论"/>
      <w:bookmarkEnd w:id="957"/>
      <w:bookmarkStart w:id="958" w:name="_Toc193912406"/>
      <w:bookmarkStart w:id="959" w:name="_Toc30429"/>
      <w:bookmarkStart w:id="960" w:name="_Toc159405500"/>
      <w:r>
        <w:rPr>
          <w:color w:val="000000" w:themeColor="text1"/>
          <w14:textFill>
            <w14:solidFill>
              <w14:schemeClr w14:val="tx1"/>
            </w14:solidFill>
          </w14:textFill>
        </w:rPr>
        <w:t>环境影响评价结论</w:t>
      </w:r>
      <w:bookmarkEnd w:id="958"/>
      <w:bookmarkEnd w:id="959"/>
      <w:bookmarkEnd w:id="960"/>
    </w:p>
    <w:p w14:paraId="1BB184B4">
      <w:pPr>
        <w:pStyle w:val="116"/>
        <w:rPr>
          <w:color w:val="000000" w:themeColor="text1"/>
          <w14:textFill>
            <w14:solidFill>
              <w14:schemeClr w14:val="tx1"/>
            </w14:solidFill>
          </w14:textFill>
        </w:rPr>
      </w:pPr>
      <w:bookmarkStart w:id="961" w:name="9.1建设项目概况"/>
      <w:bookmarkEnd w:id="961"/>
      <w:bookmarkStart w:id="962" w:name="_Toc159405501"/>
      <w:bookmarkStart w:id="963" w:name="_Toc154668078"/>
      <w:bookmarkStart w:id="964" w:name="_Toc146525005"/>
      <w:bookmarkStart w:id="965" w:name="_Toc113303424"/>
      <w:bookmarkStart w:id="966" w:name="_Toc153957857"/>
      <w:bookmarkStart w:id="967" w:name="_Toc193912407"/>
      <w:r>
        <w:rPr>
          <w:rFonts w:hint="eastAsia"/>
          <w:color w:val="000000" w:themeColor="text1"/>
          <w14:textFill>
            <w14:solidFill>
              <w14:schemeClr w14:val="tx1"/>
            </w14:solidFill>
          </w14:textFill>
        </w:rPr>
        <w:t>建设项目概况</w:t>
      </w:r>
      <w:bookmarkEnd w:id="962"/>
      <w:bookmarkEnd w:id="963"/>
      <w:bookmarkEnd w:id="964"/>
      <w:bookmarkEnd w:id="965"/>
      <w:bookmarkEnd w:id="966"/>
      <w:bookmarkEnd w:id="967"/>
    </w:p>
    <w:p w14:paraId="57A2225A">
      <w:pPr>
        <w:ind w:firstLine="480"/>
        <w:rPr>
          <w:color w:val="000000" w:themeColor="text1"/>
          <w14:textFill>
            <w14:solidFill>
              <w14:schemeClr w14:val="tx1"/>
            </w14:solidFill>
          </w14:textFill>
        </w:rPr>
      </w:pPr>
      <w:r>
        <w:rPr>
          <w:rFonts w:hint="eastAsia" w:cs="Times New Roman"/>
          <w:color w:val="000000" w:themeColor="text1"/>
          <w:szCs w:val="24"/>
          <w14:textFill>
            <w14:solidFill>
              <w14:schemeClr w14:val="tx1"/>
            </w14:solidFill>
          </w14:textFill>
        </w:rPr>
        <w:t>黄檗山万福寺旅游公路</w:t>
      </w:r>
      <w:r>
        <w:rPr>
          <w:rFonts w:cs="Times New Roman"/>
          <w:color w:val="000000" w:themeColor="text1"/>
          <w:lang w:val="zh-CN"/>
          <w14:textFill>
            <w14:solidFill>
              <w14:schemeClr w14:val="tx1"/>
            </w14:solidFill>
          </w14:textFill>
        </w:rPr>
        <w:t>位于</w:t>
      </w:r>
      <w:r>
        <w:rPr>
          <w:rFonts w:hint="eastAsia" w:cs="Times New Roman"/>
          <w:color w:val="000000" w:themeColor="text1"/>
          <w:lang w:val="zh-CN"/>
          <w14:textFill>
            <w14:solidFill>
              <w14:schemeClr w14:val="tx1"/>
            </w14:solidFill>
          </w14:textFill>
        </w:rPr>
        <w:t>福清市</w:t>
      </w:r>
      <w:r>
        <w:rPr>
          <w:rFonts w:hint="eastAsia" w:cs="Times New Roman"/>
          <w:color w:val="000000" w:themeColor="text1"/>
          <w:shd w:val="clear" w:color="auto" w:fill="FFFFFF"/>
          <w14:textFill>
            <w14:solidFill>
              <w14:schemeClr w14:val="tx1"/>
            </w14:solidFill>
          </w14:textFill>
        </w:rPr>
        <w:t>上迳镇、渔溪镇</w:t>
      </w:r>
      <w:r>
        <w:rPr>
          <w:rFonts w:cs="Times New Roman"/>
          <w:color w:val="000000" w:themeColor="text1"/>
          <w:lang w:val="zh-CN"/>
          <w14:textFill>
            <w14:solidFill>
              <w14:schemeClr w14:val="tx1"/>
            </w14:solidFill>
          </w14:textFill>
        </w:rPr>
        <w:t>，</w:t>
      </w:r>
      <w:r>
        <w:rPr>
          <w:rFonts w:hint="eastAsia" w:cs="Times New Roman"/>
          <w:color w:val="000000" w:themeColor="text1"/>
          <w:shd w:val="clear" w:color="auto" w:fill="FFFFFF"/>
          <w14:textFill>
            <w14:solidFill>
              <w14:schemeClr w14:val="tx1"/>
            </w14:solidFill>
          </w14:textFill>
        </w:rPr>
        <w:t>起于上迳镇牌边村，起点与G324平交，自东向西下穿福厦高铁（下穿段落已完工）后，新建桥梁跨越沈海高速，经溪北、木厝洋、三落厝后，终点至黄檗山万福寺，设置接线接入规划黄檗文化产业园。</w:t>
      </w:r>
      <w:r>
        <w:rPr>
          <w:rFonts w:hint="eastAsia"/>
          <w:color w:val="000000" w:themeColor="text1"/>
          <w14:textFill>
            <w14:solidFill>
              <w14:schemeClr w14:val="tx1"/>
            </w14:solidFill>
          </w14:textFill>
        </w:rPr>
        <w:t>路线全长5.200km，其中主线5.110km（含下穿福厦高铁段落），接线0.090km。桥梁589.5m/2座（含终点接线桥</w:t>
      </w:r>
      <w:r>
        <w:rPr>
          <w:color w:val="000000" w:themeColor="text1"/>
          <w14:textFill>
            <w14:solidFill>
              <w14:schemeClr w14:val="tx1"/>
            </w14:solidFill>
          </w14:textFill>
        </w:rPr>
        <w:t>37</w:t>
      </w:r>
      <w:r>
        <w:rPr>
          <w:rFonts w:hint="eastAsia"/>
          <w:color w:val="000000" w:themeColor="text1"/>
          <w14:textFill>
            <w14:solidFill>
              <w14:schemeClr w14:val="tx1"/>
            </w14:solidFill>
          </w14:textFill>
        </w:rPr>
        <w:t>m/1座），涵洞</w:t>
      </w:r>
      <w:r>
        <w:rPr>
          <w:color w:val="000000" w:themeColor="text1"/>
          <w14:textFill>
            <w14:solidFill>
              <w14:schemeClr w14:val="tx1"/>
            </w14:solidFill>
          </w14:textFill>
        </w:rPr>
        <w:t>28</w:t>
      </w:r>
      <w:r>
        <w:rPr>
          <w:rFonts w:hint="eastAsia"/>
          <w:color w:val="000000" w:themeColor="text1"/>
          <w14:textFill>
            <w14:solidFill>
              <w14:schemeClr w14:val="tx1"/>
            </w14:solidFill>
          </w14:textFill>
        </w:rPr>
        <w:t>道，按设计速度60km/h、路基宽12m、双向二车道的二级公路标准建设。</w:t>
      </w:r>
      <w:r>
        <w:rPr>
          <w:color w:val="000000" w:themeColor="text1"/>
          <w14:textFill>
            <w14:solidFill>
              <w14:schemeClr w14:val="tx1"/>
            </w14:solidFill>
          </w14:textFill>
        </w:rPr>
        <w:t>项目主要建设内容包括</w:t>
      </w:r>
      <w:r>
        <w:rPr>
          <w:rFonts w:hint="eastAsia"/>
          <w:color w:val="000000" w:themeColor="text1"/>
          <w14:textFill>
            <w14:solidFill>
              <w14:schemeClr w14:val="tx1"/>
            </w14:solidFill>
          </w14:textFill>
        </w:rPr>
        <w:t>公路</w:t>
      </w:r>
      <w:r>
        <w:rPr>
          <w:color w:val="000000" w:themeColor="text1"/>
          <w14:textFill>
            <w14:solidFill>
              <w14:schemeClr w14:val="tx1"/>
            </w14:solidFill>
          </w14:textFill>
        </w:rPr>
        <w:t>工程、</w:t>
      </w:r>
      <w:r>
        <w:rPr>
          <w:rFonts w:hint="eastAsia"/>
          <w:color w:val="000000" w:themeColor="text1"/>
          <w14:textFill>
            <w14:solidFill>
              <w14:schemeClr w14:val="tx1"/>
            </w14:solidFill>
          </w14:textFill>
        </w:rPr>
        <w:t>桥梁</w:t>
      </w:r>
      <w:r>
        <w:rPr>
          <w:color w:val="000000" w:themeColor="text1"/>
          <w14:textFill>
            <w14:solidFill>
              <w14:schemeClr w14:val="tx1"/>
            </w14:solidFill>
          </w14:textFill>
        </w:rPr>
        <w:t>工程、涵洞工程、绿化工程等。</w:t>
      </w:r>
    </w:p>
    <w:p w14:paraId="75198AF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投资27556.8万元</w:t>
      </w:r>
      <w:r>
        <w:rPr>
          <w:rFonts w:cs="Times New Roman"/>
          <w:color w:val="000000" w:themeColor="text1"/>
          <w:szCs w:val="24"/>
          <w14:textFill>
            <w14:solidFill>
              <w14:schemeClr w14:val="tx1"/>
            </w14:solidFill>
          </w14:textFill>
        </w:rPr>
        <w:t>，</w:t>
      </w:r>
      <w:r>
        <w:rPr>
          <w:rFonts w:hint="eastAsia"/>
          <w:color w:val="000000" w:themeColor="text1"/>
          <w14:textFill>
            <w14:solidFill>
              <w14:schemeClr w14:val="tx1"/>
            </w14:solidFill>
          </w14:textFill>
        </w:rPr>
        <w:t>其中环保投资为</w:t>
      </w:r>
      <w:r>
        <w:rPr>
          <w:color w:val="000000" w:themeColor="text1"/>
          <w14:textFill>
            <w14:solidFill>
              <w14:schemeClr w14:val="tx1"/>
            </w14:solidFill>
          </w14:textFill>
        </w:rPr>
        <w:t>321</w:t>
      </w:r>
      <w:r>
        <w:rPr>
          <w:rFonts w:hint="eastAsia"/>
          <w:color w:val="000000" w:themeColor="text1"/>
          <w14:textFill>
            <w14:solidFill>
              <w14:schemeClr w14:val="tx1"/>
            </w14:solidFill>
          </w14:textFill>
        </w:rPr>
        <w:t>万元，总工期约为</w:t>
      </w:r>
      <w:r>
        <w:rPr>
          <w:color w:val="000000" w:themeColor="text1"/>
          <w14:textFill>
            <w14:solidFill>
              <w14:schemeClr w14:val="tx1"/>
            </w14:solidFill>
          </w14:textFill>
        </w:rPr>
        <w:t>18</w:t>
      </w:r>
      <w:r>
        <w:rPr>
          <w:rFonts w:hint="eastAsia"/>
          <w:color w:val="000000" w:themeColor="text1"/>
          <w14:textFill>
            <w14:solidFill>
              <w14:schemeClr w14:val="tx1"/>
            </w14:solidFill>
          </w14:textFill>
        </w:rPr>
        <w:t>个月。</w:t>
      </w:r>
    </w:p>
    <w:p w14:paraId="0DD237F4">
      <w:pPr>
        <w:pStyle w:val="116"/>
        <w:rPr>
          <w:color w:val="000000" w:themeColor="text1"/>
          <w14:textFill>
            <w14:solidFill>
              <w14:schemeClr w14:val="tx1"/>
            </w14:solidFill>
          </w14:textFill>
        </w:rPr>
      </w:pPr>
      <w:bookmarkStart w:id="968" w:name="_Toc146525006"/>
      <w:bookmarkStart w:id="969" w:name="_Toc153957858"/>
      <w:bookmarkStart w:id="970" w:name="_Toc113303425"/>
      <w:bookmarkStart w:id="971" w:name="_Toc154668079"/>
      <w:bookmarkStart w:id="972" w:name="_Toc159405502"/>
      <w:bookmarkStart w:id="973" w:name="_Toc193912408"/>
      <w:r>
        <w:rPr>
          <w:rFonts w:hint="eastAsia"/>
          <w:color w:val="000000" w:themeColor="text1"/>
          <w14:textFill>
            <w14:solidFill>
              <w14:schemeClr w14:val="tx1"/>
            </w14:solidFill>
          </w14:textFill>
        </w:rPr>
        <w:t>环境质量现状</w:t>
      </w:r>
      <w:r>
        <w:rPr>
          <w:color w:val="000000" w:themeColor="text1"/>
          <w14:textFill>
            <w14:solidFill>
              <w14:schemeClr w14:val="tx1"/>
            </w14:solidFill>
          </w14:textFill>
        </w:rPr>
        <w:t>评价结论</w:t>
      </w:r>
      <w:bookmarkEnd w:id="968"/>
      <w:bookmarkEnd w:id="969"/>
      <w:bookmarkEnd w:id="970"/>
      <w:bookmarkEnd w:id="971"/>
      <w:bookmarkEnd w:id="972"/>
      <w:bookmarkEnd w:id="973"/>
    </w:p>
    <w:p w14:paraId="7C51150A">
      <w:pPr>
        <w:ind w:firstLine="480"/>
        <w:rPr>
          <w:color w:val="000000" w:themeColor="text1"/>
          <w:shd w:val="clear" w:color="auto" w:fill="FFFFFF"/>
          <w14:textFill>
            <w14:solidFill>
              <w14:schemeClr w14:val="tx1"/>
            </w14:solidFill>
          </w14:textFill>
        </w:rPr>
      </w:pPr>
      <w:r>
        <w:rPr>
          <w:rFonts w:hint="eastAsia"/>
          <w:color w:val="000000" w:themeColor="text1"/>
          <w:shd w:val="clear" w:color="auto" w:fill="FFFFFF"/>
          <w14:textFill>
            <w14:solidFill>
              <w14:schemeClr w14:val="tx1"/>
            </w14:solidFill>
          </w14:textFill>
        </w:rPr>
        <w:t>（1）</w:t>
      </w:r>
      <w:bookmarkStart w:id="974" w:name="_Hlk146012860"/>
      <w:r>
        <w:rPr>
          <w:rFonts w:hint="eastAsia"/>
          <w:color w:val="000000" w:themeColor="text1"/>
          <w:shd w:val="clear" w:color="auto" w:fill="FFFFFF"/>
          <w14:textFill>
            <w14:solidFill>
              <w14:schemeClr w14:val="tx1"/>
            </w14:solidFill>
          </w14:textFill>
        </w:rPr>
        <w:t>环境空气</w:t>
      </w:r>
      <w:r>
        <w:rPr>
          <w:color w:val="000000" w:themeColor="text1"/>
          <w14:textFill>
            <w14:solidFill>
              <w14:schemeClr w14:val="tx1"/>
            </w14:solidFill>
          </w14:textFill>
        </w:rPr>
        <w:t>质量现状</w:t>
      </w:r>
      <w:r>
        <w:rPr>
          <w:rFonts w:hint="eastAsia"/>
          <w:color w:val="000000" w:themeColor="text1"/>
          <w:shd w:val="clear" w:color="auto" w:fill="FFFFFF"/>
          <w14:textFill>
            <w14:solidFill>
              <w14:schemeClr w14:val="tx1"/>
            </w14:solidFill>
          </w14:textFill>
        </w:rPr>
        <w:t>：</w:t>
      </w:r>
      <w:bookmarkStart w:id="975" w:name="_Hlk153225495"/>
      <w:bookmarkStart w:id="976" w:name="_Hlk89349742"/>
      <w:r>
        <w:rPr>
          <w:rFonts w:hint="eastAsia" w:cs="Times New Roman"/>
          <w:color w:val="000000" w:themeColor="text1"/>
          <w14:textFill>
            <w14:solidFill>
              <w14:schemeClr w14:val="tx1"/>
            </w14:solidFill>
          </w14:textFill>
        </w:rPr>
        <w:t>福清市</w:t>
      </w:r>
      <w:r>
        <w:rPr>
          <w:rFonts w:hint="eastAsia"/>
          <w:color w:val="000000" w:themeColor="text1"/>
          <w14:textFill>
            <w14:solidFill>
              <w14:schemeClr w14:val="tx1"/>
            </w14:solidFill>
          </w14:textFill>
        </w:rPr>
        <w:t>202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年</w:t>
      </w:r>
      <w:r>
        <w:rPr>
          <w:color w:val="000000" w:themeColor="text1"/>
          <w:shd w:val="clear" w:color="auto" w:fill="FFFFFF"/>
          <w14:textFill>
            <w14:solidFill>
              <w14:schemeClr w14:val="tx1"/>
            </w14:solidFill>
          </w14:textFill>
        </w:rPr>
        <w:t>SO</w:t>
      </w:r>
      <w:r>
        <w:rPr>
          <w:color w:val="000000" w:themeColor="text1"/>
          <w:shd w:val="clear" w:color="auto" w:fill="FFFFFF"/>
          <w:vertAlign w:val="subscript"/>
          <w14:textFill>
            <w14:solidFill>
              <w14:schemeClr w14:val="tx1"/>
            </w14:solidFill>
          </w14:textFill>
        </w:rPr>
        <w:t>2</w:t>
      </w:r>
      <w:r>
        <w:rPr>
          <w:color w:val="000000" w:themeColor="text1"/>
          <w:shd w:val="clear" w:color="auto" w:fill="FFFFFF"/>
          <w14:textFill>
            <w14:solidFill>
              <w14:schemeClr w14:val="tx1"/>
            </w14:solidFill>
          </w14:textFill>
        </w:rPr>
        <w:t>、NO</w:t>
      </w:r>
      <w:r>
        <w:rPr>
          <w:color w:val="000000" w:themeColor="text1"/>
          <w:shd w:val="clear" w:color="auto" w:fill="FFFFFF"/>
          <w:vertAlign w:val="subscript"/>
          <w14:textFill>
            <w14:solidFill>
              <w14:schemeClr w14:val="tx1"/>
            </w14:solidFill>
          </w14:textFill>
        </w:rPr>
        <w:t>2</w:t>
      </w:r>
      <w:r>
        <w:rPr>
          <w:color w:val="000000" w:themeColor="text1"/>
          <w:shd w:val="clear" w:color="auto" w:fill="FFFFFF"/>
          <w14:textFill>
            <w14:solidFill>
              <w14:schemeClr w14:val="tx1"/>
            </w14:solidFill>
          </w14:textFill>
        </w:rPr>
        <w:t>、PM</w:t>
      </w:r>
      <w:r>
        <w:rPr>
          <w:color w:val="000000" w:themeColor="text1"/>
          <w:shd w:val="clear" w:color="auto" w:fill="FFFFFF"/>
          <w:vertAlign w:val="subscript"/>
          <w14:textFill>
            <w14:solidFill>
              <w14:schemeClr w14:val="tx1"/>
            </w14:solidFill>
          </w14:textFill>
        </w:rPr>
        <w:t>10</w:t>
      </w:r>
      <w:r>
        <w:rPr>
          <w:color w:val="000000" w:themeColor="text1"/>
          <w:shd w:val="clear" w:color="auto" w:fill="FFFFFF"/>
          <w14:textFill>
            <w14:solidFill>
              <w14:schemeClr w14:val="tx1"/>
            </w14:solidFill>
          </w14:textFill>
        </w:rPr>
        <w:t>、PM</w:t>
      </w:r>
      <w:r>
        <w:rPr>
          <w:color w:val="000000" w:themeColor="text1"/>
          <w:shd w:val="clear" w:color="auto" w:fill="FFFFFF"/>
          <w:vertAlign w:val="subscript"/>
          <w14:textFill>
            <w14:solidFill>
              <w14:schemeClr w14:val="tx1"/>
            </w14:solidFill>
          </w14:textFill>
        </w:rPr>
        <w:t>2.5</w:t>
      </w:r>
      <w:r>
        <w:rPr>
          <w:rFonts w:hint="eastAsia"/>
          <w:color w:val="000000" w:themeColor="text1"/>
          <w:shd w:val="clear" w:color="auto" w:fill="FFFFFF"/>
          <w14:textFill>
            <w14:solidFill>
              <w14:schemeClr w14:val="tx1"/>
            </w14:solidFill>
          </w14:textFill>
        </w:rPr>
        <w:t>、</w:t>
      </w:r>
      <w:r>
        <w:rPr>
          <w:color w:val="000000" w:themeColor="text1"/>
          <w:shd w:val="clear" w:color="auto" w:fill="FFFFFF"/>
          <w14:textFill>
            <w14:solidFill>
              <w14:schemeClr w14:val="tx1"/>
            </w14:solidFill>
          </w14:textFill>
        </w:rPr>
        <w:t>CO</w:t>
      </w:r>
      <w:r>
        <w:rPr>
          <w:rFonts w:hint="eastAsia"/>
          <w:color w:val="000000" w:themeColor="text1"/>
          <w:shd w:val="clear" w:color="auto" w:fill="FFFFFF"/>
          <w14:textFill>
            <w14:solidFill>
              <w14:schemeClr w14:val="tx1"/>
            </w14:solidFill>
          </w14:textFill>
        </w:rPr>
        <w:t>、</w:t>
      </w:r>
      <w:r>
        <w:rPr>
          <w:color w:val="000000" w:themeColor="text1"/>
          <w:shd w:val="clear" w:color="auto" w:fill="FFFFFF"/>
          <w14:textFill>
            <w14:solidFill>
              <w14:schemeClr w14:val="tx1"/>
            </w14:solidFill>
          </w14:textFill>
        </w:rPr>
        <w:t>O</w:t>
      </w:r>
      <w:r>
        <w:rPr>
          <w:color w:val="000000" w:themeColor="text1"/>
          <w:shd w:val="clear" w:color="auto" w:fill="FFFFFF"/>
          <w:vertAlign w:val="subscript"/>
          <w14:textFill>
            <w14:solidFill>
              <w14:schemeClr w14:val="tx1"/>
            </w14:solidFill>
          </w14:textFill>
        </w:rPr>
        <w:t>3</w:t>
      </w:r>
      <w:r>
        <w:rPr>
          <w:rFonts w:hint="eastAsia"/>
          <w:color w:val="000000" w:themeColor="text1"/>
          <w:shd w:val="clear" w:color="auto" w:fill="FFFFFF"/>
          <w14:textFill>
            <w14:solidFill>
              <w14:schemeClr w14:val="tx1"/>
            </w14:solidFill>
          </w14:textFill>
        </w:rPr>
        <w:t>等</w:t>
      </w:r>
      <w:r>
        <w:rPr>
          <w:color w:val="000000" w:themeColor="text1"/>
          <w:shd w:val="clear" w:color="auto" w:fill="FFFFFF"/>
          <w14:textFill>
            <w14:solidFill>
              <w14:schemeClr w14:val="tx1"/>
            </w14:solidFill>
          </w14:textFill>
        </w:rPr>
        <w:t>各污染物平均浓度均优于《环境空气质量标准》（GB3095-2012）中二级标准限值。项目所在地环境空气质量为达标区。</w:t>
      </w:r>
      <w:bookmarkEnd w:id="974"/>
      <w:bookmarkEnd w:id="975"/>
    </w:p>
    <w:bookmarkEnd w:id="976"/>
    <w:p w14:paraId="7538B43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声环境质量现状</w:t>
      </w:r>
      <w:r>
        <w:rPr>
          <w:rFonts w:hint="eastAsia"/>
          <w:color w:val="000000" w:themeColor="text1"/>
          <w14:textFill>
            <w14:solidFill>
              <w14:schemeClr w14:val="tx1"/>
            </w14:solidFill>
          </w14:textFill>
        </w:rPr>
        <w:t>：</w:t>
      </w:r>
      <w:bookmarkStart w:id="977" w:name="_Hlk153225276"/>
      <w:bookmarkStart w:id="978" w:name="_Hlk179402509"/>
      <w:bookmarkStart w:id="979" w:name="_Hlk146026449"/>
      <w:r>
        <w:rPr>
          <w:rFonts w:hint="eastAsia"/>
          <w:color w:val="000000" w:themeColor="text1"/>
          <w14:textFill>
            <w14:solidFill>
              <w14:schemeClr w14:val="tx1"/>
            </w14:solidFill>
          </w14:textFill>
        </w:rPr>
        <w:t>目前区域内主要声源为交通噪声、生活噪声。由下表可知，起点G</w:t>
      </w:r>
      <w:r>
        <w:rPr>
          <w:color w:val="000000" w:themeColor="text1"/>
          <w14:textFill>
            <w14:solidFill>
              <w14:schemeClr w14:val="tx1"/>
            </w14:solidFill>
          </w14:textFill>
        </w:rPr>
        <w:t>324</w:t>
      </w:r>
      <w:r>
        <w:rPr>
          <w:rFonts w:hint="eastAsia"/>
          <w:color w:val="000000" w:themeColor="text1"/>
          <w14:textFill>
            <w14:solidFill>
              <w14:schemeClr w14:val="tx1"/>
            </w14:solidFill>
          </w14:textFill>
        </w:rPr>
        <w:t>国道交通噪声水平断面调查结果昼间2</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m、4</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m能满足4a类标准，昼间0m和夜间均超4a类标准，超标主要原因为国道车流量大，大型车多；</w:t>
      </w:r>
      <w:r>
        <w:rPr>
          <w:color w:val="000000" w:themeColor="text1"/>
          <w14:textFill>
            <w14:solidFill>
              <w14:schemeClr w14:val="tx1"/>
            </w14:solidFill>
          </w14:textFill>
        </w:rPr>
        <w:t>声环境质量现状评价</w:t>
      </w:r>
      <w:r>
        <w:rPr>
          <w:rFonts w:hint="eastAsia"/>
          <w:color w:val="000000" w:themeColor="text1"/>
          <w14:textFill>
            <w14:solidFill>
              <w14:schemeClr w14:val="tx1"/>
            </w14:solidFill>
          </w14:textFill>
        </w:rPr>
        <w:t>：目前区域内主要声源为生活噪声和交通噪声。根据监测结果表明：评价区敏感目标</w:t>
      </w:r>
      <w:bookmarkStart w:id="980" w:name="hmcheck_d2bca33072994a7787fcd3a776ced066"/>
      <w:r>
        <w:rPr>
          <w:rFonts w:hint="eastAsia"/>
          <w:color w:val="000000" w:themeColor="text1"/>
          <w:shd w:val="clear" w:fill="FFAFAA"/>
          <w14:textFill>
            <w14:solidFill>
              <w14:schemeClr w14:val="tx1"/>
            </w14:solidFill>
          </w14:textFill>
        </w:rPr>
        <w:t>除临</w:t>
      </w:r>
      <w:bookmarkEnd w:id="980"/>
      <w:r>
        <w:rPr>
          <w:rFonts w:hint="eastAsia"/>
          <w:color w:val="000000" w:themeColor="text1"/>
          <w14:textFill>
            <w14:solidFill>
              <w14:schemeClr w14:val="tx1"/>
            </w14:solidFill>
          </w14:textFill>
        </w:rPr>
        <w:t>现状G</w:t>
      </w:r>
      <w:r>
        <w:rPr>
          <w:color w:val="000000" w:themeColor="text1"/>
          <w14:textFill>
            <w14:solidFill>
              <w14:schemeClr w14:val="tx1"/>
            </w14:solidFill>
          </w14:textFill>
        </w:rPr>
        <w:t>324</w:t>
      </w:r>
      <w:r>
        <w:rPr>
          <w:rFonts w:hint="eastAsia"/>
          <w:color w:val="000000" w:themeColor="text1"/>
          <w14:textFill>
            <w14:solidFill>
              <w14:schemeClr w14:val="tx1"/>
            </w14:solidFill>
          </w14:textFill>
        </w:rPr>
        <w:t>国道一侧外，其他敏感目标声环境质量现状较好，能够达到4a类、2类标准，没有出现超标现象，总体上区域声环境质量状况较好。但G</w:t>
      </w:r>
      <w:r>
        <w:rPr>
          <w:color w:val="000000" w:themeColor="text1"/>
          <w14:textFill>
            <w14:solidFill>
              <w14:schemeClr w14:val="tx1"/>
            </w14:solidFill>
          </w14:textFill>
        </w:rPr>
        <w:t>324</w:t>
      </w:r>
      <w:r>
        <w:rPr>
          <w:rFonts w:hint="eastAsia"/>
          <w:color w:val="000000" w:themeColor="text1"/>
          <w14:textFill>
            <w14:solidFill>
              <w14:schemeClr w14:val="tx1"/>
            </w14:solidFill>
          </w14:textFill>
        </w:rPr>
        <w:t>国道一侧牌边村第一排受国道交通噪声影响，昼夜均出现超标现象。</w:t>
      </w:r>
      <w:bookmarkEnd w:id="977"/>
      <w:bookmarkEnd w:id="978"/>
      <w:bookmarkEnd w:id="979"/>
    </w:p>
    <w:p w14:paraId="0375C431">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（3）地表水环境现状：</w:t>
      </w:r>
      <w:r>
        <w:rPr>
          <w:rFonts w:hint="eastAsia"/>
          <w:color w:val="000000" w:themeColor="text1"/>
          <w:lang w:val="zh-CN"/>
          <w14:textFill>
            <w14:solidFill>
              <w14:schemeClr w14:val="tx1"/>
            </w14:solidFill>
          </w14:textFill>
        </w:rPr>
        <w:t>迳江水质符合《地表水环境质量标准》（GB3838-2002）中Ⅲ类水质标准限值要求，</w:t>
      </w:r>
      <w:r>
        <w:rPr>
          <w:color w:val="000000" w:themeColor="text1"/>
          <w14:textFill>
            <w14:solidFill>
              <w14:schemeClr w14:val="tx1"/>
            </w14:solidFill>
          </w14:textFill>
        </w:rPr>
        <w:t>表明项目周边水体水质现状良好。</w:t>
      </w:r>
    </w:p>
    <w:p w14:paraId="4F6C44EC">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）生态环境现状</w:t>
      </w:r>
    </w:p>
    <w:p w14:paraId="05D54928">
      <w:pPr>
        <w:ind w:firstLine="480"/>
        <w:rPr>
          <w:color w:val="000000" w:themeColor="text1"/>
          <w14:textFill>
            <w14:solidFill>
              <w14:schemeClr w14:val="tx1"/>
            </w14:solidFill>
          </w14:textFill>
        </w:rPr>
      </w:pPr>
      <w:bookmarkStart w:id="981" w:name="_Hlk89350025"/>
      <w:bookmarkStart w:id="982" w:name="_Hlk146013465"/>
      <w:r>
        <w:rPr>
          <w:rFonts w:hint="eastAsia"/>
          <w:color w:val="000000" w:themeColor="text1"/>
          <w14:textFill>
            <w14:solidFill>
              <w14:schemeClr w14:val="tx1"/>
            </w14:solidFill>
          </w14:textFill>
        </w:rPr>
        <w:t>生态系统类型：评价区主要生态系统有森林生态系统、城镇生态系统、农田生态系统、湿地生态系统、灌丛生态系统等。工程评价区范围内主要是农业生态系统占比</w:t>
      </w:r>
      <w:r>
        <w:rPr>
          <w:color w:val="000000" w:themeColor="text1"/>
          <w14:textFill>
            <w14:solidFill>
              <w14:schemeClr w14:val="tx1"/>
            </w14:solidFill>
          </w14:textFill>
        </w:rPr>
        <w:t>50.07%</w:t>
      </w:r>
      <w:r>
        <w:rPr>
          <w:rFonts w:hint="eastAsia"/>
          <w:color w:val="000000" w:themeColor="text1"/>
          <w14:textFill>
            <w14:solidFill>
              <w14:schemeClr w14:val="tx1"/>
            </w14:solidFill>
          </w14:textFill>
        </w:rPr>
        <w:t>，其次是森林生态系统占比</w:t>
      </w:r>
      <w:r>
        <w:rPr>
          <w:color w:val="000000" w:themeColor="text1"/>
          <w14:textFill>
            <w14:solidFill>
              <w14:schemeClr w14:val="tx1"/>
            </w14:solidFill>
          </w14:textFill>
        </w:rPr>
        <w:t>25.5</w:t>
      </w:r>
      <w:r>
        <w:rPr>
          <w:rFonts w:hint="eastAsia"/>
          <w:color w:val="000000" w:themeColor="text1"/>
          <w14:textFill>
            <w14:solidFill>
              <w14:schemeClr w14:val="tx1"/>
            </w14:solidFill>
          </w14:textFill>
        </w:rPr>
        <w:t>%和城镇生态系统占比</w:t>
      </w:r>
      <w:r>
        <w:rPr>
          <w:color w:val="000000" w:themeColor="text1"/>
          <w14:textFill>
            <w14:solidFill>
              <w14:schemeClr w14:val="tx1"/>
            </w14:solidFill>
          </w14:textFill>
        </w:rPr>
        <w:t>14.79</w:t>
      </w:r>
      <w:r>
        <w:rPr>
          <w:rFonts w:hint="eastAsia"/>
          <w:color w:val="000000" w:themeColor="text1"/>
          <w14:textFill>
            <w14:solidFill>
              <w14:schemeClr w14:val="tx1"/>
            </w14:solidFill>
          </w14:textFill>
        </w:rPr>
        <w:t>%，其他类型的生态系统类型面积较小。区域生态系统的主要功能为农业生态环境和水土保持等。</w:t>
      </w:r>
    </w:p>
    <w:p w14:paraId="57497CE5">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生态系统的敏感性：从本项目沿线生态系统的敏感性来看，线路途经地段生态系统敏感性总体不是很高，但在局部有敏感区域，主要为涉及部分生态公益林用地。</w:t>
      </w:r>
    </w:p>
    <w:p w14:paraId="7C20118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土地利用现状：</w:t>
      </w:r>
      <w:r>
        <w:rPr>
          <w:color w:val="000000" w:themeColor="text1"/>
          <w14:textFill>
            <w14:solidFill>
              <w14:schemeClr w14:val="tx1"/>
            </w14:solidFill>
          </w14:textFill>
        </w:rPr>
        <w:t>主要分布有乔木林地、</w:t>
      </w:r>
      <w:r>
        <w:rPr>
          <w:rFonts w:hint="eastAsia"/>
          <w:color w:val="000000" w:themeColor="text1"/>
          <w14:textFill>
            <w14:solidFill>
              <w14:schemeClr w14:val="tx1"/>
            </w14:solidFill>
          </w14:textFill>
        </w:rPr>
        <w:t>耕地、园地、</w:t>
      </w:r>
      <w:r>
        <w:rPr>
          <w:color w:val="000000" w:themeColor="text1"/>
          <w14:textFill>
            <w14:solidFill>
              <w14:schemeClr w14:val="tx1"/>
            </w14:solidFill>
          </w14:textFill>
        </w:rPr>
        <w:t>公路用地等。</w:t>
      </w:r>
      <w:r>
        <w:rPr>
          <w:rFonts w:hint="eastAsia"/>
          <w:color w:val="000000" w:themeColor="text1"/>
          <w14:textFill>
            <w14:solidFill>
              <w14:schemeClr w14:val="tx1"/>
            </w14:solidFill>
          </w14:textFill>
        </w:rPr>
        <w:t>工程评价区范围内主要用地类型为水田28.39</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乔木林地</w:t>
      </w:r>
      <w:r>
        <w:rPr>
          <w:rFonts w:hint="eastAsia"/>
          <w:color w:val="000000" w:themeColor="text1"/>
          <w14:textFill>
            <w14:solidFill>
              <w14:schemeClr w14:val="tx1"/>
            </w14:solidFill>
          </w14:textFill>
        </w:rPr>
        <w:t>25.50</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、园地15.7</w:t>
      </w:r>
      <w:r>
        <w:rPr>
          <w:color w:val="000000" w:themeColor="text1"/>
          <w14:textFill>
            <w14:solidFill>
              <w14:schemeClr w14:val="tx1"/>
            </w14:solidFill>
          </w14:textFill>
        </w:rPr>
        <w:t>6%</w:t>
      </w:r>
      <w:r>
        <w:rPr>
          <w:rFonts w:hint="eastAsia"/>
          <w:color w:val="000000" w:themeColor="text1"/>
          <w14:textFill>
            <w14:solidFill>
              <w14:schemeClr w14:val="tx1"/>
            </w14:solidFill>
          </w14:textFill>
        </w:rPr>
        <w:t>，其他类型的用地面积较小。</w:t>
      </w:r>
    </w:p>
    <w:p w14:paraId="3A68B820">
      <w:pPr>
        <w:ind w:firstLine="480"/>
        <w:rPr>
          <w:b/>
          <w:bCs/>
          <w:color w:val="000000" w:themeColor="text1"/>
          <w14:textFill>
            <w14:solidFill>
              <w14:schemeClr w14:val="tx1"/>
            </w14:solidFill>
          </w14:textFill>
        </w:rPr>
      </w:pPr>
      <w:r>
        <w:rPr>
          <w:color w:val="000000" w:themeColor="text1"/>
          <w14:textFill>
            <w14:solidFill>
              <w14:schemeClr w14:val="tx1"/>
            </w14:solidFill>
          </w14:textFill>
        </w:rPr>
        <w:t>沿线植被现状</w:t>
      </w:r>
      <w:r>
        <w:rPr>
          <w:rFonts w:hint="eastAsia"/>
          <w:color w:val="000000" w:themeColor="text1"/>
          <w14:textFill>
            <w14:solidFill>
              <w14:schemeClr w14:val="tx1"/>
            </w14:solidFill>
          </w14:textFill>
        </w:rPr>
        <w:t>：拟建公路位于福清，属于南亚热带雨林植被带——闽粤沿海丘陵平原南亚热带雨林区——闽江口鹫峰山南部湿暖亚热带雨林小区及闽东南戴云山东部湿暖南亚热带雨林小区。项目沿线</w:t>
      </w:r>
      <w:r>
        <w:rPr>
          <w:color w:val="000000" w:themeColor="text1"/>
          <w14:textFill>
            <w14:solidFill>
              <w14:schemeClr w14:val="tx1"/>
            </w14:solidFill>
          </w14:textFill>
        </w:rPr>
        <w:t>植被</w:t>
      </w:r>
      <w:r>
        <w:rPr>
          <w:rFonts w:hint="eastAsia"/>
          <w:color w:val="000000" w:themeColor="text1"/>
          <w14:textFill>
            <w14:solidFill>
              <w14:schemeClr w14:val="tx1"/>
            </w14:solidFill>
          </w14:textFill>
        </w:rPr>
        <w:t>主要为</w:t>
      </w:r>
      <w:bookmarkStart w:id="983" w:name="_Hlk153224988"/>
      <w:r>
        <w:rPr>
          <w:rFonts w:hint="eastAsia"/>
          <w:color w:val="000000" w:themeColor="text1"/>
          <w14:textFill>
            <w14:solidFill>
              <w14:schemeClr w14:val="tx1"/>
            </w14:solidFill>
          </w14:textFill>
        </w:rPr>
        <w:t>台湾相思、巨桉、马尾松、湿地松等，在水湿条件较好的湿地有水蓼、水龙草、短叶水蜈蚣草、白花鬼针草、野牡丹等，伴生草本以</w:t>
      </w:r>
      <w:bookmarkStart w:id="984" w:name="hmcheck_19245ea237ad454cb4433993840fc283"/>
      <w:r>
        <w:rPr>
          <w:rFonts w:hint="eastAsia"/>
          <w:color w:val="000000" w:themeColor="text1"/>
          <w:shd w:val="clear" w:fill="FFAFAA"/>
          <w14:textFill>
            <w14:solidFill>
              <w14:schemeClr w14:val="tx1"/>
            </w14:solidFill>
          </w14:textFill>
        </w:rPr>
        <w:t>芒其</w:t>
      </w:r>
      <w:bookmarkEnd w:id="984"/>
      <w:r>
        <w:rPr>
          <w:rFonts w:hint="eastAsia"/>
          <w:color w:val="000000" w:themeColor="text1"/>
          <w14:textFill>
            <w14:solidFill>
              <w14:schemeClr w14:val="tx1"/>
            </w14:solidFill>
          </w14:textFill>
        </w:rPr>
        <w:t>为主，并有五节芒等</w:t>
      </w:r>
      <w:r>
        <w:rPr>
          <w:color w:val="000000" w:themeColor="text1"/>
          <w14:textFill>
            <w14:solidFill>
              <w14:schemeClr w14:val="tx1"/>
            </w14:solidFill>
          </w14:textFill>
        </w:rPr>
        <w:t>。</w:t>
      </w:r>
    </w:p>
    <w:bookmarkEnd w:id="981"/>
    <w:p w14:paraId="74377AC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野生动物现状：本项目周边评价区内，受当地居民的开垦和生产生活活动的影响，现状区位生境中活动的野生脊椎动物以鸟类最多，其他的野生脊椎动物的物种多样性及种群数量相对较小。</w:t>
      </w:r>
    </w:p>
    <w:bookmarkEnd w:id="983"/>
    <w:p w14:paraId="078DCDF4">
      <w:pPr>
        <w:ind w:firstLine="480"/>
        <w:rPr>
          <w:color w:val="000000" w:themeColor="text1"/>
          <w:szCs w:val="24"/>
          <w14:textFill>
            <w14:solidFill>
              <w14:schemeClr w14:val="tx1"/>
            </w14:solidFill>
          </w14:textFill>
        </w:rPr>
      </w:pPr>
      <w:bookmarkStart w:id="985" w:name="_Hlk153225003"/>
      <w:r>
        <w:rPr>
          <w:rFonts w:hint="eastAsia"/>
          <w:color w:val="000000" w:themeColor="text1"/>
          <w14:textFill>
            <w14:solidFill>
              <w14:schemeClr w14:val="tx1"/>
            </w14:solidFill>
          </w14:textFill>
        </w:rPr>
        <w:t>生态敏感区：评价范围内不涉及</w:t>
      </w:r>
      <w:r>
        <w:rPr>
          <w:color w:val="000000" w:themeColor="text1"/>
          <w:lang w:val="zh-CN"/>
          <w14:textFill>
            <w14:solidFill>
              <w14:schemeClr w14:val="tx1"/>
            </w14:solidFill>
          </w14:textFill>
        </w:rPr>
        <w:t>自然保护区、风景名胜区、世界文化和自然遗产地、</w:t>
      </w:r>
      <w:r>
        <w:rPr>
          <w:rFonts w:hint="eastAsia"/>
          <w:color w:val="000000" w:themeColor="text1"/>
          <w:spacing w:val="-2"/>
          <w14:textFill>
            <w14:solidFill>
              <w14:schemeClr w14:val="tx1"/>
            </w14:solidFill>
          </w14:textFill>
        </w:rPr>
        <w:t>生态保护红线等敏感区，但线路</w:t>
      </w:r>
      <w:r>
        <w:rPr>
          <w:rFonts w:hint="eastAsia"/>
          <w:color w:val="000000" w:themeColor="text1"/>
          <w14:textFill>
            <w14:solidFill>
              <w14:schemeClr w14:val="tx1"/>
            </w14:solidFill>
          </w14:textFill>
        </w:rPr>
        <w:t>占地涉及国家二级生态公益林（</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）。公路不涉及重要湿地，但涉及占用一般湿地（</w:t>
      </w:r>
      <w:r>
        <w:rPr>
          <w:rFonts w:cs="Times New Roman"/>
          <w:color w:val="000000" w:themeColor="text1"/>
          <w:kern w:val="0"/>
          <w:szCs w:val="24"/>
          <w:lang w:val="zh-CN"/>
          <w14:textFill>
            <w14:solidFill>
              <w14:schemeClr w14:val="tx1"/>
            </w14:solidFill>
          </w14:textFill>
        </w:rPr>
        <w:t>9060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vertAlign w:val="superscript"/>
          <w:lang w:val="zh-CN"/>
          <w14:textFill>
            <w14:solidFill>
              <w14:schemeClr w14:val="tx1"/>
            </w14:solidFill>
          </w14:textFill>
        </w:rPr>
        <w:t>2</w:t>
      </w:r>
      <w:r>
        <w:rPr>
          <w:rFonts w:hint="eastAsia"/>
          <w:color w:val="000000" w:themeColor="text1"/>
          <w14:textFill>
            <w14:solidFill>
              <w14:schemeClr w14:val="tx1"/>
            </w14:solidFill>
          </w14:textFill>
        </w:rPr>
        <w:t>）。项目占地红线内没有挂牌的名木古树和野生珍贵树木，也无其他国家和省级重点保护的野生植物，亦无明显的重点保护野生动物栖息地，但</w:t>
      </w:r>
      <w:r>
        <w:rPr>
          <w:rFonts w:hint="eastAsia"/>
          <w:bCs/>
          <w:color w:val="000000" w:themeColor="text1"/>
          <w14:textFill>
            <w14:solidFill>
              <w14:schemeClr w14:val="tx1"/>
            </w14:solidFill>
          </w14:textFill>
        </w:rPr>
        <w:t>线路两侧3</w:t>
      </w:r>
      <w:r>
        <w:rPr>
          <w:bCs/>
          <w:color w:val="000000" w:themeColor="text1"/>
          <w14:textFill>
            <w14:solidFill>
              <w14:schemeClr w14:val="tx1"/>
            </w14:solidFill>
          </w14:textFill>
        </w:rPr>
        <w:t>00</w:t>
      </w:r>
      <w:r>
        <w:rPr>
          <w:rFonts w:hint="eastAsia"/>
          <w:bCs/>
          <w:color w:val="000000" w:themeColor="text1"/>
          <w14:textFill>
            <w14:solidFill>
              <w14:schemeClr w14:val="tx1"/>
            </w14:solidFill>
          </w14:textFill>
        </w:rPr>
        <w:t>m评价范围内</w:t>
      </w:r>
      <w:r>
        <w:rPr>
          <w:rFonts w:hint="eastAsia"/>
          <w:color w:val="000000" w:themeColor="text1"/>
          <w14:textFill>
            <w14:solidFill>
              <w14:schemeClr w14:val="tx1"/>
            </w14:solidFill>
          </w14:textFill>
        </w:rPr>
        <w:t>有</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株古树，距离项目较远</w:t>
      </w:r>
      <w:r>
        <w:rPr>
          <w:color w:val="000000" w:themeColor="text1"/>
          <w:szCs w:val="24"/>
          <w14:textFill>
            <w14:solidFill>
              <w14:schemeClr w14:val="tx1"/>
            </w14:solidFill>
          </w14:textFill>
        </w:rPr>
        <w:t>。</w:t>
      </w:r>
      <w:bookmarkEnd w:id="982"/>
      <w:bookmarkEnd w:id="985"/>
    </w:p>
    <w:p w14:paraId="1F170574">
      <w:pPr>
        <w:pStyle w:val="116"/>
        <w:rPr>
          <w:color w:val="000000" w:themeColor="text1"/>
          <w14:textFill>
            <w14:solidFill>
              <w14:schemeClr w14:val="tx1"/>
            </w14:solidFill>
          </w14:textFill>
        </w:rPr>
      </w:pPr>
      <w:bookmarkStart w:id="986" w:name="_Toc159405503"/>
      <w:bookmarkStart w:id="987" w:name="_Toc153957859"/>
      <w:bookmarkStart w:id="988" w:name="_Toc154668080"/>
      <w:bookmarkStart w:id="989" w:name="_Toc193912409"/>
      <w:bookmarkStart w:id="990" w:name="_Toc146525007"/>
      <w:r>
        <w:rPr>
          <w:rFonts w:hint="eastAsia"/>
          <w:color w:val="000000" w:themeColor="text1"/>
          <w14:textFill>
            <w14:solidFill>
              <w14:schemeClr w14:val="tx1"/>
            </w14:solidFill>
          </w14:textFill>
        </w:rPr>
        <w:t>环境影响评价结论</w:t>
      </w:r>
      <w:bookmarkEnd w:id="986"/>
      <w:bookmarkEnd w:id="987"/>
      <w:bookmarkEnd w:id="988"/>
      <w:bookmarkEnd w:id="989"/>
      <w:bookmarkEnd w:id="990"/>
    </w:p>
    <w:p w14:paraId="5049B5D1">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生态影响结论</w:t>
      </w:r>
    </w:p>
    <w:p w14:paraId="6F0A5949">
      <w:pPr>
        <w:ind w:firstLine="480"/>
        <w:rPr>
          <w:color w:val="000000" w:themeColor="text1"/>
          <w14:textFill>
            <w14:solidFill>
              <w14:schemeClr w14:val="tx1"/>
            </w14:solidFill>
          </w14:textFill>
        </w:rPr>
      </w:pPr>
      <w:bookmarkStart w:id="991" w:name="_Hlk146013514"/>
      <w:r>
        <w:rPr>
          <w:rFonts w:hint="eastAsia"/>
          <w:color w:val="000000" w:themeColor="text1"/>
          <w14:textFill>
            <w14:solidFill>
              <w14:schemeClr w14:val="tx1"/>
            </w14:solidFill>
          </w14:textFill>
        </w:rPr>
        <w:t>（1）土地利用影响分析结论</w:t>
      </w:r>
    </w:p>
    <w:p w14:paraId="2518CED5">
      <w:pPr>
        <w:ind w:firstLine="480"/>
        <w:rPr>
          <w:color w:val="000000" w:themeColor="text1"/>
          <w14:textFill>
            <w14:solidFill>
              <w14:schemeClr w14:val="tx1"/>
            </w14:solidFill>
          </w14:textFill>
        </w:rPr>
      </w:pPr>
      <w:bookmarkStart w:id="992" w:name="_Hlk153225026"/>
      <w:r>
        <w:rPr>
          <w:rFonts w:hint="eastAsia"/>
          <w:color w:val="000000" w:themeColor="text1"/>
          <w14:textFill>
            <w14:solidFill>
              <w14:schemeClr w14:val="tx1"/>
            </w14:solidFill>
          </w14:textFill>
        </w:rPr>
        <w:t>本项目主体工程占地面积</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color w:val="000000" w:themeColor="text1"/>
          <w:spacing w:val="-7"/>
          <w:vertAlign w:val="superscript"/>
          <w14:textFill>
            <w14:solidFill>
              <w14:schemeClr w14:val="tx1"/>
            </w14:solidFill>
          </w14:textFill>
        </w:rPr>
        <w:t>2</w:t>
      </w:r>
      <w:r>
        <w:rPr>
          <w:rFonts w:hint="eastAsia"/>
          <w:color w:val="000000" w:themeColor="text1"/>
          <w14:textFill>
            <w14:solidFill>
              <w14:schemeClr w14:val="tx1"/>
            </w14:solidFill>
          </w14:textFill>
        </w:rPr>
        <w:t>，其中</w:t>
      </w:r>
      <w:r>
        <w:rPr>
          <w:color w:val="000000" w:themeColor="text1"/>
          <w:kern w:val="0"/>
          <w:szCs w:val="24"/>
          <w:lang w:val="zh-CN"/>
          <w14:textFill>
            <w14:solidFill>
              <w14:schemeClr w14:val="tx1"/>
            </w14:solidFill>
          </w14:textFill>
        </w:rPr>
        <w:t>耕地</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.424</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kern w:val="0"/>
          <w:szCs w:val="24"/>
          <w14:textFill>
            <w14:solidFill>
              <w14:schemeClr w14:val="tx1"/>
            </w14:solidFill>
          </w14:textFill>
        </w:rPr>
        <w:t>，</w:t>
      </w:r>
      <w:r>
        <w:rPr>
          <w:color w:val="000000" w:themeColor="text1"/>
          <w:kern w:val="0"/>
          <w:szCs w:val="24"/>
          <w:lang w:val="zh-CN"/>
          <w14:textFill>
            <w14:solidFill>
              <w14:schemeClr w14:val="tx1"/>
            </w14:solidFill>
          </w14:textFill>
        </w:rPr>
        <w:t>林地</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.487</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、园地</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.6056</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w:t>
      </w:r>
      <w:r>
        <w:rPr>
          <w:rFonts w:hint="eastAsia"/>
          <w:color w:val="000000" w:themeColor="text1"/>
          <w:kern w:val="0"/>
          <w:szCs w:val="24"/>
          <w:lang w:val="zh-CN"/>
          <w14:textFill>
            <w14:solidFill>
              <w14:schemeClr w14:val="tx1"/>
            </w14:solidFill>
          </w14:textFill>
        </w:rPr>
        <w:t>草地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.5844</w:t>
      </w:r>
      <w:r>
        <w:rPr>
          <w:rFonts w:hint="eastAsia"/>
          <w:color w:val="000000" w:themeColor="text1"/>
          <w14:textFill>
            <w14:solidFill>
              <w14:schemeClr w14:val="tx1"/>
            </w14:solidFill>
          </w14:textFill>
        </w:rPr>
        <w:t xml:space="preserve"> hm</w:t>
      </w:r>
      <w:r>
        <w:rPr>
          <w:rFonts w:hint="eastAsia"/>
          <w:color w:val="000000" w:themeColor="text1"/>
          <w:vertAlign w:val="superscript"/>
          <w14:textFill>
            <w14:solidFill>
              <w14:schemeClr w14:val="tx1"/>
            </w14:solidFill>
          </w14:textFill>
        </w:rPr>
        <w:t>2</w:t>
      </w:r>
      <w:r>
        <w:rPr>
          <w:color w:val="000000" w:themeColor="text1"/>
          <w:kern w:val="0"/>
          <w:szCs w:val="24"/>
          <w:lang w:val="zh-CN"/>
          <w14:textFill>
            <w14:solidFill>
              <w14:schemeClr w14:val="tx1"/>
            </w14:solidFill>
          </w14:textFill>
        </w:rPr>
        <w:t>、其他农用地</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.052</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r>
        <w:rPr>
          <w:color w:val="000000" w:themeColor="text1"/>
          <w:kern w:val="0"/>
          <w:szCs w:val="24"/>
          <w:lang w:val="zh-CN"/>
          <w14:textFill>
            <w14:solidFill>
              <w14:schemeClr w14:val="tx1"/>
            </w14:solidFill>
          </w14:textFill>
        </w:rPr>
        <w:t>建设用地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.6581</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color w:val="000000" w:themeColor="text1"/>
          <w:kern w:val="0"/>
          <w:szCs w:val="24"/>
          <w14:textFill>
            <w14:solidFill>
              <w14:schemeClr w14:val="tx1"/>
            </w14:solidFill>
          </w14:textFill>
        </w:rPr>
        <w:t>，</w:t>
      </w:r>
      <w:r>
        <w:rPr>
          <w:color w:val="000000" w:themeColor="text1"/>
          <w:kern w:val="0"/>
          <w:szCs w:val="24"/>
          <w:lang w:val="zh-CN"/>
          <w14:textFill>
            <w14:solidFill>
              <w14:schemeClr w14:val="tx1"/>
            </w14:solidFill>
          </w14:textFill>
        </w:rPr>
        <w:t>未利用地</w:t>
      </w:r>
      <w:r>
        <w:rPr>
          <w:rFonts w:hint="eastAsia"/>
          <w:color w:val="000000" w:themeColor="text1"/>
          <w14:textFill>
            <w14:solidFill>
              <w14:schemeClr w14:val="tx1"/>
            </w14:solidFill>
          </w14:textFill>
        </w:rPr>
        <w:t>0</w:t>
      </w:r>
      <w:r>
        <w:rPr>
          <w:color w:val="000000" w:themeColor="text1"/>
          <w14:textFill>
            <w14:solidFill>
              <w14:schemeClr w14:val="tx1"/>
            </w14:solidFill>
          </w14:textFill>
        </w:rPr>
        <w:t>.8507</w:t>
      </w:r>
      <w:r>
        <w:rPr>
          <w:rFonts w:hint="eastAsia"/>
          <w:color w:val="000000" w:themeColor="text1"/>
          <w14:textFill>
            <w14:solidFill>
              <w14:schemeClr w14:val="tx1"/>
            </w14:solidFill>
          </w14:textFill>
        </w:rPr>
        <w:t>hm</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bookmarkStart w:id="993" w:name="_Hlk179402208"/>
      <w:r>
        <w:rPr>
          <w:rFonts w:hint="eastAsia"/>
          <w:color w:val="000000" w:themeColor="text1"/>
          <w14:textFill>
            <w14:solidFill>
              <w14:schemeClr w14:val="tx1"/>
            </w14:solidFill>
          </w14:textFill>
        </w:rPr>
        <w:t>永久性占地的主要类型是林地、耕地，其次为园地，各类土地面积占直接影响区相应地类总量的比例都较小，因此，本公路的建设不会导致沿线土地利用结构发生重大改变。</w:t>
      </w:r>
      <w:bookmarkEnd w:id="993"/>
    </w:p>
    <w:p w14:paraId="388E707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施工临时占地面积为</w:t>
      </w:r>
      <w:r>
        <w:rPr>
          <w:color w:val="000000" w:themeColor="text1"/>
          <w:spacing w:val="-7"/>
          <w14:textFill>
            <w14:solidFill>
              <w14:schemeClr w14:val="tx1"/>
            </w14:solidFill>
          </w14:textFill>
        </w:rPr>
        <w:t>2.045</w:t>
      </w:r>
      <w:r>
        <w:rPr>
          <w:color w:val="000000" w:themeColor="text1"/>
          <w:spacing w:val="-6"/>
          <w14:textFill>
            <w14:solidFill>
              <w14:schemeClr w14:val="tx1"/>
            </w14:solidFill>
          </w14:textFill>
        </w:rPr>
        <w:t>hm²</w:t>
      </w:r>
      <w:r>
        <w:rPr>
          <w:rFonts w:hint="eastAsia"/>
          <w:bCs/>
          <w:color w:val="000000" w:themeColor="text1"/>
          <w:szCs w:val="21"/>
          <w14:textFill>
            <w14:solidFill>
              <w14:schemeClr w14:val="tx1"/>
            </w14:solidFill>
          </w14:textFill>
        </w:rPr>
        <w:t>，</w:t>
      </w:r>
      <w:bookmarkStart w:id="994" w:name="_Hlk179402218"/>
      <w:r>
        <w:rPr>
          <w:rFonts w:hint="eastAsia"/>
          <w:color w:val="000000" w:themeColor="text1"/>
          <w14:textFill>
            <w14:solidFill>
              <w14:schemeClr w14:val="tx1"/>
            </w14:solidFill>
          </w14:textFill>
        </w:rPr>
        <w:t>临时占用类型为林地、草地、园地和耕地。临时性工程占地短期内将影响沿线土地的利用状况，施工结束后，随着生态补偿或生态恢复措施的实施，这一影响将逐渐减小或消失。</w:t>
      </w:r>
      <w:bookmarkEnd w:id="992"/>
      <w:bookmarkEnd w:id="994"/>
    </w:p>
    <w:p w14:paraId="51E39DDF">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（2）植被影响分析结论</w:t>
      </w:r>
    </w:p>
    <w:p w14:paraId="10CB97AF">
      <w:pPr>
        <w:ind w:firstLine="480"/>
        <w:rPr>
          <w:color w:val="000000" w:themeColor="text1"/>
          <w14:textFill>
            <w14:solidFill>
              <w14:schemeClr w14:val="tx1"/>
            </w14:solidFill>
          </w14:textFill>
        </w:rPr>
      </w:pPr>
      <w:bookmarkStart w:id="995" w:name="_Hlk179402301"/>
      <w:bookmarkStart w:id="996" w:name="_Hlk153225057"/>
      <w:r>
        <w:rPr>
          <w:rFonts w:hint="eastAsia"/>
          <w:color w:val="000000" w:themeColor="text1"/>
          <w14:textFill>
            <w14:solidFill>
              <w14:schemeClr w14:val="tx1"/>
            </w14:solidFill>
          </w14:textFill>
        </w:rPr>
        <w:t>沿线主体工程占地导致植物生物量损失约</w:t>
      </w:r>
      <w:r>
        <w:rPr>
          <w:color w:val="000000" w:themeColor="text1"/>
          <w14:textFill>
            <w14:solidFill>
              <w14:schemeClr w14:val="tx1"/>
            </w14:solidFill>
          </w14:textFill>
        </w:rPr>
        <w:t>671.76</w:t>
      </w:r>
      <w:r>
        <w:rPr>
          <w:rFonts w:hint="eastAsia"/>
          <w:color w:val="000000" w:themeColor="text1"/>
          <w14:textFill>
            <w14:solidFill>
              <w14:schemeClr w14:val="tx1"/>
            </w14:solidFill>
          </w14:textFill>
        </w:rPr>
        <w:t>t，施工临时占地导致林地的生物量为</w:t>
      </w:r>
      <w:bookmarkEnd w:id="995"/>
      <w:r>
        <w:rPr>
          <w:color w:val="000000" w:themeColor="text1"/>
          <w14:textFill>
            <w14:solidFill>
              <w14:schemeClr w14:val="tx1"/>
            </w14:solidFill>
          </w14:textFill>
        </w:rPr>
        <w:t>96.59</w:t>
      </w:r>
      <w:r>
        <w:rPr>
          <w:rFonts w:hint="eastAsia"/>
          <w:color w:val="000000" w:themeColor="text1"/>
          <w14:textFill>
            <w14:solidFill>
              <w14:schemeClr w14:val="tx1"/>
            </w14:solidFill>
          </w14:textFill>
        </w:rPr>
        <w:t>t。</w:t>
      </w:r>
      <w:bookmarkStart w:id="997" w:name="_Hlk179402324"/>
      <w:r>
        <w:rPr>
          <w:rFonts w:hint="eastAsia"/>
          <w:color w:val="000000" w:themeColor="text1"/>
          <w14:textFill>
            <w14:solidFill>
              <w14:schemeClr w14:val="tx1"/>
            </w14:solidFill>
          </w14:textFill>
        </w:rPr>
        <w:t>从植被分布现状调查结果看，项目直接影响的植被类型包括相思树、马尾松、湿地松、桉树、龙眼</w:t>
      </w:r>
      <w:bookmarkStart w:id="998" w:name="hmcheck_e2415999179a4a0996029d9da2eeb055"/>
      <w:r>
        <w:rPr>
          <w:rFonts w:hint="eastAsia"/>
          <w:color w:val="000000" w:themeColor="text1"/>
          <w:shd w:val="clear" w:fill="FFAFAA"/>
          <w14:textFill>
            <w14:solidFill>
              <w14:schemeClr w14:val="tx1"/>
            </w14:solidFill>
          </w14:textFill>
        </w:rPr>
        <w:t>树林</w:t>
      </w:r>
      <w:bookmarkEnd w:id="998"/>
      <w:r>
        <w:rPr>
          <w:rFonts w:hint="eastAsia"/>
          <w:color w:val="000000" w:themeColor="text1"/>
          <w14:textFill>
            <w14:solidFill>
              <w14:schemeClr w14:val="tx1"/>
            </w14:solidFill>
          </w14:textFill>
        </w:rPr>
        <w:t>及灌草丛等。</w:t>
      </w:r>
      <w:bookmarkEnd w:id="997"/>
      <w:r>
        <w:rPr>
          <w:rFonts w:hint="eastAsia"/>
          <w:color w:val="000000" w:themeColor="text1"/>
          <w14:textFill>
            <w14:solidFill>
              <w14:schemeClr w14:val="tx1"/>
            </w14:solidFill>
          </w14:textFill>
        </w:rPr>
        <w:t>工程永久占地将对这些地方的植被产生永久性的不可恢复破坏，植被失去生存环境，破坏不可逆，但</w:t>
      </w:r>
      <w:bookmarkStart w:id="999" w:name="_Hlk179402345"/>
      <w:r>
        <w:rPr>
          <w:rFonts w:hint="eastAsia"/>
          <w:color w:val="000000" w:themeColor="text1"/>
          <w14:textFill>
            <w14:solidFill>
              <w14:schemeClr w14:val="tx1"/>
            </w14:solidFill>
          </w14:textFill>
        </w:rPr>
        <w:t>工程涉及植物均为常见、广布植被或人工植被，在项目区周边地区尚有大量分布，工程破坏不会造成区域物种灭绝或植被类型丧失，对区域总体的植物资源物种多样性和群落多样性影响不大。</w:t>
      </w:r>
      <w:bookmarkEnd w:id="999"/>
    </w:p>
    <w:bookmarkEnd w:id="996"/>
    <w:p w14:paraId="19B082C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（3）沿线动物影响分析结论</w:t>
      </w:r>
    </w:p>
    <w:p w14:paraId="66AB62DA">
      <w:pPr>
        <w:ind w:firstLine="480"/>
        <w:rPr>
          <w:color w:val="000000" w:themeColor="text1"/>
          <w14:textFill>
            <w14:solidFill>
              <w14:schemeClr w14:val="tx1"/>
            </w14:solidFill>
          </w14:textFill>
        </w:rPr>
      </w:pPr>
      <w:bookmarkStart w:id="1000" w:name="_Hlk153225081"/>
      <w:r>
        <w:rPr>
          <w:rFonts w:hint="eastAsia"/>
          <w:color w:val="000000" w:themeColor="text1"/>
          <w14:textFill>
            <w14:solidFill>
              <w14:schemeClr w14:val="tx1"/>
            </w14:solidFill>
          </w14:textFill>
        </w:rPr>
        <w:t>本项目在施工期对野生动物的影响主要表现为施工人员的施工活动、生产活动对动物栖息地生境的干扰和破坏；施工机械噪声对动物的干扰；农用地路段的施工对两栖类和爬行类，特别是对两栖类动物小生境的影响较为显著。本项目的建设会对沿线动物的生存环境产生一定的干扰，但是对其生存及种群数量、种类影响很小。工程建成后，随着植被的逐渐恢复，生态环境的好转，人为干扰逐渐减少，许多外迁的动物会陆续回到原来的栖息地。</w:t>
      </w:r>
      <w:bookmarkEnd w:id="1000"/>
    </w:p>
    <w:p w14:paraId="7CA64076">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w:t>
      </w:r>
      <w:bookmarkStart w:id="1001" w:name="_Hlk89374449"/>
      <w:r>
        <w:rPr>
          <w:rFonts w:hint="eastAsia"/>
          <w:color w:val="000000" w:themeColor="text1"/>
          <w14:textFill>
            <w14:solidFill>
              <w14:schemeClr w14:val="tx1"/>
            </w14:solidFill>
          </w14:textFill>
        </w:rPr>
        <w:t>对生态系统影响分析</w:t>
      </w:r>
      <w:bookmarkEnd w:id="1001"/>
      <w:r>
        <w:rPr>
          <w:rFonts w:hint="eastAsia"/>
          <w:color w:val="000000" w:themeColor="text1"/>
          <w14:textFill>
            <w14:solidFill>
              <w14:schemeClr w14:val="tx1"/>
            </w14:solidFill>
          </w14:textFill>
        </w:rPr>
        <w:t>结论</w:t>
      </w:r>
    </w:p>
    <w:p w14:paraId="7D37B86C">
      <w:pPr>
        <w:ind w:firstLine="480"/>
        <w:rPr>
          <w:color w:val="000000" w:themeColor="text1"/>
          <w14:textFill>
            <w14:solidFill>
              <w14:schemeClr w14:val="tx1"/>
            </w14:solidFill>
          </w14:textFill>
        </w:rPr>
      </w:pPr>
      <w:bookmarkStart w:id="1002" w:name="_Hlk153225113"/>
      <w:r>
        <w:rPr>
          <w:rFonts w:hint="eastAsia"/>
          <w:color w:val="000000" w:themeColor="text1"/>
          <w14:textFill>
            <w14:solidFill>
              <w14:schemeClr w14:val="tx1"/>
            </w14:solidFill>
          </w14:textFill>
        </w:rPr>
        <w:t>在本次评价范围内，</w:t>
      </w:r>
      <w:bookmarkStart w:id="1003" w:name="_Hlk179402379"/>
      <w:r>
        <w:rPr>
          <w:rFonts w:hint="eastAsia"/>
          <w:color w:val="000000" w:themeColor="text1"/>
          <w14:textFill>
            <w14:solidFill>
              <w14:schemeClr w14:val="tx1"/>
            </w14:solidFill>
          </w14:textFill>
        </w:rPr>
        <w:t>生态系统主要类型为森林生态系统、农业生态系统，其次为城镇生态系统，区域森林生态系统主要功能为城市生态环境和水土保持</w:t>
      </w:r>
      <w:bookmarkEnd w:id="1003"/>
      <w:r>
        <w:rPr>
          <w:rFonts w:hint="eastAsia"/>
          <w:color w:val="000000" w:themeColor="text1"/>
          <w14:textFill>
            <w14:solidFill>
              <w14:schemeClr w14:val="tx1"/>
            </w14:solidFill>
          </w14:textFill>
        </w:rPr>
        <w:t>。虽然主体工程占地中林地所占比最大，但林地生态系统被拟建公路切割后，其斑块数量随生态系统被切割并没有明显增加的趋势，说明公路的建设基本上不会对林地生态系统的结构完整性产生影响。而且，</w:t>
      </w:r>
      <w:bookmarkStart w:id="1004" w:name="_Hlk179402437"/>
      <w:r>
        <w:rPr>
          <w:rFonts w:hint="eastAsia"/>
          <w:color w:val="000000" w:themeColor="text1"/>
          <w14:textFill>
            <w14:solidFill>
              <w14:schemeClr w14:val="tx1"/>
            </w14:solidFill>
          </w14:textFill>
        </w:rPr>
        <w:t>林地中湿地松、相思树、桉树等的优势度值相对较高，作为林地生态系统的控制性组分，其具有较强的阻抗能力和受到干扰后的恢复能力，因此，公路的建设亦不会对林地生态系统的稳定性产生影响。</w:t>
      </w:r>
      <w:bookmarkEnd w:id="1004"/>
    </w:p>
    <w:bookmarkEnd w:id="1002"/>
    <w:p w14:paraId="76F3A67B">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w:t>
      </w:r>
      <w:r>
        <w:rPr>
          <w:color w:val="000000" w:themeColor="text1"/>
          <w14:textFill>
            <w14:solidFill>
              <w14:schemeClr w14:val="tx1"/>
            </w14:solidFill>
          </w14:textFill>
        </w:rPr>
        <w:t>5</w:t>
      </w:r>
      <w:r>
        <w:rPr>
          <w:rFonts w:hint="eastAsia"/>
          <w:color w:val="000000" w:themeColor="text1"/>
          <w14:textFill>
            <w14:solidFill>
              <w14:schemeClr w14:val="tx1"/>
            </w14:solidFill>
          </w14:textFill>
        </w:rPr>
        <w:t>）对沿线生态敏感区影响分析结论</w:t>
      </w:r>
    </w:p>
    <w:p w14:paraId="2BDCD08E">
      <w:pPr>
        <w:ind w:firstLine="480"/>
        <w:rPr>
          <w:color w:val="000000" w:themeColor="text1"/>
          <w14:textFill>
            <w14:solidFill>
              <w14:schemeClr w14:val="tx1"/>
            </w14:solidFill>
          </w14:textFill>
        </w:rPr>
      </w:pPr>
      <w:bookmarkStart w:id="1005" w:name="_Hlk179402449"/>
      <w:bookmarkStart w:id="1006" w:name="_Hlk153225139"/>
      <w:r>
        <w:rPr>
          <w:rFonts w:hint="eastAsia"/>
          <w:color w:val="000000" w:themeColor="text1"/>
          <w14:textFill>
            <w14:solidFill>
              <w14:schemeClr w14:val="tx1"/>
            </w14:solidFill>
          </w14:textFill>
        </w:rPr>
        <w:t>生态公益林：本项目主体工程共占用生态公益林面积</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bookmarkStart w:id="1007" w:name="hmcheck_9708bb8361d64c309de014fc36595330"/>
      <w:r>
        <w:rPr>
          <w:rFonts w:hint="eastAsia"/>
          <w:color w:val="000000" w:themeColor="text1"/>
          <w:shd w:val="clear" w:fill="FFAFAA"/>
          <w14:textFill>
            <w14:solidFill>
              <w14:schemeClr w14:val="tx1"/>
            </w14:solidFill>
          </w14:textFill>
        </w:rPr>
        <w:t>，，</w:t>
      </w:r>
      <w:bookmarkEnd w:id="1007"/>
      <w:r>
        <w:rPr>
          <w:rFonts w:hint="eastAsia"/>
          <w:color w:val="000000" w:themeColor="text1"/>
          <w14:textFill>
            <w14:solidFill>
              <w14:schemeClr w14:val="tx1"/>
            </w14:solidFill>
          </w14:textFill>
        </w:rPr>
        <w:t>均为国家二级。</w:t>
      </w:r>
      <w:bookmarkEnd w:id="1005"/>
      <w:r>
        <w:rPr>
          <w:rFonts w:hint="eastAsia"/>
          <w:color w:val="000000" w:themeColor="text1"/>
          <w14:textFill>
            <w14:solidFill>
              <w14:schemeClr w14:val="tx1"/>
            </w14:solidFill>
          </w14:textFill>
        </w:rPr>
        <w:t>在设计、施工和运行阶段采取积极有效的生态环境管理措施、环境预防和补偿措施后，可有效减轻工程建设带来的负面影响。</w:t>
      </w:r>
    </w:p>
    <w:p w14:paraId="4FD7CE0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一般湿地：本项目实际占用湿地较小，通过桥梁、涵洞形式跨越，不会导致水体分隔，减少湿地面积很小，对湿地供给功能、调节功能均不产生明显影响，总体认为本项目建设对湿地生态功能影响轻微。</w:t>
      </w:r>
    </w:p>
    <w:p w14:paraId="652D8FE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古树：评价范围</w:t>
      </w:r>
      <w:r>
        <w:rPr>
          <w:color w:val="000000" w:themeColor="text1"/>
          <w14:textFill>
            <w14:solidFill>
              <w14:schemeClr w14:val="tx1"/>
            </w14:solidFill>
          </w14:textFill>
        </w:rPr>
        <w:t>调查发现的</w:t>
      </w:r>
      <w:r>
        <w:rPr>
          <w:rFonts w:hint="eastAsia"/>
          <w:color w:val="000000" w:themeColor="text1"/>
          <w14:textFill>
            <w14:solidFill>
              <w14:schemeClr w14:val="tx1"/>
            </w14:solidFill>
          </w14:textFill>
        </w:rPr>
        <w:t>保护</w:t>
      </w:r>
      <w:r>
        <w:rPr>
          <w:color w:val="000000" w:themeColor="text1"/>
          <w14:textFill>
            <w14:solidFill>
              <w14:schemeClr w14:val="tx1"/>
            </w14:solidFill>
          </w14:textFill>
        </w:rPr>
        <w:t>古树8株</w:t>
      </w:r>
      <w:r>
        <w:rPr>
          <w:rFonts w:hint="eastAsia"/>
          <w:color w:val="000000" w:themeColor="text1"/>
          <w14:textFill>
            <w14:solidFill>
              <w14:schemeClr w14:val="tx1"/>
            </w14:solidFill>
          </w14:textFill>
        </w:rPr>
        <w:t>（最近约9</w:t>
      </w:r>
      <w:r>
        <w:rPr>
          <w:color w:val="000000" w:themeColor="text1"/>
          <w14:textFill>
            <w14:solidFill>
              <w14:schemeClr w14:val="tx1"/>
            </w14:solidFill>
          </w14:textFill>
        </w:rPr>
        <w:t>0</w:t>
      </w:r>
      <w:r>
        <w:rPr>
          <w:rFonts w:hint="eastAsia"/>
          <w:color w:val="000000" w:themeColor="text1"/>
          <w14:textFill>
            <w14:solidFill>
              <w14:schemeClr w14:val="tx1"/>
            </w14:solidFill>
          </w14:textFill>
        </w:rPr>
        <w:t>m），距离相对较远，</w:t>
      </w:r>
      <w:r>
        <w:rPr>
          <w:color w:val="000000" w:themeColor="text1"/>
          <w14:textFill>
            <w14:solidFill>
              <w14:schemeClr w14:val="tx1"/>
            </w14:solidFill>
          </w14:textFill>
        </w:rPr>
        <w:t>工程在该处附近不设临时施工用地，工程建设不会对保护古树产生不利影响。</w:t>
      </w:r>
    </w:p>
    <w:p w14:paraId="0D6F7040">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综上分析，</w:t>
      </w:r>
      <w:bookmarkEnd w:id="991"/>
      <w:r>
        <w:rPr>
          <w:rFonts w:hint="eastAsia"/>
          <w:color w:val="000000" w:themeColor="text1"/>
          <w:szCs w:val="24"/>
          <w14:textFill>
            <w14:solidFill>
              <w14:schemeClr w14:val="tx1"/>
            </w14:solidFill>
          </w14:textFill>
        </w:rPr>
        <w:t>项目施工过程中采取有效的生态环境保护措施、恢复措施和水土保持措施后，可将项目施工中对工程所在地生态环境带来的负面影响减轻到最低。</w:t>
      </w:r>
      <w:bookmarkEnd w:id="1006"/>
    </w:p>
    <w:p w14:paraId="1455092D">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大气环境影响分析结论</w:t>
      </w:r>
    </w:p>
    <w:p w14:paraId="2AE185B8">
      <w:pPr>
        <w:ind w:firstLine="480"/>
        <w:rPr>
          <w:color w:val="000000" w:themeColor="text1"/>
          <w14:textFill>
            <w14:solidFill>
              <w14:schemeClr w14:val="tx1"/>
            </w14:solidFill>
          </w14:textFill>
        </w:rPr>
      </w:pPr>
      <w:bookmarkStart w:id="1008" w:name="_Hlk153225512"/>
      <w:bookmarkStart w:id="1009" w:name="_Hlk146013009"/>
      <w:r>
        <w:rPr>
          <w:rFonts w:hint="eastAsia"/>
          <w:color w:val="000000" w:themeColor="text1"/>
          <w14:textFill>
            <w14:solidFill>
              <w14:schemeClr w14:val="tx1"/>
            </w14:solidFill>
          </w14:textFill>
        </w:rPr>
        <w:t>项目施工期的主要污染物为粉尘、扬尘和沥青烟。由于本工程施工期较长，因此它们将对沿线环境空气质量产生一定的不利影响，但影响范围不大，而且主要是短期影响。故施工期应加强对环境管理，采取经常洒水降尘、施工围挡、遮盖等适当的防护措施，以缓解工程施工对沿线环境空气质量的影响。</w:t>
      </w:r>
      <w:bookmarkEnd w:id="1008"/>
    </w:p>
    <w:p w14:paraId="46F2E396">
      <w:pPr>
        <w:ind w:firstLine="480"/>
        <w:rPr>
          <w:color w:val="000000" w:themeColor="text1"/>
          <w14:textFill>
            <w14:solidFill>
              <w14:schemeClr w14:val="tx1"/>
            </w14:solidFill>
          </w14:textFill>
        </w:rPr>
      </w:pPr>
      <w:bookmarkStart w:id="1010" w:name="_Hlk153225528"/>
      <w:r>
        <w:rPr>
          <w:rFonts w:hint="eastAsia"/>
          <w:color w:val="000000" w:themeColor="text1"/>
          <w14:textFill>
            <w14:solidFill>
              <w14:schemeClr w14:val="tx1"/>
            </w14:solidFill>
          </w14:textFill>
        </w:rPr>
        <w:t>运营期：运营期主要大气污染源为汽车尾气，沿线大气扩散条件相对较好，对大气环境影响较小。</w:t>
      </w:r>
      <w:bookmarkEnd w:id="1009"/>
      <w:bookmarkEnd w:id="1010"/>
    </w:p>
    <w:p w14:paraId="2EC7C26A">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水环境影响分析结论</w:t>
      </w:r>
    </w:p>
    <w:p w14:paraId="5E5F9069">
      <w:pPr>
        <w:ind w:firstLine="480"/>
        <w:rPr>
          <w:color w:val="000000" w:themeColor="text1"/>
          <w14:textFill>
            <w14:solidFill>
              <w14:schemeClr w14:val="tx1"/>
            </w14:solidFill>
          </w14:textFill>
        </w:rPr>
      </w:pPr>
      <w:bookmarkStart w:id="1011" w:name="_Hlk179402626"/>
      <w:bookmarkStart w:id="1012" w:name="_Hlk146013324"/>
      <w:bookmarkStart w:id="1013" w:name="_Hlk153225586"/>
      <w:r>
        <w:rPr>
          <w:rFonts w:hint="eastAsia"/>
          <w:color w:val="000000" w:themeColor="text1"/>
          <w14:textFill>
            <w14:solidFill>
              <w14:schemeClr w14:val="tx1"/>
            </w14:solidFill>
          </w14:textFill>
        </w:rPr>
        <w:t>施工期：施工期生活污水依托周边村庄生活污水处理设施处理，纳入区域排污系统；项目施工场地常驻人员</w:t>
      </w:r>
      <w:r>
        <w:rPr>
          <w:color w:val="000000" w:themeColor="text1"/>
          <w14:textFill>
            <w14:solidFill>
              <w14:schemeClr w14:val="tx1"/>
            </w14:solidFill>
          </w14:textFill>
        </w:rPr>
        <w:t>生活污水</w:t>
      </w:r>
      <w:r>
        <w:rPr>
          <w:rFonts w:hint="eastAsia"/>
          <w:color w:val="000000" w:themeColor="text1"/>
          <w14:textFill>
            <w14:solidFill>
              <w14:schemeClr w14:val="tx1"/>
            </w14:solidFill>
          </w14:textFill>
        </w:rPr>
        <w:t>经临时化粪池处理后，委托当地村民清运用于肥田，不外排；</w:t>
      </w:r>
      <w:r>
        <w:rPr>
          <w:color w:val="000000" w:themeColor="text1"/>
          <w14:textFill>
            <w14:solidFill>
              <w14:schemeClr w14:val="tx1"/>
            </w14:solidFill>
          </w14:textFill>
        </w:rPr>
        <w:t>机械、车辆冲洗水经</w:t>
      </w:r>
      <w:r>
        <w:rPr>
          <w:rFonts w:hint="eastAsia"/>
          <w:color w:val="000000" w:themeColor="text1"/>
          <w14:textFill>
            <w14:solidFill>
              <w14:schemeClr w14:val="tx1"/>
            </w14:solidFill>
          </w14:textFill>
        </w:rPr>
        <w:t>简单</w:t>
      </w:r>
      <w:r>
        <w:rPr>
          <w:color w:val="000000" w:themeColor="text1"/>
          <w14:textFill>
            <w14:solidFill>
              <w14:schemeClr w14:val="tx1"/>
            </w14:solidFill>
          </w14:textFill>
        </w:rPr>
        <w:t>隔油沉淀后循环使用</w:t>
      </w:r>
      <w:r>
        <w:rPr>
          <w:rFonts w:hint="eastAsia"/>
          <w:color w:val="000000" w:themeColor="text1"/>
          <w14:textFill>
            <w14:solidFill>
              <w14:schemeClr w14:val="tx1"/>
            </w14:solidFill>
          </w14:textFill>
        </w:rPr>
        <w:t>，或用于施工场地和破除路面洒水抑尘，不外排。本项目对各种施工废水进行充分的回用或再利用，比如洒水降尘、绿化和农用等，做到施工废水不外排。综上，项目施工废水对周边水环境影响较小。</w:t>
      </w:r>
    </w:p>
    <w:p w14:paraId="41DC7B2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运营期：运营期对水环境的影响主要为路面雨水径流对水环境的影响。项目沿线主要水系是迳江，路面雨水径流主要污染物是石油类、有机物和悬浮物，降雨对公路附近河流造成影响的主要是降雨初期</w:t>
      </w:r>
      <w:r>
        <w:rPr>
          <w:color w:val="000000" w:themeColor="text1"/>
          <w14:textFill>
            <w14:solidFill>
              <w14:schemeClr w14:val="tx1"/>
            </w14:solidFill>
          </w14:textFill>
        </w:rPr>
        <w:t>40</w:t>
      </w:r>
      <w:r>
        <w:rPr>
          <w:rFonts w:hint="eastAsia"/>
          <w:color w:val="000000" w:themeColor="text1"/>
          <w14:textFill>
            <w14:solidFill>
              <w14:schemeClr w14:val="tx1"/>
            </w14:solidFill>
          </w14:textFill>
        </w:rPr>
        <w:t>min内形成的路面径流，随着降雨历时增加，公路表面径流污染物浓度下降，加之公路表面径流是短期和暂时的，因而对周边水环境影响不大，不会改变现有水质类别及使用功能。</w:t>
      </w:r>
      <w:bookmarkEnd w:id="1011"/>
    </w:p>
    <w:bookmarkEnd w:id="1012"/>
    <w:bookmarkEnd w:id="1013"/>
    <w:p w14:paraId="3854C6CD">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声环境影响分析结论</w:t>
      </w:r>
    </w:p>
    <w:p w14:paraId="380557B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施工期：</w:t>
      </w:r>
      <w:bookmarkStart w:id="1014" w:name="_Hlk153225296"/>
      <w:r>
        <w:rPr>
          <w:color w:val="000000" w:themeColor="text1"/>
          <w:spacing w:val="-2"/>
          <w14:textFill>
            <w14:solidFill>
              <w14:schemeClr w14:val="tx1"/>
            </w14:solidFill>
          </w14:textFill>
        </w:rPr>
        <w:t>施工机械噪声在无遮挡情况下，产生的噪声声级比较大，施工场</w:t>
      </w:r>
      <w:r>
        <w:rPr>
          <w:color w:val="000000" w:themeColor="text1"/>
          <w14:textFill>
            <w14:solidFill>
              <w14:schemeClr w14:val="tx1"/>
            </w14:solidFill>
          </w14:textFill>
        </w:rPr>
        <w:t>界超过《建筑施工场界环境噪声排放标准》</w:t>
      </w:r>
      <w:r>
        <w:rPr>
          <w:rFonts w:eastAsia="Times New Roman"/>
          <w:color w:val="000000" w:themeColor="text1"/>
          <w14:textFill>
            <w14:solidFill>
              <w14:schemeClr w14:val="tx1"/>
            </w14:solidFill>
          </w14:textFill>
        </w:rPr>
        <w:t>(GB12523-2011)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排放限值昼间</w:t>
      </w:r>
      <w:r>
        <w:rPr>
          <w:rFonts w:hint="eastAsia" w:ascii="宋体" w:hAnsi="宋体"/>
          <w:color w:val="000000" w:themeColor="text1"/>
          <w14:textFill>
            <w14:solidFill>
              <w14:schemeClr w14:val="tx1"/>
            </w14:solidFill>
          </w14:textFill>
        </w:rPr>
        <w:t>≤</w:t>
      </w:r>
      <w:r>
        <w:rPr>
          <w:rFonts w:eastAsia="Times New Roman"/>
          <w:color w:val="000000" w:themeColor="text1"/>
          <w14:textFill>
            <w14:solidFill>
              <w14:schemeClr w14:val="tx1"/>
            </w14:solidFill>
          </w14:textFill>
        </w:rPr>
        <w:t>70dB</w:t>
      </w:r>
      <w:r>
        <w:rPr>
          <w:color w:val="000000" w:themeColor="text1"/>
          <w14:textFill>
            <w14:solidFill>
              <w14:schemeClr w14:val="tx1"/>
            </w14:solidFill>
          </w14:textFill>
        </w:rPr>
        <w:t>，夜间</w:t>
      </w:r>
      <w:r>
        <w:rPr>
          <w:rFonts w:hint="eastAsia" w:ascii="宋体" w:hAnsi="宋体"/>
          <w:color w:val="000000" w:themeColor="text1"/>
          <w14:textFill>
            <w14:solidFill>
              <w14:schemeClr w14:val="tx1"/>
            </w14:solidFill>
          </w14:textFill>
        </w:rPr>
        <w:t>≤</w:t>
      </w:r>
      <w:r>
        <w:rPr>
          <w:rFonts w:eastAsia="Times New Roman"/>
          <w:color w:val="000000" w:themeColor="text1"/>
          <w14:textFill>
            <w14:solidFill>
              <w14:schemeClr w14:val="tx1"/>
            </w14:solidFill>
          </w14:textFill>
        </w:rPr>
        <w:t>50dB</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。施工噪声对施工路段周围村民</w:t>
      </w:r>
      <w:r>
        <w:rPr>
          <w:rFonts w:hint="eastAsia"/>
          <w:color w:val="000000" w:themeColor="text1"/>
          <w14:textFill>
            <w14:solidFill>
              <w14:schemeClr w14:val="tx1"/>
            </w14:solidFill>
          </w14:textFill>
        </w:rPr>
        <w:t>居住区</w:t>
      </w:r>
      <w:r>
        <w:rPr>
          <w:color w:val="000000" w:themeColor="text1"/>
          <w14:textFill>
            <w14:solidFill>
              <w14:schemeClr w14:val="tx1"/>
            </w14:solidFill>
          </w14:textFill>
        </w:rPr>
        <w:t>声环境将产生一定的不利影响</w:t>
      </w:r>
      <w:r>
        <w:rPr>
          <w:rFonts w:hint="eastAsia"/>
          <w:color w:val="000000" w:themeColor="text1"/>
          <w14:textFill>
            <w14:solidFill>
              <w14:schemeClr w14:val="tx1"/>
            </w14:solidFill>
          </w14:textFill>
        </w:rPr>
        <w:t>，尤其是夜间，影响比较严重。</w:t>
      </w:r>
      <w:bookmarkEnd w:id="1014"/>
      <w:bookmarkStart w:id="1015" w:name="_Hlk179402576"/>
      <w:r>
        <w:rPr>
          <w:rFonts w:hint="eastAsia"/>
          <w:color w:val="000000" w:themeColor="text1"/>
          <w14:textFill>
            <w14:solidFill>
              <w14:schemeClr w14:val="tx1"/>
            </w14:solidFill>
          </w14:textFill>
        </w:rPr>
        <w:t>因此，施工单位在组织施工时，选用低噪声的设备，合理规划施工时间，夜间禁止施工，同时在施工场界做围挡措施，特别</w:t>
      </w:r>
      <w:bookmarkStart w:id="1016" w:name="hmcheck_17607eb88b0c4012bf63412dc5a14c3c"/>
      <w:r>
        <w:rPr>
          <w:rFonts w:hint="eastAsia"/>
          <w:color w:val="000000" w:themeColor="text1"/>
          <w:shd w:val="clear" w:fill="FFAFAA"/>
          <w14:textFill>
            <w14:solidFill>
              <w14:schemeClr w14:val="tx1"/>
            </w14:solidFill>
          </w14:textFill>
        </w:rPr>
        <w:t>是临近村民</w:t>
      </w:r>
      <w:bookmarkEnd w:id="1016"/>
      <w:r>
        <w:rPr>
          <w:rFonts w:hint="eastAsia"/>
          <w:color w:val="000000" w:themeColor="text1"/>
          <w14:textFill>
            <w14:solidFill>
              <w14:schemeClr w14:val="tx1"/>
            </w14:solidFill>
          </w14:textFill>
        </w:rPr>
        <w:t>房一侧应采取必要的隔声减噪措施（如设置施工围挡、移动式声屏障等措施），降低施工噪声对周边敏感点的影响。</w:t>
      </w:r>
      <w:bookmarkEnd w:id="1015"/>
    </w:p>
    <w:p w14:paraId="5E75E314">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运营期：</w:t>
      </w:r>
      <w:bookmarkStart w:id="1017" w:name="_Hlk146026495"/>
      <w:bookmarkStart w:id="1018" w:name="_Hlk153225334"/>
      <w:r>
        <w:rPr>
          <w:rFonts w:hint="eastAsia"/>
          <w:color w:val="000000" w:themeColor="text1"/>
          <w14:textFill>
            <w14:solidFill>
              <w14:schemeClr w14:val="tx1"/>
            </w14:solidFill>
          </w14:textFill>
        </w:rPr>
        <w:t>从预测结果可以看出，项目运营期沿线敏感目标受交通噪声影响不大，仅临路第一排部分敏感点夜间出现部分超标，主要有牌边村新桥、上张村王房、联华村后郑、联华村西山近中远期夜间均出现不同程度超标，超标量近中远分别为</w:t>
      </w:r>
      <w:r>
        <w:rPr>
          <w:color w:val="000000" w:themeColor="text1"/>
          <w14:textFill>
            <w14:solidFill>
              <w14:schemeClr w14:val="tx1"/>
            </w14:solidFill>
          </w14:textFill>
        </w:rPr>
        <w:t>2.6~8.0</w:t>
      </w:r>
      <w:r>
        <w:rPr>
          <w:rFonts w:hint="eastAsia"/>
          <w:color w:val="000000" w:themeColor="text1"/>
          <w14:textFill>
            <w14:solidFill>
              <w14:schemeClr w14:val="tx1"/>
            </w14:solidFill>
          </w14:textFill>
        </w:rPr>
        <w:t xml:space="preserve">dB（A）、3.0 </w:t>
      </w:r>
      <w:r>
        <w:rPr>
          <w:color w:val="000000" w:themeColor="text1"/>
          <w14:textFill>
            <w14:solidFill>
              <w14:schemeClr w14:val="tx1"/>
            </w14:solidFill>
          </w14:textFill>
        </w:rPr>
        <w:t>~8.0</w:t>
      </w:r>
      <w:r>
        <w:rPr>
          <w:rFonts w:hint="eastAsia"/>
          <w:color w:val="000000" w:themeColor="text1"/>
          <w14:textFill>
            <w14:solidFill>
              <w14:schemeClr w14:val="tx1"/>
            </w14:solidFill>
          </w14:textFill>
        </w:rPr>
        <w:t>dB（A）、3</w:t>
      </w:r>
      <w:r>
        <w:rPr>
          <w:color w:val="000000" w:themeColor="text1"/>
          <w14:textFill>
            <w14:solidFill>
              <w14:schemeClr w14:val="tx1"/>
            </w14:solidFill>
          </w14:textFill>
        </w:rPr>
        <w:t>.3~8.1</w:t>
      </w:r>
      <w:r>
        <w:rPr>
          <w:rFonts w:hint="eastAsia"/>
          <w:color w:val="000000" w:themeColor="text1"/>
          <w14:textFill>
            <w14:solidFill>
              <w14:schemeClr w14:val="tx1"/>
            </w14:solidFill>
          </w14:textFill>
        </w:rPr>
        <w:t>dB（A）。因此，本项目针对近中远夜间超标的牌边村新桥、上张村王房、联华村后郑、联华村西山设置通风隔声窗，同时预留资金，用于中远期跟踪监测。</w:t>
      </w:r>
      <w:bookmarkEnd w:id="1017"/>
      <w:bookmarkEnd w:id="1018"/>
    </w:p>
    <w:p w14:paraId="5FF19261">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固体废物影响分析结论</w:t>
      </w:r>
    </w:p>
    <w:p w14:paraId="745857E7">
      <w:pPr>
        <w:ind w:firstLine="480"/>
        <w:rPr>
          <w:color w:val="000000" w:themeColor="text1"/>
          <w14:textFill>
            <w14:solidFill>
              <w14:schemeClr w14:val="tx1"/>
            </w14:solidFill>
          </w14:textFill>
        </w:rPr>
      </w:pPr>
      <w:bookmarkStart w:id="1019" w:name="_Hlk146026750"/>
      <w:bookmarkStart w:id="1020" w:name="_Hlk179402641"/>
      <w:r>
        <w:rPr>
          <w:rFonts w:hint="eastAsia"/>
          <w:color w:val="000000" w:themeColor="text1"/>
          <w14:textFill>
            <w14:solidFill>
              <w14:schemeClr w14:val="tx1"/>
            </w14:solidFill>
          </w14:textFill>
        </w:rPr>
        <w:t>施工期：</w:t>
      </w:r>
      <w:bookmarkStart w:id="1021" w:name="_Hlk180657738"/>
      <w:r>
        <w:rPr>
          <w:rFonts w:hint="eastAsia"/>
          <w:color w:val="000000" w:themeColor="text1"/>
          <w14:textFill>
            <w14:solidFill>
              <w14:schemeClr w14:val="tx1"/>
            </w14:solidFill>
          </w14:textFill>
        </w:rPr>
        <w:t>施工期生活垃圾委托当地环卫部门及时清运；</w:t>
      </w:r>
      <w:r>
        <w:rPr>
          <w:color w:val="000000" w:themeColor="text1"/>
          <w:spacing w:val="2"/>
          <w14:textFill>
            <w14:solidFill>
              <w14:schemeClr w14:val="tx1"/>
            </w14:solidFill>
          </w14:textFill>
        </w:rPr>
        <w:t>本项目</w:t>
      </w:r>
      <w:bookmarkEnd w:id="1021"/>
      <w:r>
        <w:rPr>
          <w:rFonts w:hint="eastAsia"/>
          <w:color w:val="000000" w:themeColor="text1"/>
          <w14:textFill>
            <w14:solidFill>
              <w14:schemeClr w14:val="tx1"/>
            </w14:solidFill>
          </w14:textFill>
        </w:rPr>
        <w:t>余方16.</w:t>
      </w:r>
      <w:r>
        <w:rPr>
          <w:color w:val="000000" w:themeColor="text1"/>
          <w14:textFill>
            <w14:solidFill>
              <w14:schemeClr w14:val="tx1"/>
            </w14:solidFill>
          </w14:textFill>
        </w:rPr>
        <w:t>8</w:t>
      </w:r>
      <w:r>
        <w:rPr>
          <w:rFonts w:hint="eastAsia"/>
          <w:color w:val="000000" w:themeColor="text1"/>
          <w14:textFill>
            <w14:solidFill>
              <w14:schemeClr w14:val="tx1"/>
            </w14:solidFill>
          </w14:textFill>
        </w:rPr>
        <w:t>3万m³（其中土方</w:t>
      </w:r>
      <w:r>
        <w:rPr>
          <w:color w:val="000000" w:themeColor="text1"/>
          <w14:textFill>
            <w14:solidFill>
              <w14:schemeClr w14:val="tx1"/>
            </w14:solidFill>
          </w14:textFill>
        </w:rPr>
        <w:t>4.62</w:t>
      </w:r>
      <w:r>
        <w:rPr>
          <w:rFonts w:hint="eastAsia"/>
          <w:color w:val="000000" w:themeColor="text1"/>
          <w14:textFill>
            <w14:solidFill>
              <w14:schemeClr w14:val="tx1"/>
            </w14:solidFill>
          </w14:textFill>
        </w:rPr>
        <w:t>万m³，石方</w:t>
      </w:r>
      <w:r>
        <w:rPr>
          <w:color w:val="000000" w:themeColor="text1"/>
          <w14:textFill>
            <w14:solidFill>
              <w14:schemeClr w14:val="tx1"/>
            </w14:solidFill>
          </w14:textFill>
        </w:rPr>
        <w:t>11.41</w:t>
      </w:r>
      <w:r>
        <w:rPr>
          <w:rFonts w:hint="eastAsia"/>
          <w:color w:val="000000" w:themeColor="text1"/>
          <w14:textFill>
            <w14:solidFill>
              <w14:schemeClr w14:val="tx1"/>
            </w14:solidFill>
          </w14:textFill>
        </w:rPr>
        <w:t>万m³），其中石方</w:t>
      </w:r>
      <w:r>
        <w:rPr>
          <w:color w:val="000000" w:themeColor="text1"/>
          <w14:textFill>
            <w14:solidFill>
              <w14:schemeClr w14:val="tx1"/>
            </w14:solidFill>
          </w14:textFill>
        </w:rPr>
        <w:t>6.88</w:t>
      </w:r>
      <w:r>
        <w:rPr>
          <w:rFonts w:hint="eastAsia"/>
          <w:color w:val="000000" w:themeColor="text1"/>
          <w14:textFill>
            <w14:solidFill>
              <w14:schemeClr w14:val="tx1"/>
            </w14:solidFill>
          </w14:textFill>
        </w:rPr>
        <w:t>万m³本工程利用，作为截（排）水沟、沉沙池、挡墙等附属设施的原材料利用；剩余弃方（9</w:t>
      </w:r>
      <w:r>
        <w:rPr>
          <w:color w:val="000000" w:themeColor="text1"/>
          <w14:textFill>
            <w14:solidFill>
              <w14:schemeClr w14:val="tx1"/>
            </w14:solidFill>
          </w14:textFill>
        </w:rPr>
        <w:t>.95</w:t>
      </w:r>
      <w:r>
        <w:rPr>
          <w:rFonts w:hint="eastAsia"/>
          <w:color w:val="000000" w:themeColor="text1"/>
          <w14:textFill>
            <w14:solidFill>
              <w14:schemeClr w14:val="tx1"/>
            </w14:solidFill>
          </w14:textFill>
        </w:rPr>
        <w:t>万m³）拟运往福清市城 市管理委员会批准的余方指定堆放点进行综合利用。</w:t>
      </w:r>
    </w:p>
    <w:p w14:paraId="6DA078C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运营期：主要为汽车装载货物的洒落物、汽车轮胎夹带的泥沙、过往车辆丢弃的饮料瓶及废纸盒等生活垃圾。经环卫部门负责定期清除、收集、外运，不会对公路沿线环境造成大的影响。</w:t>
      </w:r>
      <w:bookmarkEnd w:id="1019"/>
    </w:p>
    <w:bookmarkEnd w:id="1020"/>
    <w:p w14:paraId="17ADF017">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综上，项目施工期和运营期的固废均得到了有效</w:t>
      </w:r>
      <w:bookmarkStart w:id="1022" w:name="hmcheck_429e4721369243f699636192a3d1df6d"/>
      <w:r>
        <w:rPr>
          <w:rFonts w:hint="eastAsia"/>
          <w:color w:val="000000" w:themeColor="text1"/>
          <w:shd w:val="clear" w:fill="FFAFAA"/>
          <w14:textFill>
            <w14:solidFill>
              <w14:schemeClr w14:val="tx1"/>
            </w14:solidFill>
          </w14:textFill>
        </w:rPr>
        <w:t>的</w:t>
      </w:r>
      <w:bookmarkEnd w:id="1022"/>
      <w:r>
        <w:rPr>
          <w:rFonts w:hint="eastAsia"/>
          <w:color w:val="000000" w:themeColor="text1"/>
          <w14:textFill>
            <w14:solidFill>
              <w14:schemeClr w14:val="tx1"/>
            </w14:solidFill>
          </w14:textFill>
        </w:rPr>
        <w:t>妥善处置，对周围环境产生的影响较小。</w:t>
      </w:r>
    </w:p>
    <w:p w14:paraId="332BC1BC">
      <w:pPr>
        <w:pStyle w:val="120"/>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环境风险评价结论</w:t>
      </w:r>
    </w:p>
    <w:p w14:paraId="0D7E1688">
      <w:pPr>
        <w:ind w:firstLine="480"/>
        <w:rPr>
          <w:color w:val="000000" w:themeColor="text1"/>
          <w14:textFill>
            <w14:solidFill>
              <w14:schemeClr w14:val="tx1"/>
            </w14:solidFill>
          </w14:textFill>
        </w:rPr>
      </w:pPr>
      <w:bookmarkStart w:id="1023" w:name="_Hlk179402704"/>
      <w:r>
        <w:rPr>
          <w:color w:val="000000" w:themeColor="text1"/>
          <w14:textFill>
            <w14:solidFill>
              <w14:schemeClr w14:val="tx1"/>
            </w14:solidFill>
          </w14:textFill>
        </w:rPr>
        <w:t>本项目在营运过程中，由危险品运输事故造成的各种风险具有一定的潜在危险性。根据预测，本项目发生危险品运输事故的概率是很小的。本项目的重大危险源主要为运输危险化学品的车辆由于事故引起化学品泄漏对沿线群众的生活安全和生命健康造成威胁，并对沿线环境造成不利影响。</w:t>
      </w:r>
    </w:p>
    <w:p w14:paraId="7A7EBE1B">
      <w:pPr>
        <w:ind w:firstLine="480"/>
        <w:rPr>
          <w:color w:val="000000" w:themeColor="text1"/>
          <w14:textFill>
            <w14:solidFill>
              <w14:schemeClr w14:val="tx1"/>
            </w14:solidFill>
          </w14:textFill>
        </w:rPr>
      </w:pPr>
      <w:r>
        <w:rPr>
          <w:color w:val="000000" w:themeColor="text1"/>
          <w14:textFill>
            <w14:solidFill>
              <w14:schemeClr w14:val="tx1"/>
            </w14:solidFill>
          </w14:textFill>
        </w:rPr>
        <w:t>事故处理按本报告提出的应急方案</w:t>
      </w:r>
      <w:r>
        <w:rPr>
          <w:rFonts w:hint="eastAsia"/>
          <w:color w:val="000000" w:themeColor="text1"/>
          <w14:textFill>
            <w14:solidFill>
              <w14:schemeClr w14:val="tx1"/>
            </w14:solidFill>
          </w14:textFill>
        </w:rPr>
        <w:t>实施</w:t>
      </w:r>
      <w:r>
        <w:rPr>
          <w:color w:val="000000" w:themeColor="text1"/>
          <w14:textFill>
            <w14:solidFill>
              <w14:schemeClr w14:val="tx1"/>
            </w14:solidFill>
          </w14:textFill>
        </w:rPr>
        <w:t>，可在最大限度上减轻事故对环境产生的影响。</w:t>
      </w:r>
      <w:bookmarkEnd w:id="1023"/>
    </w:p>
    <w:p w14:paraId="3AB63A51">
      <w:pPr>
        <w:pStyle w:val="116"/>
        <w:rPr>
          <w:color w:val="000000" w:themeColor="text1"/>
          <w14:textFill>
            <w14:solidFill>
              <w14:schemeClr w14:val="tx1"/>
            </w14:solidFill>
          </w14:textFill>
        </w:rPr>
      </w:pPr>
      <w:bookmarkStart w:id="1024" w:name="_Toc153957860"/>
      <w:bookmarkStart w:id="1025" w:name="_Toc88864690"/>
      <w:bookmarkStart w:id="1026" w:name="_Toc146525008"/>
      <w:bookmarkStart w:id="1027" w:name="_Toc159405504"/>
      <w:bookmarkStart w:id="1028" w:name="_Toc88764883"/>
      <w:bookmarkStart w:id="1029" w:name="_Toc193912410"/>
      <w:bookmarkStart w:id="1030" w:name="_Toc154668081"/>
      <w:r>
        <w:rPr>
          <w:rFonts w:hint="eastAsia"/>
          <w:color w:val="000000" w:themeColor="text1"/>
          <w14:textFill>
            <w14:solidFill>
              <w14:schemeClr w14:val="tx1"/>
            </w14:solidFill>
          </w14:textFill>
        </w:rPr>
        <w:t>项目主要环保措施及竣工验收要求</w:t>
      </w:r>
      <w:bookmarkEnd w:id="1024"/>
      <w:bookmarkEnd w:id="1025"/>
      <w:bookmarkEnd w:id="1026"/>
      <w:bookmarkEnd w:id="1027"/>
      <w:bookmarkEnd w:id="1028"/>
      <w:bookmarkEnd w:id="1029"/>
      <w:bookmarkEnd w:id="1030"/>
    </w:p>
    <w:p w14:paraId="387B1EAE">
      <w:pPr>
        <w:ind w:firstLine="480"/>
        <w:rPr>
          <w:color w:val="000000" w:themeColor="text1"/>
          <w14:textFill>
            <w14:solidFill>
              <w14:schemeClr w14:val="tx1"/>
            </w14:solidFill>
          </w14:textFill>
        </w:rPr>
        <w:sectPr>
          <w:pgSz w:w="11906" w:h="16838"/>
          <w:pgMar w:top="1418" w:right="1418" w:bottom="1418" w:left="1418" w:header="851" w:footer="851" w:gutter="0"/>
          <w:cols w:space="425" w:num="1"/>
          <w:docGrid w:type="lines" w:linePitch="326" w:charSpace="0"/>
        </w:sectPr>
      </w:pPr>
      <w:bookmarkStart w:id="1031" w:name="_Hlk144719742"/>
      <w:r>
        <w:rPr>
          <w:rFonts w:hint="eastAsia"/>
          <w:color w:val="000000" w:themeColor="text1"/>
          <w14:textFill>
            <w14:solidFill>
              <w14:schemeClr w14:val="tx1"/>
            </w14:solidFill>
          </w14:textFill>
        </w:rPr>
        <w:t>拟建公路在建设过程中和运营期必将带来一定的环境影响和社会影响，本评价对施工期和运营期的大气、地表水、噪声等环境保护提出污染防治措施。本项目通车运营期间，建设单位应根据《建设项目竣工环境保护验收暂行办法》（国环规环评〔2017〕4号）、《建设项目竣工环境保护验收技术规范公路》（HJ552-2010）的要求开展竣工环境保护自主验收，对各项环保措施“三同时”的落实情况、效果以及工程建设对环境的影响进行评估。本工程施工期环保措施一览表和运营期竣工环保“三同时”验收内容分别见</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_Ref153909929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表10.4-1</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w:instrText>
      </w:r>
      <w:r>
        <w:rPr>
          <w:rFonts w:hint="eastAsia"/>
          <w:color w:val="000000" w:themeColor="text1"/>
          <w14:textFill>
            <w14:solidFill>
              <w14:schemeClr w14:val="tx1"/>
            </w14:solidFill>
          </w14:textFill>
        </w:rPr>
        <w:instrText xml:space="preserve">REF _Ref153909903 \r \h</w:instrText>
      </w:r>
      <w:r>
        <w:rPr>
          <w:color w:val="000000" w:themeColor="text1"/>
          <w14:textFill>
            <w14:solidFill>
              <w14:schemeClr w14:val="tx1"/>
            </w14:solidFill>
          </w14:textFill>
        </w:rPr>
        <w:instrText xml:space="preserve">  \* MERGEFORMAT </w:instrText>
      </w:r>
      <w:r>
        <w:rPr>
          <w:color w:val="000000" w:themeColor="text1"/>
          <w14:textFill>
            <w14:solidFill>
              <w14:schemeClr w14:val="tx1"/>
            </w14:solidFill>
          </w14:textFill>
        </w:rPr>
        <w:fldChar w:fldCharType="separate"/>
      </w:r>
      <w:r>
        <w:rPr>
          <w:rFonts w:hint="eastAsia"/>
          <w:color w:val="000000" w:themeColor="text1"/>
          <w14:textFill>
            <w14:solidFill>
              <w14:schemeClr w14:val="tx1"/>
            </w14:solidFill>
          </w14:textFill>
        </w:rPr>
        <w:t>表10.4-2</w:t>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w:t>
      </w:r>
    </w:p>
    <w:p w14:paraId="780C4276">
      <w:pPr>
        <w:pStyle w:val="87"/>
        <w:spacing w:before="163"/>
        <w:ind w:left="480" w:firstLine="480"/>
        <w:rPr>
          <w:color w:val="000000" w:themeColor="text1"/>
          <w14:textFill>
            <w14:solidFill>
              <w14:schemeClr w14:val="tx1"/>
            </w14:solidFill>
          </w14:textFill>
        </w:rPr>
      </w:pPr>
      <w:bookmarkStart w:id="1032" w:name="_Ref153909929"/>
      <w:bookmarkStart w:id="1033" w:name="_Hlk152745264"/>
      <w:r>
        <w:rPr>
          <w:rFonts w:hint="eastAsia"/>
          <w:color w:val="000000" w:themeColor="text1"/>
          <w14:textFill>
            <w14:solidFill>
              <w14:schemeClr w14:val="tx1"/>
            </w14:solidFill>
          </w14:textFill>
        </w:rPr>
        <w:t>项目施工期环保措施一览表</w:t>
      </w:r>
      <w:bookmarkEnd w:id="1032"/>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413"/>
        <w:gridCol w:w="554"/>
        <w:gridCol w:w="883"/>
        <w:gridCol w:w="10532"/>
        <w:gridCol w:w="1676"/>
      </w:tblGrid>
      <w:tr w14:paraId="05BFB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340" w:hRule="atLeast"/>
          <w:tblHeader/>
          <w:jc w:val="center"/>
        </w:trPr>
        <w:tc>
          <w:tcPr>
            <w:tcW w:w="147" w:type="pct"/>
            <w:tcBorders>
              <w:top w:val="single" w:color="auto" w:sz="12" w:space="0"/>
              <w:left w:val="nil"/>
            </w:tcBorders>
            <w:shd w:val="clear" w:color="auto" w:fill="auto"/>
            <w:vAlign w:val="center"/>
          </w:tcPr>
          <w:p w14:paraId="1FEC861F">
            <w:pPr>
              <w:pStyle w:val="105"/>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511" w:type="pct"/>
            <w:gridSpan w:val="2"/>
            <w:tcBorders>
              <w:top w:val="single" w:color="auto" w:sz="12" w:space="0"/>
            </w:tcBorders>
            <w:shd w:val="clear" w:color="auto" w:fill="auto"/>
            <w:vAlign w:val="center"/>
          </w:tcPr>
          <w:p w14:paraId="3153F65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因子</w:t>
            </w:r>
          </w:p>
        </w:tc>
        <w:tc>
          <w:tcPr>
            <w:tcW w:w="3746" w:type="pct"/>
            <w:tcBorders>
              <w:top w:val="single" w:color="auto" w:sz="12" w:space="0"/>
            </w:tcBorders>
            <w:shd w:val="clear" w:color="auto" w:fill="auto"/>
            <w:vAlign w:val="center"/>
          </w:tcPr>
          <w:p w14:paraId="488DF43A">
            <w:pPr>
              <w:pStyle w:val="105"/>
              <w:rPr>
                <w:color w:val="000000" w:themeColor="text1"/>
                <w14:textFill>
                  <w14:solidFill>
                    <w14:schemeClr w14:val="tx1"/>
                  </w14:solidFill>
                </w14:textFill>
              </w:rPr>
            </w:pPr>
            <w:r>
              <w:rPr>
                <w:color w:val="000000" w:themeColor="text1"/>
                <w14:textFill>
                  <w14:solidFill>
                    <w14:schemeClr w14:val="tx1"/>
                  </w14:solidFill>
                </w14:textFill>
              </w:rPr>
              <w:t>防治对策</w:t>
            </w:r>
          </w:p>
        </w:tc>
        <w:tc>
          <w:tcPr>
            <w:tcW w:w="596" w:type="pct"/>
            <w:tcBorders>
              <w:top w:val="single" w:color="auto" w:sz="12" w:space="0"/>
              <w:right w:val="nil"/>
            </w:tcBorders>
            <w:shd w:val="clear" w:color="auto" w:fill="auto"/>
            <w:vAlign w:val="center"/>
          </w:tcPr>
          <w:p w14:paraId="4856DF48">
            <w:pPr>
              <w:pStyle w:val="105"/>
              <w:rPr>
                <w:color w:val="000000" w:themeColor="text1"/>
                <w14:textFill>
                  <w14:solidFill>
                    <w14:schemeClr w14:val="tx1"/>
                  </w14:solidFill>
                </w14:textFill>
              </w:rPr>
            </w:pPr>
            <w:r>
              <w:rPr>
                <w:color w:val="000000" w:themeColor="text1"/>
                <w14:textFill>
                  <w14:solidFill>
                    <w14:schemeClr w14:val="tx1"/>
                  </w14:solidFill>
                </w14:textFill>
              </w:rPr>
              <w:t>验收要求</w:t>
            </w:r>
          </w:p>
        </w:tc>
      </w:tr>
      <w:tr w14:paraId="41832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restart"/>
            <w:shd w:val="clear" w:color="auto" w:fill="auto"/>
            <w:vAlign w:val="center"/>
          </w:tcPr>
          <w:p w14:paraId="626EA2B3">
            <w:pPr>
              <w:pStyle w:val="105"/>
              <w:rPr>
                <w:color w:val="000000" w:themeColor="text1"/>
                <w14:textFill>
                  <w14:solidFill>
                    <w14:schemeClr w14:val="tx1"/>
                  </w14:solidFill>
                </w14:textFill>
              </w:rPr>
            </w:pPr>
            <w:r>
              <w:rPr>
                <w:color w:val="000000" w:themeColor="text1"/>
                <w14:textFill>
                  <w14:solidFill>
                    <w14:schemeClr w14:val="tx1"/>
                  </w14:solidFill>
                </w14:textFill>
              </w:rPr>
              <w:t>1</w:t>
            </w:r>
          </w:p>
        </w:tc>
        <w:tc>
          <w:tcPr>
            <w:tcW w:w="197" w:type="pct"/>
            <w:vMerge w:val="restart"/>
            <w:shd w:val="clear" w:color="auto" w:fill="auto"/>
            <w:vAlign w:val="center"/>
          </w:tcPr>
          <w:p w14:paraId="59D79263">
            <w:pPr>
              <w:pStyle w:val="105"/>
              <w:rPr>
                <w:color w:val="000000" w:themeColor="text1"/>
                <w14:textFill>
                  <w14:solidFill>
                    <w14:schemeClr w14:val="tx1"/>
                  </w14:solidFill>
                </w14:textFill>
              </w:rPr>
            </w:pPr>
            <w:r>
              <w:rPr>
                <w:color w:val="000000" w:themeColor="text1"/>
                <w14:textFill>
                  <w14:solidFill>
                    <w14:schemeClr w14:val="tx1"/>
                  </w14:solidFill>
                </w14:textFill>
              </w:rPr>
              <w:t>生态</w:t>
            </w:r>
          </w:p>
          <w:p w14:paraId="5C73336C">
            <w:pPr>
              <w:pStyle w:val="105"/>
              <w:rPr>
                <w:color w:val="000000" w:themeColor="text1"/>
                <w14:textFill>
                  <w14:solidFill>
                    <w14:schemeClr w14:val="tx1"/>
                  </w14:solidFill>
                </w14:textFill>
              </w:rPr>
            </w:pPr>
            <w:r>
              <w:rPr>
                <w:color w:val="000000" w:themeColor="text1"/>
                <w14:textFill>
                  <w14:solidFill>
                    <w14:schemeClr w14:val="tx1"/>
                  </w14:solidFill>
                </w14:textFill>
              </w:rPr>
              <w:t>环境</w:t>
            </w:r>
          </w:p>
        </w:tc>
        <w:tc>
          <w:tcPr>
            <w:tcW w:w="314" w:type="pct"/>
            <w:shd w:val="clear" w:color="auto" w:fill="auto"/>
            <w:vAlign w:val="center"/>
          </w:tcPr>
          <w:p w14:paraId="3D4EF69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管理措施</w:t>
            </w:r>
          </w:p>
        </w:tc>
        <w:tc>
          <w:tcPr>
            <w:tcW w:w="3746" w:type="pct"/>
            <w:shd w:val="clear" w:color="auto" w:fill="auto"/>
            <w:vAlign w:val="center"/>
          </w:tcPr>
          <w:p w14:paraId="69692BD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在施工期间，应建立环境管理制度，指导施工落实生态保护的施工措施。严格划定施工作业范围，在施工带内施工。</w:t>
            </w:r>
          </w:p>
        </w:tc>
        <w:tc>
          <w:tcPr>
            <w:tcW w:w="596" w:type="pct"/>
            <w:vMerge w:val="restart"/>
            <w:shd w:val="clear" w:color="auto" w:fill="auto"/>
            <w:vAlign w:val="center"/>
          </w:tcPr>
          <w:p w14:paraId="7729BB1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监督落实情况</w:t>
            </w:r>
          </w:p>
        </w:tc>
      </w:tr>
      <w:tr w14:paraId="5B4267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2A36C99A">
            <w:pPr>
              <w:pStyle w:val="105"/>
              <w:rPr>
                <w:color w:val="000000" w:themeColor="text1"/>
                <w14:textFill>
                  <w14:solidFill>
                    <w14:schemeClr w14:val="tx1"/>
                  </w14:solidFill>
                </w14:textFill>
              </w:rPr>
            </w:pPr>
          </w:p>
        </w:tc>
        <w:tc>
          <w:tcPr>
            <w:tcW w:w="197" w:type="pct"/>
            <w:vMerge w:val="continue"/>
            <w:shd w:val="clear" w:color="auto" w:fill="auto"/>
            <w:vAlign w:val="center"/>
          </w:tcPr>
          <w:p w14:paraId="287DCDE8">
            <w:pPr>
              <w:pStyle w:val="105"/>
              <w:rPr>
                <w:color w:val="000000" w:themeColor="text1"/>
                <w14:textFill>
                  <w14:solidFill>
                    <w14:schemeClr w14:val="tx1"/>
                  </w14:solidFill>
                </w14:textFill>
              </w:rPr>
            </w:pPr>
          </w:p>
        </w:tc>
        <w:tc>
          <w:tcPr>
            <w:tcW w:w="314" w:type="pct"/>
            <w:shd w:val="clear" w:color="auto" w:fill="auto"/>
            <w:vAlign w:val="center"/>
          </w:tcPr>
          <w:p w14:paraId="76F2A409">
            <w:pPr>
              <w:pStyle w:val="105"/>
              <w:rPr>
                <w:color w:val="000000" w:themeColor="text1"/>
                <w14:textFill>
                  <w14:solidFill>
                    <w14:schemeClr w14:val="tx1"/>
                  </w14:solidFill>
                </w14:textFill>
              </w:rPr>
            </w:pPr>
            <w:r>
              <w:rPr>
                <w:color w:val="000000" w:themeColor="text1"/>
                <w14:textFill>
                  <w14:solidFill>
                    <w14:schemeClr w14:val="tx1"/>
                  </w14:solidFill>
                </w14:textFill>
              </w:rPr>
              <w:t>植物保护与恢复措施</w:t>
            </w:r>
          </w:p>
        </w:tc>
        <w:tc>
          <w:tcPr>
            <w:tcW w:w="3746" w:type="pct"/>
            <w:shd w:val="clear" w:color="auto" w:fill="auto"/>
            <w:vAlign w:val="center"/>
          </w:tcPr>
          <w:p w14:paraId="25892AE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①施工前认真核查施工区内有无珍稀保护植物，对工程施工中无法避让的需保护物种，要进行异地移栽保护。</w:t>
            </w:r>
          </w:p>
          <w:p w14:paraId="3F1BE09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②合理安排工程用地，节约土地资源，合理设计、尽量缩小用地规模。</w:t>
            </w:r>
          </w:p>
          <w:p w14:paraId="0AB3654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③合理安排施工时序，减少裸露地块面积，强化裸露地块水土流失防治等。</w:t>
            </w:r>
          </w:p>
          <w:p w14:paraId="672C72A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④</w:t>
            </w:r>
            <w:r>
              <w:rPr>
                <w:color w:val="000000" w:themeColor="text1"/>
                <w14:textFill>
                  <w14:solidFill>
                    <w14:schemeClr w14:val="tx1"/>
                  </w14:solidFill>
                </w14:textFill>
              </w:rPr>
              <w:t>施工结束后按占地类型恢复为原有使用类型，根据项目区植被分布及植被类型，尽量选用当地乡土树种或适生树种作为本工程的生态恢复树种</w:t>
            </w:r>
            <w:r>
              <w:rPr>
                <w:rFonts w:hint="eastAsia"/>
                <w:color w:val="000000" w:themeColor="text1"/>
                <w14:textFill>
                  <w14:solidFill>
                    <w14:schemeClr w14:val="tx1"/>
                  </w14:solidFill>
                </w14:textFill>
              </w:rPr>
              <w:t>。</w:t>
            </w:r>
          </w:p>
        </w:tc>
        <w:tc>
          <w:tcPr>
            <w:tcW w:w="596" w:type="pct"/>
            <w:vMerge w:val="continue"/>
            <w:shd w:val="clear" w:color="auto" w:fill="auto"/>
            <w:vAlign w:val="center"/>
          </w:tcPr>
          <w:p w14:paraId="59B0C471">
            <w:pPr>
              <w:pStyle w:val="105"/>
              <w:rPr>
                <w:color w:val="000000" w:themeColor="text1"/>
                <w14:textFill>
                  <w14:solidFill>
                    <w14:schemeClr w14:val="tx1"/>
                  </w14:solidFill>
                </w14:textFill>
              </w:rPr>
            </w:pPr>
          </w:p>
        </w:tc>
      </w:tr>
      <w:tr w14:paraId="02E2E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73768A6E">
            <w:pPr>
              <w:pStyle w:val="105"/>
              <w:rPr>
                <w:color w:val="000000" w:themeColor="text1"/>
                <w14:textFill>
                  <w14:solidFill>
                    <w14:schemeClr w14:val="tx1"/>
                  </w14:solidFill>
                </w14:textFill>
              </w:rPr>
            </w:pPr>
          </w:p>
        </w:tc>
        <w:tc>
          <w:tcPr>
            <w:tcW w:w="197" w:type="pct"/>
            <w:vMerge w:val="continue"/>
            <w:shd w:val="clear" w:color="auto" w:fill="auto"/>
            <w:vAlign w:val="center"/>
          </w:tcPr>
          <w:p w14:paraId="65D6EE66">
            <w:pPr>
              <w:pStyle w:val="105"/>
              <w:rPr>
                <w:color w:val="000000" w:themeColor="text1"/>
                <w14:textFill>
                  <w14:solidFill>
                    <w14:schemeClr w14:val="tx1"/>
                  </w14:solidFill>
                </w14:textFill>
              </w:rPr>
            </w:pPr>
          </w:p>
        </w:tc>
        <w:tc>
          <w:tcPr>
            <w:tcW w:w="314" w:type="pct"/>
            <w:shd w:val="clear" w:color="auto" w:fill="auto"/>
            <w:vAlign w:val="center"/>
          </w:tcPr>
          <w:p w14:paraId="504DFC50">
            <w:pPr>
              <w:pStyle w:val="105"/>
              <w:rPr>
                <w:color w:val="000000" w:themeColor="text1"/>
                <w14:textFill>
                  <w14:solidFill>
                    <w14:schemeClr w14:val="tx1"/>
                  </w14:solidFill>
                </w14:textFill>
              </w:rPr>
            </w:pPr>
            <w:r>
              <w:rPr>
                <w:color w:val="000000" w:themeColor="text1"/>
                <w14:textFill>
                  <w14:solidFill>
                    <w14:schemeClr w14:val="tx1"/>
                  </w14:solidFill>
                </w14:textFill>
              </w:rPr>
              <w:t>施工临时占地恢复措施</w:t>
            </w:r>
          </w:p>
        </w:tc>
        <w:tc>
          <w:tcPr>
            <w:tcW w:w="3746" w:type="pct"/>
            <w:shd w:val="clear" w:color="auto" w:fill="auto"/>
            <w:vAlign w:val="center"/>
          </w:tcPr>
          <w:p w14:paraId="08390EC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①优化临时占地选址，严禁在生态敏感区范围内设置弃土场、</w:t>
            </w:r>
            <w:bookmarkStart w:id="1034" w:name="hmcheck_6fab08396a4344a990fb9ed6e5ae42bd"/>
            <w:r>
              <w:rPr>
                <w:rFonts w:hint="eastAsia"/>
                <w:color w:val="000000" w:themeColor="text1"/>
                <w:shd w:val="clear" w:fill="FFAFAA"/>
                <w14:textFill>
                  <w14:solidFill>
                    <w14:schemeClr w14:val="tx1"/>
                  </w14:solidFill>
                </w14:textFill>
              </w:rPr>
              <w:t>水稳拌和站</w:t>
            </w:r>
            <w:bookmarkEnd w:id="1034"/>
            <w:r>
              <w:rPr>
                <w:rFonts w:hint="eastAsia"/>
                <w:color w:val="000000" w:themeColor="text1"/>
                <w14:textFill>
                  <w14:solidFill>
                    <w14:schemeClr w14:val="tx1"/>
                  </w14:solidFill>
                </w14:textFill>
              </w:rPr>
              <w:t>、施工场地等临时工程；</w:t>
            </w:r>
          </w:p>
          <w:p w14:paraId="1B3F13E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②应严格控制各类临时工程施工边界，严禁随意压占、扰动和破坏地表；</w:t>
            </w:r>
          </w:p>
          <w:p w14:paraId="5B01BE4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③临时占地表土保护，临时占地应对</w:t>
            </w:r>
            <w:r>
              <w:rPr>
                <w:color w:val="000000" w:themeColor="text1"/>
                <w14:textFill>
                  <w14:solidFill>
                    <w14:schemeClr w14:val="tx1"/>
                  </w14:solidFill>
                </w14:textFill>
              </w:rPr>
              <w:t>表层熟土剥离，</w:t>
            </w:r>
            <w:r>
              <w:rPr>
                <w:rFonts w:hint="eastAsia"/>
                <w:color w:val="000000" w:themeColor="text1"/>
                <w14:textFill>
                  <w14:solidFill>
                    <w14:schemeClr w14:val="tx1"/>
                  </w14:solidFill>
                </w14:textFill>
              </w:rPr>
              <w:t>临时堆存</w:t>
            </w:r>
            <w:r>
              <w:rPr>
                <w:color w:val="000000" w:themeColor="text1"/>
                <w14:textFill>
                  <w14:solidFill>
                    <w14:schemeClr w14:val="tx1"/>
                  </w14:solidFill>
                </w14:textFill>
              </w:rPr>
              <w:t>，并采取临时拦挡和覆盖措施</w:t>
            </w:r>
            <w:r>
              <w:rPr>
                <w:rFonts w:hint="eastAsia"/>
                <w:color w:val="000000" w:themeColor="text1"/>
                <w14:textFill>
                  <w14:solidFill>
                    <w14:schemeClr w14:val="tx1"/>
                  </w14:solidFill>
                </w14:textFill>
              </w:rPr>
              <w:t>；</w:t>
            </w:r>
          </w:p>
          <w:p w14:paraId="2723F3C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④施工完毕后，必须对临时占地采取土地整治、生态恢复和复垦工程措施；</w:t>
            </w:r>
            <w:r>
              <w:rPr>
                <w:color w:val="000000" w:themeColor="text1"/>
                <w14:textFill>
                  <w14:solidFill>
                    <w14:schemeClr w14:val="tx1"/>
                  </w14:solidFill>
                </w14:textFill>
              </w:rPr>
              <w:t>表层熟土剥离，</w:t>
            </w:r>
            <w:r>
              <w:rPr>
                <w:rFonts w:hint="eastAsia"/>
                <w:color w:val="000000" w:themeColor="text1"/>
                <w14:textFill>
                  <w14:solidFill>
                    <w14:schemeClr w14:val="tx1"/>
                  </w14:solidFill>
                </w14:textFill>
              </w:rPr>
              <w:t>临时堆存</w:t>
            </w:r>
            <w:r>
              <w:rPr>
                <w:color w:val="000000" w:themeColor="text1"/>
                <w14:textFill>
                  <w14:solidFill>
                    <w14:schemeClr w14:val="tx1"/>
                  </w14:solidFill>
                </w14:textFill>
              </w:rPr>
              <w:t>，并采取临时拦挡和覆盖措施。</w:t>
            </w:r>
          </w:p>
        </w:tc>
        <w:tc>
          <w:tcPr>
            <w:tcW w:w="596" w:type="pct"/>
            <w:vMerge w:val="continue"/>
            <w:shd w:val="clear" w:color="auto" w:fill="auto"/>
            <w:vAlign w:val="center"/>
          </w:tcPr>
          <w:p w14:paraId="12265FCB">
            <w:pPr>
              <w:pStyle w:val="105"/>
              <w:rPr>
                <w:color w:val="000000" w:themeColor="text1"/>
                <w14:textFill>
                  <w14:solidFill>
                    <w14:schemeClr w14:val="tx1"/>
                  </w14:solidFill>
                </w14:textFill>
              </w:rPr>
            </w:pPr>
          </w:p>
        </w:tc>
      </w:tr>
      <w:tr w14:paraId="4B2E79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3F7B1F49">
            <w:pPr>
              <w:pStyle w:val="105"/>
              <w:rPr>
                <w:color w:val="000000" w:themeColor="text1"/>
                <w14:textFill>
                  <w14:solidFill>
                    <w14:schemeClr w14:val="tx1"/>
                  </w14:solidFill>
                </w14:textFill>
              </w:rPr>
            </w:pPr>
          </w:p>
        </w:tc>
        <w:tc>
          <w:tcPr>
            <w:tcW w:w="197" w:type="pct"/>
            <w:vMerge w:val="continue"/>
            <w:shd w:val="clear" w:color="auto" w:fill="auto"/>
            <w:vAlign w:val="center"/>
          </w:tcPr>
          <w:p w14:paraId="1B2D7545">
            <w:pPr>
              <w:pStyle w:val="105"/>
              <w:rPr>
                <w:color w:val="000000" w:themeColor="text1"/>
                <w14:textFill>
                  <w14:solidFill>
                    <w14:schemeClr w14:val="tx1"/>
                  </w14:solidFill>
                </w14:textFill>
              </w:rPr>
            </w:pPr>
          </w:p>
        </w:tc>
        <w:tc>
          <w:tcPr>
            <w:tcW w:w="314" w:type="pct"/>
            <w:shd w:val="clear" w:color="auto" w:fill="auto"/>
            <w:vAlign w:val="center"/>
          </w:tcPr>
          <w:p w14:paraId="70081F4F">
            <w:pPr>
              <w:pStyle w:val="105"/>
              <w:rPr>
                <w:color w:val="000000" w:themeColor="text1"/>
                <w14:textFill>
                  <w14:solidFill>
                    <w14:schemeClr w14:val="tx1"/>
                  </w14:solidFill>
                </w14:textFill>
              </w:rPr>
            </w:pPr>
            <w:r>
              <w:rPr>
                <w:color w:val="000000" w:themeColor="text1"/>
                <w14:textFill>
                  <w14:solidFill>
                    <w14:schemeClr w14:val="tx1"/>
                  </w14:solidFill>
                </w14:textFill>
              </w:rPr>
              <w:t>野生动物保护措施</w:t>
            </w:r>
          </w:p>
        </w:tc>
        <w:tc>
          <w:tcPr>
            <w:tcW w:w="3746" w:type="pct"/>
            <w:shd w:val="clear" w:color="auto" w:fill="auto"/>
            <w:vAlign w:val="center"/>
          </w:tcPr>
          <w:p w14:paraId="78D0667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①管理措施：</w:t>
            </w:r>
            <w:r>
              <w:rPr>
                <w:color w:val="000000" w:themeColor="text1"/>
                <w14:textFill>
                  <w14:solidFill>
                    <w14:schemeClr w14:val="tx1"/>
                  </w14:solidFill>
                </w14:textFill>
              </w:rPr>
              <w:t>加强施工人员的管理，禁止施工人员对野生动物滥捕滥杀。</w:t>
            </w:r>
          </w:p>
          <w:p w14:paraId="0689680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②避免措施：合理安排施工时间，避开野生动物活动的高峰时段；严格限制施工范围，不得随意扩大工程占地范围。</w:t>
            </w:r>
          </w:p>
          <w:p w14:paraId="1E45E8F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③削减措施：施工期间应进行避让或保护性驱赶，禁止捕猎；在林地较密集路段（K</w:t>
            </w:r>
            <w:r>
              <w:rPr>
                <w:color w:val="000000" w:themeColor="text1"/>
                <w14:textFill>
                  <w14:solidFill>
                    <w14:schemeClr w14:val="tx1"/>
                  </w14:solidFill>
                </w14:textFill>
              </w:rPr>
              <w:t>0+150~440</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4+</w:t>
            </w:r>
            <w:bookmarkStart w:id="1035" w:name="hmcheck_be1f2b95952c4a429dd35fe40de270d1"/>
            <w:r>
              <w:rPr>
                <w:color w:val="000000" w:themeColor="text1"/>
                <w:shd w:val="clear" w:fill="FFAFAA"/>
                <w14:textFill>
                  <w14:solidFill>
                    <w14:schemeClr w14:val="tx1"/>
                  </w14:solidFill>
                </w14:textFill>
              </w:rPr>
              <w:t>000~</w:t>
            </w:r>
            <w:bookmarkEnd w:id="1035"/>
            <w:r>
              <w:rPr>
                <w:color w:val="000000" w:themeColor="text1"/>
                <w14:textFill>
                  <w14:solidFill>
                    <w14:schemeClr w14:val="tx1"/>
                  </w14:solidFill>
                </w14:textFill>
              </w:rPr>
              <w:t>140</w:t>
            </w:r>
            <w:r>
              <w:rPr>
                <w:rFonts w:hint="eastAsia"/>
                <w:color w:val="000000" w:themeColor="text1"/>
                <w14:textFill>
                  <w14:solidFill>
                    <w14:schemeClr w14:val="tx1"/>
                  </w14:solidFill>
                </w14:textFill>
              </w:rPr>
              <w:t>、K</w:t>
            </w:r>
            <w:r>
              <w:rPr>
                <w:color w:val="000000" w:themeColor="text1"/>
                <w14:textFill>
                  <w14:solidFill>
                    <w14:schemeClr w14:val="tx1"/>
                  </w14:solidFill>
                </w14:textFill>
              </w:rPr>
              <w:t>4+780~K5+110</w:t>
            </w:r>
            <w:r>
              <w:rPr>
                <w:rFonts w:hint="eastAsia"/>
                <w:color w:val="000000" w:themeColor="text1"/>
                <w14:textFill>
                  <w14:solidFill>
                    <w14:schemeClr w14:val="tx1"/>
                  </w14:solidFill>
                </w14:textFill>
              </w:rPr>
              <w:t>）施工应优化施工方案，缩短工期，缩短作业时间；严格落实施工期环保措施和水土保持措施，保护野生动物生境；加强野生动物监测措施。</w:t>
            </w:r>
          </w:p>
          <w:p w14:paraId="7A2448D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④恢复与补偿措施：恢复原有的野生动物通道和生境。</w:t>
            </w:r>
          </w:p>
        </w:tc>
        <w:tc>
          <w:tcPr>
            <w:tcW w:w="596" w:type="pct"/>
            <w:vMerge w:val="continue"/>
            <w:shd w:val="clear" w:color="auto" w:fill="auto"/>
            <w:vAlign w:val="center"/>
          </w:tcPr>
          <w:p w14:paraId="55A77676">
            <w:pPr>
              <w:pStyle w:val="105"/>
              <w:rPr>
                <w:color w:val="000000" w:themeColor="text1"/>
                <w14:textFill>
                  <w14:solidFill>
                    <w14:schemeClr w14:val="tx1"/>
                  </w14:solidFill>
                </w14:textFill>
              </w:rPr>
            </w:pPr>
          </w:p>
        </w:tc>
      </w:tr>
      <w:tr w14:paraId="34CF8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3616F3E8">
            <w:pPr>
              <w:pStyle w:val="105"/>
              <w:rPr>
                <w:color w:val="000000" w:themeColor="text1"/>
                <w14:textFill>
                  <w14:solidFill>
                    <w14:schemeClr w14:val="tx1"/>
                  </w14:solidFill>
                </w14:textFill>
              </w:rPr>
            </w:pPr>
          </w:p>
        </w:tc>
        <w:tc>
          <w:tcPr>
            <w:tcW w:w="197" w:type="pct"/>
            <w:vMerge w:val="continue"/>
            <w:shd w:val="clear" w:color="auto" w:fill="auto"/>
            <w:vAlign w:val="center"/>
          </w:tcPr>
          <w:p w14:paraId="06E1A11A">
            <w:pPr>
              <w:pStyle w:val="105"/>
              <w:rPr>
                <w:color w:val="000000" w:themeColor="text1"/>
                <w14:textFill>
                  <w14:solidFill>
                    <w14:schemeClr w14:val="tx1"/>
                  </w14:solidFill>
                </w14:textFill>
              </w:rPr>
            </w:pPr>
          </w:p>
        </w:tc>
        <w:tc>
          <w:tcPr>
            <w:tcW w:w="314" w:type="pct"/>
            <w:shd w:val="clear" w:color="auto" w:fill="auto"/>
            <w:vAlign w:val="center"/>
          </w:tcPr>
          <w:p w14:paraId="2AD1CA4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水生生态保护措施</w:t>
            </w:r>
          </w:p>
        </w:tc>
        <w:tc>
          <w:tcPr>
            <w:tcW w:w="3746" w:type="pct"/>
            <w:shd w:val="clear" w:color="auto" w:fill="auto"/>
            <w:vAlign w:val="center"/>
          </w:tcPr>
          <w:p w14:paraId="2EE7988C">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桥梁桩基施工时做好钻渣泥浆的处理；②开挖涉水路段应选择枯水期进行施工、避开雨季；③桥梁桩基、改河、涉水涵洞施工过程中，要求设置施工围堰、导流，尽量减小对水体的扰动，施工结束后对河道进行清淤，清除围堰等临时建筑，保证水流畅通；④做好施工管理，严禁土石方等任意丢弃于河流、沟渠中。</w:t>
            </w:r>
          </w:p>
        </w:tc>
        <w:tc>
          <w:tcPr>
            <w:tcW w:w="596" w:type="pct"/>
            <w:vMerge w:val="continue"/>
            <w:shd w:val="clear" w:color="auto" w:fill="auto"/>
            <w:vAlign w:val="center"/>
          </w:tcPr>
          <w:p w14:paraId="4D901350">
            <w:pPr>
              <w:pStyle w:val="105"/>
              <w:rPr>
                <w:color w:val="000000" w:themeColor="text1"/>
                <w14:textFill>
                  <w14:solidFill>
                    <w14:schemeClr w14:val="tx1"/>
                  </w14:solidFill>
                </w14:textFill>
              </w:rPr>
            </w:pPr>
          </w:p>
        </w:tc>
      </w:tr>
      <w:tr w14:paraId="60349C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075A1E24">
            <w:pPr>
              <w:pStyle w:val="105"/>
              <w:rPr>
                <w:color w:val="000000" w:themeColor="text1"/>
                <w14:textFill>
                  <w14:solidFill>
                    <w14:schemeClr w14:val="tx1"/>
                  </w14:solidFill>
                </w14:textFill>
              </w:rPr>
            </w:pPr>
          </w:p>
        </w:tc>
        <w:tc>
          <w:tcPr>
            <w:tcW w:w="197" w:type="pct"/>
            <w:vMerge w:val="continue"/>
            <w:shd w:val="clear" w:color="auto" w:fill="auto"/>
            <w:vAlign w:val="center"/>
          </w:tcPr>
          <w:p w14:paraId="021AF026">
            <w:pPr>
              <w:pStyle w:val="105"/>
              <w:rPr>
                <w:color w:val="000000" w:themeColor="text1"/>
                <w14:textFill>
                  <w14:solidFill>
                    <w14:schemeClr w14:val="tx1"/>
                  </w14:solidFill>
                </w14:textFill>
              </w:rPr>
            </w:pPr>
          </w:p>
        </w:tc>
        <w:tc>
          <w:tcPr>
            <w:tcW w:w="314" w:type="pct"/>
            <w:shd w:val="clear" w:color="auto" w:fill="auto"/>
            <w:vAlign w:val="center"/>
          </w:tcPr>
          <w:p w14:paraId="64E867F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生态公益林保护措施</w:t>
            </w:r>
          </w:p>
        </w:tc>
        <w:tc>
          <w:tcPr>
            <w:tcW w:w="3746" w:type="pct"/>
            <w:shd w:val="clear" w:color="auto" w:fill="auto"/>
            <w:vAlign w:val="center"/>
          </w:tcPr>
          <w:p w14:paraId="461D147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优化选址选线，尽量减少占用生态公益林；②严格控制施工边界，严禁超范围占用生态公益林；③严格控制在公益林区范围内设置临时占地；④按照规定办理相关林地审核、林木采伐审批手续及按照相关规定进行补偿。</w:t>
            </w:r>
          </w:p>
        </w:tc>
        <w:tc>
          <w:tcPr>
            <w:tcW w:w="596" w:type="pct"/>
            <w:vMerge w:val="continue"/>
            <w:shd w:val="clear" w:color="auto" w:fill="auto"/>
            <w:vAlign w:val="center"/>
          </w:tcPr>
          <w:p w14:paraId="6187BD86">
            <w:pPr>
              <w:pStyle w:val="105"/>
              <w:rPr>
                <w:color w:val="000000" w:themeColor="text1"/>
                <w14:textFill>
                  <w14:solidFill>
                    <w14:schemeClr w14:val="tx1"/>
                  </w14:solidFill>
                </w14:textFill>
              </w:rPr>
            </w:pPr>
          </w:p>
        </w:tc>
      </w:tr>
      <w:tr w14:paraId="7FC63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14D4D887">
            <w:pPr>
              <w:pStyle w:val="105"/>
              <w:rPr>
                <w:color w:val="000000" w:themeColor="text1"/>
                <w14:textFill>
                  <w14:solidFill>
                    <w14:schemeClr w14:val="tx1"/>
                  </w14:solidFill>
                </w14:textFill>
              </w:rPr>
            </w:pPr>
          </w:p>
        </w:tc>
        <w:tc>
          <w:tcPr>
            <w:tcW w:w="197" w:type="pct"/>
            <w:vMerge w:val="continue"/>
            <w:shd w:val="clear" w:color="auto" w:fill="auto"/>
            <w:vAlign w:val="center"/>
          </w:tcPr>
          <w:p w14:paraId="065F5B61">
            <w:pPr>
              <w:pStyle w:val="105"/>
              <w:rPr>
                <w:color w:val="000000" w:themeColor="text1"/>
                <w14:textFill>
                  <w14:solidFill>
                    <w14:schemeClr w14:val="tx1"/>
                  </w14:solidFill>
                </w14:textFill>
              </w:rPr>
            </w:pPr>
          </w:p>
        </w:tc>
        <w:tc>
          <w:tcPr>
            <w:tcW w:w="314" w:type="pct"/>
            <w:shd w:val="clear" w:color="auto" w:fill="auto"/>
            <w:vAlign w:val="center"/>
          </w:tcPr>
          <w:p w14:paraId="17ABFFE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一般湿地保护措施</w:t>
            </w:r>
          </w:p>
        </w:tc>
        <w:tc>
          <w:tcPr>
            <w:tcW w:w="3746" w:type="pct"/>
            <w:shd w:val="clear" w:color="auto" w:fill="auto"/>
            <w:vAlign w:val="center"/>
          </w:tcPr>
          <w:p w14:paraId="47666E6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工程开工前需明确</w:t>
            </w:r>
            <w:r>
              <w:rPr>
                <w:rFonts w:hint="eastAsia"/>
                <w:color w:val="000000" w:themeColor="text1"/>
                <w14:textFill>
                  <w14:solidFill>
                    <w14:schemeClr w14:val="tx1"/>
                  </w14:solidFill>
                </w14:textFill>
              </w:rPr>
              <w:t>一般湿地</w:t>
            </w:r>
            <w:r>
              <w:rPr>
                <w:color w:val="000000" w:themeColor="text1"/>
                <w14:textFill>
                  <w14:solidFill>
                    <w14:schemeClr w14:val="tx1"/>
                  </w14:solidFill>
                </w14:textFill>
              </w:rPr>
              <w:t>的占用范围，须按有关规定办理用地审批手续</w:t>
            </w:r>
            <w:r>
              <w:rPr>
                <w:rFonts w:hint="eastAsia"/>
                <w:color w:val="000000" w:themeColor="text1"/>
                <w14:textFill>
                  <w14:solidFill>
                    <w14:schemeClr w14:val="tx1"/>
                  </w14:solidFill>
                </w14:textFill>
              </w:rPr>
              <w:t>。</w:t>
            </w:r>
          </w:p>
          <w:p w14:paraId="4B2A427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②施工场地、临时表土堆场等临时用地严禁设置在一般湿地范围内；</w:t>
            </w:r>
          </w:p>
          <w:p w14:paraId="3FB5D2D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③高噪声的施工活动尽量不要安排在冬季（10  月～3  月），在冬季施工时要注意对冬候鸟的保护；</w:t>
            </w:r>
          </w:p>
          <w:p w14:paraId="2EAF758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④施工废水分质处理后，尽量回用于工地洒水、绿化等，严禁施工废水排污迳江河道；</w:t>
            </w:r>
          </w:p>
          <w:p w14:paraId="3FEDE3E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⑤桥梁桩基、改河、涉水涵洞等施工尽量选在枯水期进行，施工过程中要求设置施工围堰。</w:t>
            </w:r>
          </w:p>
        </w:tc>
        <w:tc>
          <w:tcPr>
            <w:tcW w:w="596" w:type="pct"/>
            <w:vMerge w:val="continue"/>
            <w:shd w:val="clear" w:color="auto" w:fill="auto"/>
            <w:vAlign w:val="center"/>
          </w:tcPr>
          <w:p w14:paraId="4BDDDF5C">
            <w:pPr>
              <w:pStyle w:val="105"/>
              <w:rPr>
                <w:color w:val="000000" w:themeColor="text1"/>
                <w14:textFill>
                  <w14:solidFill>
                    <w14:schemeClr w14:val="tx1"/>
                  </w14:solidFill>
                </w14:textFill>
              </w:rPr>
            </w:pPr>
          </w:p>
        </w:tc>
      </w:tr>
      <w:tr w14:paraId="333FFA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3985F154">
            <w:pPr>
              <w:pStyle w:val="105"/>
              <w:rPr>
                <w:color w:val="000000" w:themeColor="text1"/>
                <w14:textFill>
                  <w14:solidFill>
                    <w14:schemeClr w14:val="tx1"/>
                  </w14:solidFill>
                </w14:textFill>
              </w:rPr>
            </w:pPr>
          </w:p>
        </w:tc>
        <w:tc>
          <w:tcPr>
            <w:tcW w:w="197" w:type="pct"/>
            <w:vMerge w:val="continue"/>
            <w:shd w:val="clear" w:color="auto" w:fill="auto"/>
            <w:vAlign w:val="center"/>
          </w:tcPr>
          <w:p w14:paraId="00150225">
            <w:pPr>
              <w:pStyle w:val="105"/>
              <w:rPr>
                <w:color w:val="000000" w:themeColor="text1"/>
                <w14:textFill>
                  <w14:solidFill>
                    <w14:schemeClr w14:val="tx1"/>
                  </w14:solidFill>
                </w14:textFill>
              </w:rPr>
            </w:pPr>
          </w:p>
        </w:tc>
        <w:tc>
          <w:tcPr>
            <w:tcW w:w="314" w:type="pct"/>
            <w:shd w:val="clear" w:color="auto" w:fill="auto"/>
            <w:vAlign w:val="center"/>
          </w:tcPr>
          <w:p w14:paraId="4C247F77">
            <w:pPr>
              <w:pStyle w:val="105"/>
              <w:rPr>
                <w:color w:val="000000" w:themeColor="text1"/>
                <w14:textFill>
                  <w14:solidFill>
                    <w14:schemeClr w14:val="tx1"/>
                  </w14:solidFill>
                </w14:textFill>
              </w:rPr>
            </w:pPr>
            <w:r>
              <w:rPr>
                <w:color w:val="000000" w:themeColor="text1"/>
                <w14:textFill>
                  <w14:solidFill>
                    <w14:schemeClr w14:val="tx1"/>
                  </w14:solidFill>
                </w14:textFill>
              </w:rPr>
              <w:t>水土保持措施</w:t>
            </w:r>
          </w:p>
        </w:tc>
        <w:tc>
          <w:tcPr>
            <w:tcW w:w="3746" w:type="pct"/>
            <w:shd w:val="clear" w:color="auto" w:fill="auto"/>
            <w:vAlign w:val="center"/>
          </w:tcPr>
          <w:p w14:paraId="3164CABC">
            <w:pPr>
              <w:pStyle w:val="105"/>
              <w:rPr>
                <w:color w:val="000000" w:themeColor="text1"/>
                <w14:textFill>
                  <w14:solidFill>
                    <w14:schemeClr w14:val="tx1"/>
                  </w14:solidFill>
                </w14:textFill>
              </w:rPr>
            </w:pPr>
            <w:r>
              <w:rPr>
                <w:color w:val="000000" w:themeColor="text1"/>
                <w14:textFill>
                  <w14:solidFill>
                    <w14:schemeClr w14:val="tx1"/>
                  </w14:solidFill>
                </w14:textFill>
              </w:rPr>
              <w:t>按报批水保报告书要求进行水土流失防治</w:t>
            </w:r>
          </w:p>
        </w:tc>
        <w:tc>
          <w:tcPr>
            <w:tcW w:w="596" w:type="pct"/>
            <w:vMerge w:val="continue"/>
            <w:shd w:val="clear" w:color="auto" w:fill="auto"/>
            <w:vAlign w:val="center"/>
          </w:tcPr>
          <w:p w14:paraId="42449431">
            <w:pPr>
              <w:pStyle w:val="105"/>
              <w:rPr>
                <w:color w:val="000000" w:themeColor="text1"/>
                <w14:textFill>
                  <w14:solidFill>
                    <w14:schemeClr w14:val="tx1"/>
                  </w14:solidFill>
                </w14:textFill>
              </w:rPr>
            </w:pPr>
          </w:p>
        </w:tc>
      </w:tr>
      <w:tr w14:paraId="2C08C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restart"/>
            <w:shd w:val="clear" w:color="auto" w:fill="auto"/>
            <w:vAlign w:val="center"/>
          </w:tcPr>
          <w:p w14:paraId="7B210EB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197" w:type="pct"/>
            <w:vMerge w:val="restart"/>
            <w:shd w:val="clear" w:color="auto" w:fill="auto"/>
            <w:vAlign w:val="center"/>
          </w:tcPr>
          <w:p w14:paraId="0D2E137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水环境</w:t>
            </w:r>
          </w:p>
        </w:tc>
        <w:tc>
          <w:tcPr>
            <w:tcW w:w="314" w:type="pct"/>
            <w:shd w:val="clear" w:color="auto" w:fill="auto"/>
            <w:vAlign w:val="center"/>
          </w:tcPr>
          <w:p w14:paraId="4A2833D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施工生活生产废水</w:t>
            </w:r>
          </w:p>
        </w:tc>
        <w:tc>
          <w:tcPr>
            <w:tcW w:w="3746" w:type="pct"/>
            <w:shd w:val="clear" w:color="auto" w:fill="auto"/>
            <w:vAlign w:val="center"/>
          </w:tcPr>
          <w:p w14:paraId="63B6D3A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①含泥沙废水：由沉淀池收集，经酸碱中和沉淀、隔油除渣等处理后回用于施工过程、运输车辆冲洗和场地洒水抑尘等，不排放。</w:t>
            </w:r>
          </w:p>
          <w:p w14:paraId="6AF27C8E">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②含油废水：施工场地应设置隔油池，少量含油废水经隔油池收集处理，经处理后回用于施工场地洒水抑尘等。③施工场地出入口设置洗车平台；地面必须硬化，设防雨棚和排水系统。</w:t>
            </w:r>
          </w:p>
          <w:p w14:paraId="2588FEB9">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④施工场地不设集中居住区，施工人员就近租用当地的民房，依托当地居民排水系统处理。值班房和临时办公区涉及的少量生活污水，通过设置临时化粪池进行收集，委托当地村民清运用于肥田，不外排。</w:t>
            </w:r>
          </w:p>
        </w:tc>
        <w:tc>
          <w:tcPr>
            <w:tcW w:w="596" w:type="pct"/>
            <w:shd w:val="clear" w:color="auto" w:fill="auto"/>
            <w:vAlign w:val="center"/>
          </w:tcPr>
          <w:p w14:paraId="6B5F09B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监督落实情况</w:t>
            </w:r>
          </w:p>
        </w:tc>
      </w:tr>
      <w:tr w14:paraId="50F8CC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667A931F">
            <w:pPr>
              <w:pStyle w:val="105"/>
              <w:rPr>
                <w:color w:val="000000" w:themeColor="text1"/>
                <w14:textFill>
                  <w14:solidFill>
                    <w14:schemeClr w14:val="tx1"/>
                  </w14:solidFill>
                </w14:textFill>
              </w:rPr>
            </w:pPr>
          </w:p>
        </w:tc>
        <w:tc>
          <w:tcPr>
            <w:tcW w:w="197" w:type="pct"/>
            <w:vMerge w:val="continue"/>
            <w:shd w:val="clear" w:color="auto" w:fill="auto"/>
            <w:vAlign w:val="center"/>
          </w:tcPr>
          <w:p w14:paraId="68D3E19D">
            <w:pPr>
              <w:pStyle w:val="105"/>
              <w:rPr>
                <w:color w:val="000000" w:themeColor="text1"/>
                <w14:textFill>
                  <w14:solidFill>
                    <w14:schemeClr w14:val="tx1"/>
                  </w14:solidFill>
                </w14:textFill>
              </w:rPr>
            </w:pPr>
          </w:p>
        </w:tc>
        <w:tc>
          <w:tcPr>
            <w:tcW w:w="314" w:type="pct"/>
            <w:shd w:val="clear" w:color="auto" w:fill="auto"/>
            <w:vAlign w:val="center"/>
          </w:tcPr>
          <w:p w14:paraId="0FBE1706">
            <w:pPr>
              <w:pStyle w:val="105"/>
              <w:rPr>
                <w:color w:val="000000" w:themeColor="text1"/>
                <w14:textFill>
                  <w14:solidFill>
                    <w14:schemeClr w14:val="tx1"/>
                  </w14:solidFill>
                </w14:textFill>
              </w:rPr>
            </w:pPr>
            <w:r>
              <w:rPr>
                <w:rFonts w:hint="eastAsia"/>
                <w:b/>
                <w:bCs/>
                <w:color w:val="000000" w:themeColor="text1"/>
                <w14:textFill>
                  <w14:solidFill>
                    <w14:schemeClr w14:val="tx1"/>
                  </w14:solidFill>
                </w14:textFill>
              </w:rPr>
              <w:t>桥梁、改河等涉水工程</w:t>
            </w:r>
          </w:p>
        </w:tc>
        <w:tc>
          <w:tcPr>
            <w:tcW w:w="3746" w:type="pct"/>
            <w:shd w:val="clear" w:color="auto" w:fill="auto"/>
            <w:vAlign w:val="center"/>
          </w:tcPr>
          <w:p w14:paraId="28A0896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①涉水工程基础施工尽量安排在枯水期施工，避免在丰水期施工。</w:t>
            </w:r>
          </w:p>
          <w:p w14:paraId="0874A4B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②施工材料的堆放场地应设围挡措施，并</w:t>
            </w:r>
            <w:bookmarkStart w:id="1036" w:name="hmcheck_e3cd4efcacf34f32bcc10f1570015f23"/>
            <w:r>
              <w:rPr>
                <w:rFonts w:hint="eastAsia"/>
                <w:color w:val="000000" w:themeColor="text1"/>
                <w:shd w:val="clear" w:fill="FFAFAA"/>
                <w14:textFill>
                  <w14:solidFill>
                    <w14:schemeClr w14:val="tx1"/>
                  </w14:solidFill>
                </w14:textFill>
              </w:rPr>
              <w:t>加篷</w:t>
            </w:r>
            <w:bookmarkEnd w:id="1036"/>
            <w:r>
              <w:rPr>
                <w:rFonts w:hint="eastAsia"/>
                <w:color w:val="000000" w:themeColor="text1"/>
                <w14:textFill>
                  <w14:solidFill>
                    <w14:schemeClr w14:val="tx1"/>
                  </w14:solidFill>
                </w14:textFill>
              </w:rPr>
              <w:t>布覆盖；剩余土石方及时转运，严禁弃入河道或河滩，淤塞河道。</w:t>
            </w:r>
          </w:p>
          <w:p w14:paraId="7AC49F3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钻孔灌注桩基础施工中泥浆泵至岸边的沉淀池和泥浆池内，部分泥浆回用，无法回用的泥浆经沉淀后上清液回用于绿化或路面洒水，施工结束后钻渣和泥浆与其他弃方一并转运。④桥梁、改河、涉水涵洞等涉水工程基础施工过程中须采取围堰措施；⑤施工废水不得排入河流。⑥施工结束后，应尽量使施工段河道恢复原貌。</w:t>
            </w:r>
          </w:p>
        </w:tc>
        <w:tc>
          <w:tcPr>
            <w:tcW w:w="596" w:type="pct"/>
            <w:shd w:val="clear" w:color="auto" w:fill="auto"/>
            <w:vAlign w:val="center"/>
          </w:tcPr>
          <w:p w14:paraId="05ED965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监督落实情况</w:t>
            </w:r>
          </w:p>
        </w:tc>
      </w:tr>
      <w:tr w14:paraId="2DC4C6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restart"/>
            <w:shd w:val="clear" w:color="auto" w:fill="auto"/>
            <w:vAlign w:val="center"/>
          </w:tcPr>
          <w:p w14:paraId="3EBE66F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197" w:type="pct"/>
            <w:vMerge w:val="restart"/>
            <w:shd w:val="clear" w:color="auto" w:fill="auto"/>
            <w:vAlign w:val="center"/>
          </w:tcPr>
          <w:p w14:paraId="005F278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大气环境</w:t>
            </w:r>
          </w:p>
        </w:tc>
        <w:tc>
          <w:tcPr>
            <w:tcW w:w="314" w:type="pct"/>
            <w:shd w:val="clear" w:color="auto" w:fill="auto"/>
            <w:vAlign w:val="center"/>
          </w:tcPr>
          <w:p w14:paraId="5DEA3A5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土石方施工扬尘</w:t>
            </w:r>
          </w:p>
        </w:tc>
        <w:tc>
          <w:tcPr>
            <w:tcW w:w="3746" w:type="pct"/>
            <w:shd w:val="clear" w:color="auto" w:fill="auto"/>
            <w:vAlign w:val="center"/>
          </w:tcPr>
          <w:p w14:paraId="2EC34B7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①开挖过程洒水抑尘，土方集中堆放，及时回填，采取土方表面压实、定期喷水、覆盖等措施。</w:t>
            </w:r>
          </w:p>
          <w:p w14:paraId="6B482C37">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②开挖和拆迁过程中，需洒水作业使土石方保持一定的湿度；③避免在大风季节施工；④表土堆置应采取覆盖防尘网等降尘措施。</w:t>
            </w:r>
          </w:p>
        </w:tc>
        <w:tc>
          <w:tcPr>
            <w:tcW w:w="596" w:type="pct"/>
            <w:vMerge w:val="restart"/>
            <w:shd w:val="clear" w:color="auto" w:fill="auto"/>
            <w:vAlign w:val="center"/>
          </w:tcPr>
          <w:p w14:paraId="1985F8CC">
            <w:pPr>
              <w:pStyle w:val="105"/>
              <w:rPr>
                <w:color w:val="000000" w:themeColor="text1"/>
                <w14:textFill>
                  <w14:solidFill>
                    <w14:schemeClr w14:val="tx1"/>
                  </w14:solidFill>
                </w14:textFill>
              </w:rPr>
            </w:pPr>
            <w:r>
              <w:rPr>
                <w:color w:val="000000" w:themeColor="text1"/>
                <w14:textFill>
                  <w14:solidFill>
                    <w14:schemeClr w14:val="tx1"/>
                  </w14:solidFill>
                </w14:textFill>
              </w:rPr>
              <w:t>施工扬尘排放执行《大气污染物综合排放标准》（GB16297-1996）</w:t>
            </w:r>
          </w:p>
        </w:tc>
      </w:tr>
      <w:tr w14:paraId="5D83BF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3D777A28">
            <w:pPr>
              <w:pStyle w:val="105"/>
              <w:rPr>
                <w:color w:val="000000" w:themeColor="text1"/>
                <w14:textFill>
                  <w14:solidFill>
                    <w14:schemeClr w14:val="tx1"/>
                  </w14:solidFill>
                </w14:textFill>
              </w:rPr>
            </w:pPr>
          </w:p>
        </w:tc>
        <w:tc>
          <w:tcPr>
            <w:tcW w:w="197" w:type="pct"/>
            <w:vMerge w:val="continue"/>
            <w:shd w:val="clear" w:color="auto" w:fill="auto"/>
            <w:vAlign w:val="center"/>
          </w:tcPr>
          <w:p w14:paraId="672EB765">
            <w:pPr>
              <w:pStyle w:val="105"/>
              <w:rPr>
                <w:color w:val="000000" w:themeColor="text1"/>
                <w14:textFill>
                  <w14:solidFill>
                    <w14:schemeClr w14:val="tx1"/>
                  </w14:solidFill>
                </w14:textFill>
              </w:rPr>
            </w:pPr>
          </w:p>
        </w:tc>
        <w:tc>
          <w:tcPr>
            <w:tcW w:w="314" w:type="pct"/>
            <w:shd w:val="clear" w:color="auto" w:fill="auto"/>
            <w:vAlign w:val="center"/>
          </w:tcPr>
          <w:p w14:paraId="27E7D0E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施工场地扬尘</w:t>
            </w:r>
          </w:p>
        </w:tc>
        <w:tc>
          <w:tcPr>
            <w:tcW w:w="3746" w:type="pct"/>
            <w:shd w:val="clear" w:color="auto" w:fill="auto"/>
            <w:vAlign w:val="center"/>
          </w:tcPr>
          <w:p w14:paraId="1B1095A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①施工场地四周应设置</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m以上围挡；②施工场地地面须硬化；</w:t>
            </w:r>
          </w:p>
          <w:p w14:paraId="1C01FEC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w:t>
            </w:r>
            <w:bookmarkStart w:id="1037" w:name="hmcheck_226845f8cfc2419d99828d4cd594caa7"/>
            <w:r>
              <w:rPr>
                <w:rFonts w:hint="eastAsia"/>
                <w:color w:val="000000" w:themeColor="text1"/>
                <w:shd w:val="clear" w:fill="FFAFAA"/>
                <w14:textFill>
                  <w14:solidFill>
                    <w14:schemeClr w14:val="tx1"/>
                  </w14:solidFill>
                </w14:textFill>
              </w:rPr>
              <w:t>拌合</w:t>
            </w:r>
            <w:bookmarkEnd w:id="1037"/>
            <w:r>
              <w:rPr>
                <w:rFonts w:hint="eastAsia"/>
                <w:color w:val="000000" w:themeColor="text1"/>
                <w14:textFill>
                  <w14:solidFill>
                    <w14:schemeClr w14:val="tx1"/>
                  </w14:solidFill>
                </w14:textFill>
              </w:rPr>
              <w:t>设备应加装仓顶除尘滤袋+布袋除尘二级除尘装置；④水泥、混凝土等散体建筑材料采用仓库、封闭堆场、储藏罐等形式堆放；⑤建筑材料堆场等应定点定位，并采取洒水抑尘、加盖篷布等防扬尘措施；⑥施工场地出入口配备车辆冲洗平台，配套冲洗废水沉淀池等设施。</w:t>
            </w:r>
          </w:p>
        </w:tc>
        <w:tc>
          <w:tcPr>
            <w:tcW w:w="596" w:type="pct"/>
            <w:vMerge w:val="continue"/>
            <w:shd w:val="clear" w:color="auto" w:fill="auto"/>
            <w:vAlign w:val="center"/>
          </w:tcPr>
          <w:p w14:paraId="09870F98">
            <w:pPr>
              <w:pStyle w:val="105"/>
              <w:rPr>
                <w:color w:val="000000" w:themeColor="text1"/>
                <w14:textFill>
                  <w14:solidFill>
                    <w14:schemeClr w14:val="tx1"/>
                  </w14:solidFill>
                </w14:textFill>
              </w:rPr>
            </w:pPr>
          </w:p>
        </w:tc>
      </w:tr>
      <w:tr w14:paraId="72901F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vMerge w:val="continue"/>
            <w:shd w:val="clear" w:color="auto" w:fill="auto"/>
            <w:vAlign w:val="center"/>
          </w:tcPr>
          <w:p w14:paraId="49D2FC82">
            <w:pPr>
              <w:pStyle w:val="105"/>
              <w:rPr>
                <w:color w:val="000000" w:themeColor="text1"/>
                <w14:textFill>
                  <w14:solidFill>
                    <w14:schemeClr w14:val="tx1"/>
                  </w14:solidFill>
                </w14:textFill>
              </w:rPr>
            </w:pPr>
          </w:p>
        </w:tc>
        <w:tc>
          <w:tcPr>
            <w:tcW w:w="197" w:type="pct"/>
            <w:vMerge w:val="continue"/>
            <w:shd w:val="clear" w:color="auto" w:fill="auto"/>
            <w:vAlign w:val="center"/>
          </w:tcPr>
          <w:p w14:paraId="49D9D7D7">
            <w:pPr>
              <w:pStyle w:val="105"/>
              <w:rPr>
                <w:color w:val="000000" w:themeColor="text1"/>
                <w14:textFill>
                  <w14:solidFill>
                    <w14:schemeClr w14:val="tx1"/>
                  </w14:solidFill>
                </w14:textFill>
              </w:rPr>
            </w:pPr>
          </w:p>
        </w:tc>
        <w:tc>
          <w:tcPr>
            <w:tcW w:w="314" w:type="pct"/>
            <w:shd w:val="clear" w:color="auto" w:fill="auto"/>
            <w:vAlign w:val="center"/>
          </w:tcPr>
          <w:p w14:paraId="7D2288C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运输扬尘</w:t>
            </w:r>
          </w:p>
        </w:tc>
        <w:tc>
          <w:tcPr>
            <w:tcW w:w="3746" w:type="pct"/>
            <w:shd w:val="clear" w:color="auto" w:fill="auto"/>
            <w:vAlign w:val="center"/>
          </w:tcPr>
          <w:p w14:paraId="0E39B39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w:t>
            </w:r>
            <w:r>
              <w:rPr>
                <w:color w:val="000000" w:themeColor="text1"/>
                <w14:textFill>
                  <w14:solidFill>
                    <w14:schemeClr w14:val="tx1"/>
                  </w14:solidFill>
                </w14:textFill>
              </w:rPr>
              <w:t>应严格控制车速；运输车辆按规章装卸运行，严禁超载</w:t>
            </w:r>
            <w:r>
              <w:rPr>
                <w:rFonts w:hint="eastAsia"/>
                <w:color w:val="000000" w:themeColor="text1"/>
                <w14:textFill>
                  <w14:solidFill>
                    <w14:schemeClr w14:val="tx1"/>
                  </w14:solidFill>
                </w14:textFill>
              </w:rPr>
              <w:t>；②施工场地出入口配备车辆冲洗设施；</w:t>
            </w:r>
          </w:p>
          <w:p w14:paraId="12FB27C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③运输道路采用洒水和清扫等措施；④</w:t>
            </w:r>
            <w:r>
              <w:rPr>
                <w:color w:val="000000" w:themeColor="text1"/>
                <w14:textFill>
                  <w14:solidFill>
                    <w14:schemeClr w14:val="tx1"/>
                  </w14:solidFill>
                </w14:textFill>
              </w:rPr>
              <w:t>运送土石方和</w:t>
            </w:r>
            <w:r>
              <w:rPr>
                <w:rFonts w:hint="eastAsia"/>
                <w:color w:val="000000" w:themeColor="text1"/>
                <w14:textFill>
                  <w14:solidFill>
                    <w14:schemeClr w14:val="tx1"/>
                  </w14:solidFill>
                </w14:textFill>
              </w:rPr>
              <w:t>筑路</w:t>
            </w:r>
            <w:r>
              <w:rPr>
                <w:color w:val="000000" w:themeColor="text1"/>
                <w14:textFill>
                  <w14:solidFill>
                    <w14:schemeClr w14:val="tx1"/>
                  </w14:solidFill>
                </w14:textFill>
              </w:rPr>
              <w:t>材料的车辆应实行密闭运输</w:t>
            </w:r>
            <w:r>
              <w:rPr>
                <w:rFonts w:hint="eastAsia"/>
                <w:color w:val="000000" w:themeColor="text1"/>
                <w14:textFill>
                  <w14:solidFill>
                    <w14:schemeClr w14:val="tx1"/>
                  </w14:solidFill>
                </w14:textFill>
              </w:rPr>
              <w:t>。</w:t>
            </w:r>
          </w:p>
        </w:tc>
        <w:tc>
          <w:tcPr>
            <w:tcW w:w="596" w:type="pct"/>
            <w:vMerge w:val="continue"/>
            <w:shd w:val="clear" w:color="auto" w:fill="auto"/>
            <w:vAlign w:val="center"/>
          </w:tcPr>
          <w:p w14:paraId="7C35E35D">
            <w:pPr>
              <w:pStyle w:val="105"/>
              <w:rPr>
                <w:color w:val="000000" w:themeColor="text1"/>
                <w14:textFill>
                  <w14:solidFill>
                    <w14:schemeClr w14:val="tx1"/>
                  </w14:solidFill>
                </w14:textFill>
              </w:rPr>
            </w:pPr>
          </w:p>
        </w:tc>
      </w:tr>
      <w:tr w14:paraId="7EB201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shd w:val="clear" w:color="auto" w:fill="auto"/>
            <w:vAlign w:val="center"/>
          </w:tcPr>
          <w:p w14:paraId="0C93F712">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511" w:type="pct"/>
            <w:gridSpan w:val="2"/>
            <w:shd w:val="clear" w:color="auto" w:fill="auto"/>
            <w:vAlign w:val="center"/>
          </w:tcPr>
          <w:p w14:paraId="780557FB">
            <w:pPr>
              <w:pStyle w:val="105"/>
              <w:rPr>
                <w:color w:val="000000" w:themeColor="text1"/>
                <w14:textFill>
                  <w14:solidFill>
                    <w14:schemeClr w14:val="tx1"/>
                  </w14:solidFill>
                </w14:textFill>
              </w:rPr>
            </w:pPr>
            <w:r>
              <w:rPr>
                <w:color w:val="000000" w:themeColor="text1"/>
                <w14:textFill>
                  <w14:solidFill>
                    <w14:schemeClr w14:val="tx1"/>
                  </w14:solidFill>
                </w14:textFill>
              </w:rPr>
              <w:t>声环境</w:t>
            </w:r>
          </w:p>
        </w:tc>
        <w:tc>
          <w:tcPr>
            <w:tcW w:w="3746" w:type="pct"/>
            <w:shd w:val="clear" w:color="auto" w:fill="auto"/>
            <w:vAlign w:val="center"/>
          </w:tcPr>
          <w:p w14:paraId="1104E92B">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①合理布局施工现场：将施工现场的噪声源相对集中，并尽量远离敏感点，以减少影响的范围和程度。</w:t>
            </w:r>
          </w:p>
          <w:p w14:paraId="1471756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②合理安排施工作业时间：在保证进度的前提下，合理安排作业时间，必须把排放噪声强度大的施工应安排在上午7</w:t>
            </w:r>
            <w:bookmarkStart w:id="1038" w:name="hmcheck_dd11ee4c61b8462b887e6e50a107692a"/>
            <w:r>
              <w:rPr>
                <w:rFonts w:hint="eastAsia"/>
                <w:color w:val="000000" w:themeColor="text1"/>
                <w:shd w:val="clear" w:fill="FFAFAA"/>
                <w14:textFill>
                  <w14:solidFill>
                    <w14:schemeClr w14:val="tx1"/>
                  </w14:solidFill>
                </w14:textFill>
              </w:rPr>
              <w:t>：</w:t>
            </w:r>
            <w:bookmarkEnd w:id="1038"/>
            <w:r>
              <w:rPr>
                <w:rFonts w:hint="eastAsia"/>
                <w:color w:val="000000" w:themeColor="text1"/>
                <w14:textFill>
                  <w14:solidFill>
                    <w14:schemeClr w14:val="tx1"/>
                  </w14:solidFill>
                </w14:textFill>
              </w:rPr>
              <w:t>00～12</w:t>
            </w:r>
            <w:bookmarkStart w:id="1039" w:name="hmcheck_167685187d474ff58ba9759527d990ce"/>
            <w:r>
              <w:rPr>
                <w:rFonts w:hint="eastAsia"/>
                <w:color w:val="000000" w:themeColor="text1"/>
                <w:shd w:val="clear" w:fill="FFAFAA"/>
                <w14:textFill>
                  <w14:solidFill>
                    <w14:schemeClr w14:val="tx1"/>
                  </w14:solidFill>
                </w14:textFill>
              </w:rPr>
              <w:t>：</w:t>
            </w:r>
            <w:bookmarkEnd w:id="1039"/>
            <w:r>
              <w:rPr>
                <w:rFonts w:hint="eastAsia"/>
                <w:color w:val="000000" w:themeColor="text1"/>
                <w14:textFill>
                  <w14:solidFill>
                    <w14:schemeClr w14:val="tx1"/>
                  </w14:solidFill>
                </w14:textFill>
              </w:rPr>
              <w:t>00和下午14</w:t>
            </w:r>
            <w:bookmarkStart w:id="1040" w:name="hmcheck_486e66b32fa9475cbd7752a5a112adf5"/>
            <w:r>
              <w:rPr>
                <w:rFonts w:hint="eastAsia"/>
                <w:color w:val="000000" w:themeColor="text1"/>
                <w:shd w:val="clear" w:fill="FFAFAA"/>
                <w14:textFill>
                  <w14:solidFill>
                    <w14:schemeClr w14:val="tx1"/>
                  </w14:solidFill>
                </w14:textFill>
              </w:rPr>
              <w:t>：</w:t>
            </w:r>
            <w:bookmarkEnd w:id="1040"/>
            <w:r>
              <w:rPr>
                <w:rFonts w:hint="eastAsia"/>
                <w:color w:val="000000" w:themeColor="text1"/>
                <w14:textFill>
                  <w14:solidFill>
                    <w14:schemeClr w14:val="tx1"/>
                  </w14:solidFill>
                </w14:textFill>
              </w:rPr>
              <w:t>00～22</w:t>
            </w:r>
            <w:bookmarkStart w:id="1041" w:name="hmcheck_2ea6f7c6eeb84138bdc0b80c12a456c0"/>
            <w:r>
              <w:rPr>
                <w:rFonts w:hint="eastAsia"/>
                <w:color w:val="000000" w:themeColor="text1"/>
                <w:shd w:val="clear" w:fill="FFAFAA"/>
                <w14:textFill>
                  <w14:solidFill>
                    <w14:schemeClr w14:val="tx1"/>
                  </w14:solidFill>
                </w14:textFill>
              </w:rPr>
              <w:t>：</w:t>
            </w:r>
            <w:bookmarkEnd w:id="1041"/>
            <w:r>
              <w:rPr>
                <w:rFonts w:hint="eastAsia"/>
                <w:color w:val="000000" w:themeColor="text1"/>
                <w14:textFill>
                  <w14:solidFill>
                    <w14:schemeClr w14:val="tx1"/>
                  </w14:solidFill>
                </w14:textFill>
              </w:rPr>
              <w:t>00施工。③合理安排施工运输车辆的走行路线和走行时间：施工运输车辆，尤其是大型运输车辆，应按照有关部门的规定，确定合理运输路线和时间。④对施工场界200m范围内有居民的施工场地、表土堆场等临时施工场地靠近居民一侧安装临时声屏障。</w:t>
            </w:r>
          </w:p>
          <w:p w14:paraId="25DBE53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⑤施工期加强对施工期噪声的监督管理</w:t>
            </w:r>
            <w:r>
              <w:rPr>
                <w:color w:val="000000" w:themeColor="text1"/>
                <w14:textFill>
                  <w14:solidFill>
                    <w14:schemeClr w14:val="tx1"/>
                  </w14:solidFill>
                </w14:textFill>
              </w:rPr>
              <w:t>。</w:t>
            </w:r>
          </w:p>
        </w:tc>
        <w:tc>
          <w:tcPr>
            <w:tcW w:w="596" w:type="pct"/>
            <w:shd w:val="clear" w:color="auto" w:fill="auto"/>
            <w:vAlign w:val="center"/>
          </w:tcPr>
          <w:p w14:paraId="444CF05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执行《建筑施工场界环境噪声排放标准》（GB12523-2011）昼间70≤dBA，夜间55≤dBA</w:t>
            </w:r>
          </w:p>
        </w:tc>
      </w:tr>
      <w:tr w14:paraId="699E0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shd w:val="clear" w:color="auto" w:fill="auto"/>
            <w:vAlign w:val="center"/>
          </w:tcPr>
          <w:p w14:paraId="6CB5AF6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511" w:type="pct"/>
            <w:gridSpan w:val="2"/>
            <w:shd w:val="clear" w:color="auto" w:fill="auto"/>
            <w:vAlign w:val="center"/>
          </w:tcPr>
          <w:p w14:paraId="7E49748E">
            <w:pPr>
              <w:pStyle w:val="105"/>
              <w:rPr>
                <w:color w:val="000000" w:themeColor="text1"/>
                <w14:textFill>
                  <w14:solidFill>
                    <w14:schemeClr w14:val="tx1"/>
                  </w14:solidFill>
                </w14:textFill>
              </w:rPr>
            </w:pPr>
            <w:r>
              <w:rPr>
                <w:color w:val="000000" w:themeColor="text1"/>
                <w14:textFill>
                  <w14:solidFill>
                    <w14:schemeClr w14:val="tx1"/>
                  </w14:solidFill>
                </w14:textFill>
              </w:rPr>
              <w:t>固体废物</w:t>
            </w:r>
          </w:p>
        </w:tc>
        <w:tc>
          <w:tcPr>
            <w:tcW w:w="3746" w:type="pct"/>
            <w:shd w:val="clear" w:color="auto" w:fill="auto"/>
            <w:vAlign w:val="center"/>
          </w:tcPr>
          <w:p w14:paraId="09E1D8C1">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建筑垃圾中的建筑废模板、建筑材料下脚料等，可由废品回收部门回收再生利用，不可再生利用的施工垃圾可运送至指定建筑垃圾收集点堆存；②土石方等建筑材料废弃物应及时调配；③拆迁建筑时产生的诸如废砖、瓦等固体废物可当作筑路的填料；</w:t>
            </w:r>
          </w:p>
          <w:p w14:paraId="028F3700">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④施工现场应当设置废物收集桶（或其他容器）用于及时清理、收集生产和生活废物，禁止随意抛洒；集中收集后送入垃圾</w:t>
            </w:r>
            <w:bookmarkStart w:id="1042" w:name="hmcheck_c4a73f17053a40f5a7cd34fc764d6e01"/>
            <w:r>
              <w:rPr>
                <w:rFonts w:hint="eastAsia"/>
                <w:color w:val="000000" w:themeColor="text1"/>
                <w:shd w:val="clear" w:fill="FFAFAA"/>
                <w14:textFill>
                  <w14:solidFill>
                    <w14:schemeClr w14:val="tx1"/>
                  </w14:solidFill>
                </w14:textFill>
              </w:rPr>
              <w:t>处理场</w:t>
            </w:r>
            <w:bookmarkEnd w:id="1042"/>
            <w:r>
              <w:rPr>
                <w:rFonts w:hint="eastAsia"/>
                <w:color w:val="000000" w:themeColor="text1"/>
                <w14:textFill>
                  <w14:solidFill>
                    <w14:schemeClr w14:val="tx1"/>
                  </w14:solidFill>
                </w14:textFill>
              </w:rPr>
              <w:t>。施工营地的生活垃圾设置垃圾箱全部收集，定期清运。</w:t>
            </w:r>
          </w:p>
        </w:tc>
        <w:tc>
          <w:tcPr>
            <w:tcW w:w="596" w:type="pct"/>
            <w:shd w:val="clear" w:color="auto" w:fill="auto"/>
            <w:vAlign w:val="center"/>
          </w:tcPr>
          <w:p w14:paraId="3C6CF696">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监督落实情况</w:t>
            </w:r>
          </w:p>
        </w:tc>
      </w:tr>
      <w:tr w14:paraId="22770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40" w:hRule="atLeast"/>
          <w:jc w:val="center"/>
        </w:trPr>
        <w:tc>
          <w:tcPr>
            <w:tcW w:w="147" w:type="pct"/>
            <w:shd w:val="clear" w:color="auto" w:fill="auto"/>
            <w:vAlign w:val="center"/>
          </w:tcPr>
          <w:p w14:paraId="4CF2E563">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511" w:type="pct"/>
            <w:gridSpan w:val="2"/>
            <w:shd w:val="clear" w:color="auto" w:fill="auto"/>
            <w:vAlign w:val="center"/>
          </w:tcPr>
          <w:p w14:paraId="34C70BAD">
            <w:pPr>
              <w:pStyle w:val="105"/>
              <w:rPr>
                <w:color w:val="000000" w:themeColor="text1"/>
                <w14:textFill>
                  <w14:solidFill>
                    <w14:schemeClr w14:val="tx1"/>
                  </w14:solidFill>
                </w14:textFill>
              </w:rPr>
            </w:pPr>
            <w:r>
              <w:rPr>
                <w:color w:val="000000" w:themeColor="text1"/>
                <w14:textFill>
                  <w14:solidFill>
                    <w14:schemeClr w14:val="tx1"/>
                  </w14:solidFill>
                </w14:textFill>
              </w:rPr>
              <w:t>环境管理及监理</w:t>
            </w:r>
          </w:p>
        </w:tc>
        <w:tc>
          <w:tcPr>
            <w:tcW w:w="3746" w:type="pct"/>
            <w:shd w:val="clear" w:color="auto" w:fill="auto"/>
            <w:vAlign w:val="center"/>
          </w:tcPr>
          <w:p w14:paraId="7D908334">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①环保机构、环保人员设置情况，相关制度的建立与执行情况</w:t>
            </w:r>
          </w:p>
          <w:p w14:paraId="09415E4F">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②</w:t>
            </w:r>
            <w:r>
              <w:rPr>
                <w:color w:val="000000" w:themeColor="text1"/>
                <w14:textFill>
                  <w14:solidFill>
                    <w14:schemeClr w14:val="tx1"/>
                  </w14:solidFill>
                </w14:textFill>
              </w:rPr>
              <w:t>调查施工环保监理文件完整性</w:t>
            </w:r>
            <w:r>
              <w:rPr>
                <w:rFonts w:hint="eastAsia"/>
                <w:color w:val="000000" w:themeColor="text1"/>
                <w14:textFill>
                  <w14:solidFill>
                    <w14:schemeClr w14:val="tx1"/>
                  </w14:solidFill>
                </w14:textFill>
              </w:rPr>
              <w:t>。</w:t>
            </w:r>
          </w:p>
          <w:p w14:paraId="33E299CD">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③</w:t>
            </w:r>
            <w:r>
              <w:rPr>
                <w:color w:val="000000" w:themeColor="text1"/>
                <w14:textFill>
                  <w14:solidFill>
                    <w14:schemeClr w14:val="tx1"/>
                  </w14:solidFill>
                </w14:textFill>
              </w:rPr>
              <w:t>环保经费落实情况</w:t>
            </w:r>
            <w:r>
              <w:rPr>
                <w:rFonts w:hint="eastAsia"/>
                <w:color w:val="000000" w:themeColor="text1"/>
                <w14:textFill>
                  <w14:solidFill>
                    <w14:schemeClr w14:val="tx1"/>
                  </w14:solidFill>
                </w14:textFill>
              </w:rPr>
              <w:t>。</w:t>
            </w:r>
          </w:p>
        </w:tc>
        <w:tc>
          <w:tcPr>
            <w:tcW w:w="596" w:type="pct"/>
            <w:shd w:val="clear" w:color="auto" w:fill="auto"/>
            <w:vAlign w:val="center"/>
          </w:tcPr>
          <w:p w14:paraId="62EB5A18">
            <w:pPr>
              <w:pStyle w:val="105"/>
              <w:rPr>
                <w:color w:val="000000" w:themeColor="text1"/>
                <w14:textFill>
                  <w14:solidFill>
                    <w14:schemeClr w14:val="tx1"/>
                  </w14:solidFill>
                </w14:textFill>
              </w:rPr>
            </w:pPr>
            <w:r>
              <w:rPr>
                <w:rFonts w:hint="eastAsia"/>
                <w:color w:val="000000" w:themeColor="text1"/>
                <w14:textFill>
                  <w14:solidFill>
                    <w14:schemeClr w14:val="tx1"/>
                  </w14:solidFill>
                </w14:textFill>
              </w:rPr>
              <w:t>监督落实情况</w:t>
            </w:r>
          </w:p>
        </w:tc>
      </w:tr>
    </w:tbl>
    <w:p w14:paraId="7BD6E7D2">
      <w:pPr>
        <w:pStyle w:val="87"/>
        <w:spacing w:before="163"/>
        <w:ind w:left="480" w:firstLine="480"/>
        <w:rPr>
          <w:color w:val="000000" w:themeColor="text1"/>
          <w14:textFill>
            <w14:solidFill>
              <w14:schemeClr w14:val="tx1"/>
            </w14:solidFill>
          </w14:textFill>
        </w:rPr>
        <w:sectPr>
          <w:pgSz w:w="16838" w:h="11906" w:orient="landscape"/>
          <w:pgMar w:top="1418" w:right="1418" w:bottom="1418" w:left="1418" w:header="851" w:footer="851" w:gutter="0"/>
          <w:cols w:space="425" w:num="1"/>
          <w:docGrid w:type="lines" w:linePitch="326" w:charSpace="0"/>
        </w:sectPr>
      </w:pPr>
    </w:p>
    <w:bookmarkEnd w:id="1033"/>
    <w:p w14:paraId="48C3B961">
      <w:pPr>
        <w:pStyle w:val="87"/>
        <w:spacing w:before="163"/>
      </w:pPr>
      <w:bookmarkStart w:id="1043" w:name="_Ref153909903"/>
      <w:bookmarkStart w:id="1044" w:name="_Hlk152945398"/>
      <w:r>
        <w:rPr>
          <w:rFonts w:hint="eastAsia"/>
        </w:rPr>
        <w:t>运营期环保管理及竣工验收一览表</w:t>
      </w:r>
      <w:bookmarkEnd w:id="1043"/>
    </w:p>
    <w:tbl>
      <w:tblPr>
        <w:tblStyle w:val="157"/>
        <w:tblW w:w="0" w:type="auto"/>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98"/>
        <w:gridCol w:w="892"/>
        <w:gridCol w:w="7655"/>
        <w:gridCol w:w="2693"/>
        <w:gridCol w:w="2378"/>
      </w:tblGrid>
      <w:tr w14:paraId="1C43A0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tcMar>
              <w:left w:w="57" w:type="dxa"/>
              <w:right w:w="57" w:type="dxa"/>
            </w:tcMar>
            <w:vAlign w:val="center"/>
          </w:tcPr>
          <w:p w14:paraId="6CCD54A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序号</w:t>
            </w:r>
          </w:p>
        </w:tc>
        <w:tc>
          <w:tcPr>
            <w:tcW w:w="892" w:type="dxa"/>
            <w:tcMar>
              <w:left w:w="57" w:type="dxa"/>
              <w:right w:w="57" w:type="dxa"/>
            </w:tcMar>
            <w:vAlign w:val="center"/>
          </w:tcPr>
          <w:p w14:paraId="111BDCE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验收项目</w:t>
            </w:r>
          </w:p>
        </w:tc>
        <w:tc>
          <w:tcPr>
            <w:tcW w:w="7655" w:type="dxa"/>
            <w:tcMar>
              <w:left w:w="57" w:type="dxa"/>
              <w:right w:w="57" w:type="dxa"/>
            </w:tcMar>
            <w:vAlign w:val="center"/>
          </w:tcPr>
          <w:p w14:paraId="62D621B3">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措施情况</w:t>
            </w:r>
          </w:p>
        </w:tc>
        <w:tc>
          <w:tcPr>
            <w:tcW w:w="2693" w:type="dxa"/>
            <w:tcMar>
              <w:left w:w="57" w:type="dxa"/>
              <w:right w:w="57" w:type="dxa"/>
            </w:tcMar>
            <w:vAlign w:val="center"/>
          </w:tcPr>
          <w:p w14:paraId="482C83C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验收内容</w:t>
            </w:r>
          </w:p>
        </w:tc>
        <w:tc>
          <w:tcPr>
            <w:tcW w:w="2378" w:type="dxa"/>
            <w:tcMar>
              <w:left w:w="57" w:type="dxa"/>
              <w:right w:w="57" w:type="dxa"/>
            </w:tcMar>
            <w:vAlign w:val="center"/>
          </w:tcPr>
          <w:p w14:paraId="067DC22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验收标准</w:t>
            </w:r>
          </w:p>
        </w:tc>
      </w:tr>
      <w:tr w14:paraId="7F8A121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tcMar>
              <w:left w:w="57" w:type="dxa"/>
              <w:right w:w="57" w:type="dxa"/>
            </w:tcMar>
            <w:vAlign w:val="center"/>
          </w:tcPr>
          <w:p w14:paraId="2E07A65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892" w:type="dxa"/>
            <w:tcMar>
              <w:left w:w="57" w:type="dxa"/>
              <w:right w:w="57" w:type="dxa"/>
            </w:tcMar>
            <w:vAlign w:val="center"/>
          </w:tcPr>
          <w:p w14:paraId="1F4151F0">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生态环境</w:t>
            </w:r>
          </w:p>
        </w:tc>
        <w:tc>
          <w:tcPr>
            <w:tcW w:w="7655" w:type="dxa"/>
            <w:tcMar>
              <w:left w:w="57" w:type="dxa"/>
              <w:right w:w="57" w:type="dxa"/>
            </w:tcMar>
            <w:vAlign w:val="center"/>
          </w:tcPr>
          <w:p w14:paraId="69E7141F">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①对工程裸地进行植被恢复，应加强对绿化植物的管理与养护；</w:t>
            </w:r>
          </w:p>
          <w:p w14:paraId="3DBB5925">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②加强公路沿线控制带、人行道的绿化建设；</w:t>
            </w:r>
          </w:p>
          <w:p w14:paraId="75CC1D51">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③加强沿线高边坡等极易产生水土流失和安全事故区域的巡查维护，及时增加水土保持工程措施和植物措施，避免因水土流失造成的滑坡、边坡垮塌等事故</w:t>
            </w:r>
          </w:p>
        </w:tc>
        <w:tc>
          <w:tcPr>
            <w:tcW w:w="2693" w:type="dxa"/>
            <w:tcMar>
              <w:left w:w="57" w:type="dxa"/>
              <w:right w:w="57" w:type="dxa"/>
            </w:tcMar>
            <w:vAlign w:val="center"/>
          </w:tcPr>
          <w:p w14:paraId="101C8BF1">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①生态环境现状调查； ②工程占地情况调查，永久占地、临时占地（临时施工场地等）及其生态恢复情况调查；③水土流失调查；④绿化工程情况调查。</w:t>
            </w:r>
          </w:p>
        </w:tc>
        <w:tc>
          <w:tcPr>
            <w:tcW w:w="2378" w:type="dxa"/>
            <w:tcMar>
              <w:left w:w="57" w:type="dxa"/>
              <w:right w:w="57" w:type="dxa"/>
            </w:tcMar>
            <w:vAlign w:val="center"/>
          </w:tcPr>
          <w:p w14:paraId="5C0FA9D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进行植被</w:t>
            </w:r>
          </w:p>
          <w:p w14:paraId="4EE9665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恢复</w:t>
            </w:r>
          </w:p>
        </w:tc>
      </w:tr>
      <w:tr w14:paraId="591B36D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tcMar>
              <w:left w:w="57" w:type="dxa"/>
              <w:right w:w="57" w:type="dxa"/>
            </w:tcMar>
            <w:vAlign w:val="center"/>
          </w:tcPr>
          <w:p w14:paraId="5318875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892" w:type="dxa"/>
            <w:tcMar>
              <w:left w:w="57" w:type="dxa"/>
              <w:right w:w="57" w:type="dxa"/>
            </w:tcMar>
            <w:vAlign w:val="center"/>
          </w:tcPr>
          <w:p w14:paraId="7EF3DFCD">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声环境</w:t>
            </w:r>
          </w:p>
        </w:tc>
        <w:tc>
          <w:tcPr>
            <w:tcW w:w="7655" w:type="dxa"/>
            <w:tcMar>
              <w:left w:w="57" w:type="dxa"/>
              <w:right w:w="57" w:type="dxa"/>
            </w:tcMar>
            <w:vAlign w:val="center"/>
          </w:tcPr>
          <w:p w14:paraId="056B9555">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①优化选址选线、合理规划布局：根据本次评价断面交通噪声预测结果，建议公路两侧在土地利用规划中噪声防护控制距离，为区域开发提供规划退让控制建议；</w:t>
            </w:r>
          </w:p>
          <w:p w14:paraId="771BD9F9">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②噪声源控制措施：加强公路管理及路面养护，减少路面异常噪声；</w:t>
            </w:r>
          </w:p>
          <w:p w14:paraId="307631E1">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③敏感目标：针对牌边村新桥、上张村王房、联华村后郑、联华村西山临路一排4a类近中远期夜间均出现不同程度超标，设置通风隔声窗，同时远期预留资金，进行跟踪监测，通风隔声窗面积：</w:t>
            </w:r>
            <w:r>
              <w:rPr>
                <w:color w:val="000000" w:themeColor="text1"/>
                <w14:textFill>
                  <w14:solidFill>
                    <w14:schemeClr w14:val="tx1"/>
                  </w14:solidFill>
                </w14:textFill>
              </w:rPr>
              <w:t>160</w:t>
            </w:r>
            <w:r>
              <w:rPr>
                <w:rFonts w:hint="eastAsia"/>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w:t>
            </w:r>
          </w:p>
          <w:p w14:paraId="4BDE9983">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④工程及管理措施：设置警示等标志；加强公路的维修保养；对声环境敏感目标进行跟踪监测，预留降噪经费。</w:t>
            </w:r>
          </w:p>
        </w:tc>
        <w:tc>
          <w:tcPr>
            <w:tcW w:w="2693" w:type="dxa"/>
            <w:tcMar>
              <w:left w:w="57" w:type="dxa"/>
              <w:right w:w="57" w:type="dxa"/>
            </w:tcMar>
            <w:vAlign w:val="center"/>
          </w:tcPr>
          <w:p w14:paraId="36BE84A2">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①敏感目标达标情况；②噪声控制措施落实情况</w:t>
            </w:r>
          </w:p>
        </w:tc>
        <w:tc>
          <w:tcPr>
            <w:tcW w:w="2378" w:type="dxa"/>
            <w:tcMar>
              <w:left w:w="57" w:type="dxa"/>
              <w:right w:w="57" w:type="dxa"/>
            </w:tcMar>
            <w:vAlign w:val="center"/>
          </w:tcPr>
          <w:p w14:paraId="3A2D6DD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公路两侧高于3层楼的临街建筑物或低于3层楼交通干线边界线外</w:t>
            </w:r>
            <w:r>
              <w:rPr>
                <w:color w:val="000000" w:themeColor="text1"/>
                <w14:textFill>
                  <w14:solidFill>
                    <w14:schemeClr w14:val="tx1"/>
                  </w14:solidFill>
                </w14:textFill>
              </w:rPr>
              <w:t>35</w:t>
            </w:r>
            <w:r>
              <w:rPr>
                <w:rFonts w:hint="eastAsia"/>
                <w:color w:val="000000" w:themeColor="text1"/>
                <w14:textFill>
                  <w14:solidFill>
                    <w14:schemeClr w14:val="tx1"/>
                  </w14:solidFill>
                </w14:textFill>
              </w:rPr>
              <w:t>m以内面向公路一侧区域声环境执行GB3096-2008中4a类标准，评价范围内的其他区域，执行2类标准。</w:t>
            </w:r>
          </w:p>
        </w:tc>
      </w:tr>
      <w:tr w14:paraId="6E2BD3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tcMar>
              <w:left w:w="57" w:type="dxa"/>
              <w:right w:w="57" w:type="dxa"/>
            </w:tcMar>
            <w:vAlign w:val="center"/>
          </w:tcPr>
          <w:p w14:paraId="43C746D6">
            <w:pPr>
              <w:pStyle w:val="105"/>
              <w:widowControl w:val="0"/>
              <w:jc w:val="center"/>
              <w:rPr>
                <w:color w:val="000000" w:themeColor="text1"/>
                <w14:textFill>
                  <w14:solidFill>
                    <w14:schemeClr w14:val="tx1"/>
                  </w14:solidFill>
                </w14:textFill>
              </w:rPr>
            </w:pPr>
          </w:p>
        </w:tc>
        <w:tc>
          <w:tcPr>
            <w:tcW w:w="892" w:type="dxa"/>
            <w:tcMar>
              <w:left w:w="57" w:type="dxa"/>
              <w:right w:w="57" w:type="dxa"/>
            </w:tcMar>
            <w:vAlign w:val="center"/>
          </w:tcPr>
          <w:p w14:paraId="5FA73C5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大气环境</w:t>
            </w:r>
          </w:p>
        </w:tc>
        <w:tc>
          <w:tcPr>
            <w:tcW w:w="7655" w:type="dxa"/>
            <w:tcMar>
              <w:left w:w="57" w:type="dxa"/>
              <w:right w:w="57" w:type="dxa"/>
            </w:tcMar>
            <w:vAlign w:val="center"/>
          </w:tcPr>
          <w:p w14:paraId="4275B417">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①加强公路车辆管理；②加强公路管理及路面养护。</w:t>
            </w:r>
          </w:p>
        </w:tc>
        <w:tc>
          <w:tcPr>
            <w:tcW w:w="2693" w:type="dxa"/>
            <w:tcMar>
              <w:left w:w="57" w:type="dxa"/>
              <w:right w:w="57" w:type="dxa"/>
            </w:tcMar>
            <w:vAlign w:val="center"/>
          </w:tcPr>
          <w:p w14:paraId="556DA7C7">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检查措施落实情况</w:t>
            </w:r>
          </w:p>
        </w:tc>
        <w:tc>
          <w:tcPr>
            <w:tcW w:w="2378" w:type="dxa"/>
            <w:tcMar>
              <w:left w:w="57" w:type="dxa"/>
              <w:right w:w="57" w:type="dxa"/>
            </w:tcMar>
            <w:vAlign w:val="center"/>
          </w:tcPr>
          <w:p w14:paraId="3574C8AF">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553A1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tcMar>
              <w:left w:w="57" w:type="dxa"/>
              <w:right w:w="57" w:type="dxa"/>
            </w:tcMar>
            <w:vAlign w:val="center"/>
          </w:tcPr>
          <w:p w14:paraId="3CC9C89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892" w:type="dxa"/>
            <w:tcMar>
              <w:left w:w="57" w:type="dxa"/>
              <w:right w:w="57" w:type="dxa"/>
            </w:tcMar>
            <w:vAlign w:val="center"/>
          </w:tcPr>
          <w:p w14:paraId="6CF402F9">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水环境</w:t>
            </w:r>
          </w:p>
        </w:tc>
        <w:tc>
          <w:tcPr>
            <w:tcW w:w="7655" w:type="dxa"/>
            <w:tcMar>
              <w:left w:w="57" w:type="dxa"/>
              <w:right w:w="57" w:type="dxa"/>
            </w:tcMar>
            <w:vAlign w:val="center"/>
          </w:tcPr>
          <w:p w14:paraId="70F9D138">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公路路面和路基设置完善的排水系统；</w:t>
            </w:r>
          </w:p>
        </w:tc>
        <w:tc>
          <w:tcPr>
            <w:tcW w:w="2693" w:type="dxa"/>
            <w:tcMar>
              <w:left w:w="57" w:type="dxa"/>
              <w:right w:w="57" w:type="dxa"/>
            </w:tcMar>
            <w:vAlign w:val="center"/>
          </w:tcPr>
          <w:p w14:paraId="66D1E151">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检查措施落实情况</w:t>
            </w:r>
          </w:p>
        </w:tc>
        <w:tc>
          <w:tcPr>
            <w:tcW w:w="2378" w:type="dxa"/>
            <w:tcMar>
              <w:left w:w="57" w:type="dxa"/>
              <w:right w:w="57" w:type="dxa"/>
            </w:tcMar>
            <w:vAlign w:val="center"/>
          </w:tcPr>
          <w:p w14:paraId="1D3A2EEC">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729E0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tcMar>
              <w:left w:w="57" w:type="dxa"/>
              <w:right w:w="57" w:type="dxa"/>
            </w:tcMar>
            <w:vAlign w:val="center"/>
          </w:tcPr>
          <w:p w14:paraId="5DFADC76">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892" w:type="dxa"/>
            <w:tcMar>
              <w:left w:w="57" w:type="dxa"/>
              <w:right w:w="57" w:type="dxa"/>
            </w:tcMar>
            <w:vAlign w:val="center"/>
          </w:tcPr>
          <w:p w14:paraId="66D89561">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环境风险防范措施</w:t>
            </w:r>
          </w:p>
        </w:tc>
        <w:tc>
          <w:tcPr>
            <w:tcW w:w="7655" w:type="dxa"/>
            <w:tcMar>
              <w:left w:w="57" w:type="dxa"/>
              <w:right w:w="57" w:type="dxa"/>
            </w:tcMar>
            <w:vAlign w:val="center"/>
          </w:tcPr>
          <w:p w14:paraId="2F1DE5CD">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完善交通标志标线和实施交通信号控制；</w:t>
            </w:r>
            <w:r>
              <w:rPr>
                <w:color w:val="000000" w:themeColor="text1"/>
                <w14:textFill>
                  <w14:solidFill>
                    <w14:schemeClr w14:val="tx1"/>
                  </w14:solidFill>
                </w14:textFill>
              </w:rPr>
              <w:t>加强区域危险品运输管理</w:t>
            </w:r>
            <w:r>
              <w:rPr>
                <w:rFonts w:hint="eastAsia"/>
                <w:color w:val="000000" w:themeColor="text1"/>
                <w14:textFill>
                  <w14:solidFill>
                    <w14:schemeClr w14:val="tx1"/>
                  </w14:solidFill>
                </w14:textFill>
              </w:rPr>
              <w:t>；</w:t>
            </w:r>
          </w:p>
          <w:p w14:paraId="50730E81">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采用现代科学技术手段实现交通安全管理的现代化，减少交通事故。</w:t>
            </w:r>
          </w:p>
        </w:tc>
        <w:tc>
          <w:tcPr>
            <w:tcW w:w="2693" w:type="dxa"/>
            <w:tcMar>
              <w:left w:w="57" w:type="dxa"/>
              <w:right w:w="57" w:type="dxa"/>
            </w:tcMar>
            <w:vAlign w:val="center"/>
          </w:tcPr>
          <w:p w14:paraId="56692E26">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检查措施落实情况</w:t>
            </w:r>
          </w:p>
        </w:tc>
        <w:tc>
          <w:tcPr>
            <w:tcW w:w="2378" w:type="dxa"/>
            <w:tcMar>
              <w:left w:w="57" w:type="dxa"/>
              <w:right w:w="57" w:type="dxa"/>
            </w:tcMar>
            <w:vAlign w:val="center"/>
          </w:tcPr>
          <w:p w14:paraId="24AE7CDF">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EB6240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4" w:hRule="atLeast"/>
        </w:trPr>
        <w:tc>
          <w:tcPr>
            <w:tcW w:w="0" w:type="auto"/>
            <w:tcMar>
              <w:left w:w="57" w:type="dxa"/>
              <w:right w:w="57" w:type="dxa"/>
            </w:tcMar>
            <w:vAlign w:val="center"/>
          </w:tcPr>
          <w:p w14:paraId="1B06BE0B">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892" w:type="dxa"/>
            <w:tcMar>
              <w:left w:w="57" w:type="dxa"/>
              <w:right w:w="57" w:type="dxa"/>
            </w:tcMar>
            <w:vAlign w:val="center"/>
          </w:tcPr>
          <w:p w14:paraId="422F1BA8">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环境管理</w:t>
            </w:r>
          </w:p>
        </w:tc>
        <w:tc>
          <w:tcPr>
            <w:tcW w:w="7655" w:type="dxa"/>
            <w:tcMar>
              <w:left w:w="57" w:type="dxa"/>
              <w:right w:w="57" w:type="dxa"/>
            </w:tcMar>
            <w:vAlign w:val="center"/>
          </w:tcPr>
          <w:p w14:paraId="5362B4A8">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环境管理措施、环境监测计划的落实情况；</w:t>
            </w:r>
          </w:p>
        </w:tc>
        <w:tc>
          <w:tcPr>
            <w:tcW w:w="2693" w:type="dxa"/>
            <w:tcMar>
              <w:left w:w="57" w:type="dxa"/>
              <w:right w:w="57" w:type="dxa"/>
            </w:tcMar>
            <w:vAlign w:val="center"/>
          </w:tcPr>
          <w:p w14:paraId="308D8139">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落实情况</w:t>
            </w:r>
          </w:p>
        </w:tc>
        <w:tc>
          <w:tcPr>
            <w:tcW w:w="2378" w:type="dxa"/>
            <w:tcMar>
              <w:left w:w="57" w:type="dxa"/>
              <w:right w:w="57" w:type="dxa"/>
            </w:tcMar>
            <w:vAlign w:val="center"/>
          </w:tcPr>
          <w:p w14:paraId="1AD977B4">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9338D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0" w:type="auto"/>
            <w:tcMar>
              <w:left w:w="57" w:type="dxa"/>
              <w:right w:w="57" w:type="dxa"/>
            </w:tcMar>
            <w:vAlign w:val="center"/>
          </w:tcPr>
          <w:p w14:paraId="36F32D6E">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892" w:type="dxa"/>
            <w:tcMar>
              <w:left w:w="57" w:type="dxa"/>
              <w:right w:w="57" w:type="dxa"/>
            </w:tcMar>
            <w:vAlign w:val="center"/>
          </w:tcPr>
          <w:p w14:paraId="62CB8D6C">
            <w:pPr>
              <w:pStyle w:val="105"/>
              <w:widowControl w:val="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“三同时”制度</w:t>
            </w:r>
          </w:p>
        </w:tc>
        <w:tc>
          <w:tcPr>
            <w:tcW w:w="7655" w:type="dxa"/>
            <w:tcMar>
              <w:left w:w="57" w:type="dxa"/>
              <w:right w:w="57" w:type="dxa"/>
            </w:tcMar>
            <w:vAlign w:val="center"/>
          </w:tcPr>
          <w:p w14:paraId="5B615660">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项目建设是否严格执行环境保护设施与主体工程同时设计、同时施工、同时投入的环境保护“三同时”制度。</w:t>
            </w:r>
          </w:p>
        </w:tc>
        <w:tc>
          <w:tcPr>
            <w:tcW w:w="2693" w:type="dxa"/>
            <w:tcMar>
              <w:left w:w="57" w:type="dxa"/>
              <w:right w:w="57" w:type="dxa"/>
            </w:tcMar>
            <w:vAlign w:val="center"/>
          </w:tcPr>
          <w:p w14:paraId="01F7077E">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落实情况</w:t>
            </w:r>
          </w:p>
        </w:tc>
        <w:tc>
          <w:tcPr>
            <w:tcW w:w="2378" w:type="dxa"/>
            <w:tcMar>
              <w:left w:w="57" w:type="dxa"/>
              <w:right w:w="57" w:type="dxa"/>
            </w:tcMar>
            <w:vAlign w:val="center"/>
          </w:tcPr>
          <w:p w14:paraId="70DF3CD0">
            <w:pPr>
              <w:pStyle w:val="105"/>
              <w:widowControl w:val="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bookmarkEnd w:id="1044"/>
    </w:tbl>
    <w:p w14:paraId="4B459EB6">
      <w:pPr>
        <w:pStyle w:val="120"/>
        <w:rPr>
          <w:color w:val="000000" w:themeColor="text1"/>
          <w14:textFill>
            <w14:solidFill>
              <w14:schemeClr w14:val="tx1"/>
            </w14:solidFill>
          </w14:textFill>
        </w:rPr>
        <w:sectPr>
          <w:pgSz w:w="16838" w:h="11906" w:orient="landscape"/>
          <w:pgMar w:top="1418" w:right="1418" w:bottom="1418" w:left="1418" w:header="851" w:footer="851" w:gutter="0"/>
          <w:cols w:space="425" w:num="1"/>
          <w:docGrid w:type="lines" w:linePitch="326" w:charSpace="0"/>
        </w:sectPr>
      </w:pPr>
    </w:p>
    <w:bookmarkEnd w:id="1031"/>
    <w:p w14:paraId="05818721">
      <w:pPr>
        <w:pStyle w:val="116"/>
        <w:rPr>
          <w:color w:val="000000" w:themeColor="text1"/>
          <w14:textFill>
            <w14:solidFill>
              <w14:schemeClr w14:val="tx1"/>
            </w14:solidFill>
          </w14:textFill>
        </w:rPr>
      </w:pPr>
      <w:bookmarkStart w:id="1045" w:name="_Toc154668082"/>
      <w:bookmarkStart w:id="1046" w:name="_Toc159405505"/>
      <w:bookmarkStart w:id="1047" w:name="_Toc153957861"/>
      <w:bookmarkStart w:id="1048" w:name="_Toc193912411"/>
      <w:bookmarkStart w:id="1049" w:name="_Toc146525009"/>
      <w:r>
        <w:rPr>
          <w:rFonts w:hint="eastAsia"/>
          <w:color w:val="000000" w:themeColor="text1"/>
          <w14:textFill>
            <w14:solidFill>
              <w14:schemeClr w14:val="tx1"/>
            </w14:solidFill>
          </w14:textFill>
        </w:rPr>
        <w:t>环境影响经济损益分析</w:t>
      </w:r>
      <w:bookmarkEnd w:id="1045"/>
      <w:bookmarkEnd w:id="1046"/>
      <w:bookmarkEnd w:id="1047"/>
      <w:bookmarkEnd w:id="1048"/>
      <w:bookmarkEnd w:id="1049"/>
    </w:p>
    <w:p w14:paraId="79906E4D">
      <w:pPr>
        <w:ind w:firstLine="480"/>
        <w:rPr>
          <w:color w:val="000000" w:themeColor="text1"/>
          <w14:textFill>
            <w14:solidFill>
              <w14:schemeClr w14:val="tx1"/>
            </w14:solidFill>
          </w14:textFill>
        </w:rPr>
      </w:pPr>
      <w:r>
        <w:rPr>
          <w:rFonts w:hint="eastAsia"/>
          <w:color w:val="000000" w:themeColor="text1"/>
          <w:lang w:val="zh-CN"/>
          <w14:textFill>
            <w14:solidFill>
              <w14:schemeClr w14:val="tx1"/>
            </w14:solidFill>
          </w14:textFill>
        </w:rPr>
        <w:t>项目的建设对于改善万福寺及沿线交通出行条件、整合旅游资源、完善交通网络、缓解交通压力等都具有重要的作用</w:t>
      </w:r>
      <w:r>
        <w:rPr>
          <w:color w:val="000000" w:themeColor="text1"/>
          <w:lang w:val="zh-CN"/>
          <w14:textFill>
            <w14:solidFill>
              <w14:schemeClr w14:val="tx1"/>
            </w14:solidFill>
          </w14:textFill>
        </w:rPr>
        <w:t>。</w:t>
      </w:r>
      <w:r>
        <w:rPr>
          <w:color w:val="000000" w:themeColor="text1"/>
          <w14:textFill>
            <w14:solidFill>
              <w14:schemeClr w14:val="tx1"/>
            </w14:solidFill>
          </w14:textFill>
        </w:rPr>
        <w:t>项目建设将带来较大的社会、经济效益。特别在社会经济方面，对国民经济具有明显的拉动作用。环境损失以永久性占用土地，使农业和生态环境受到一些负面影响。经环境影响损益分析，环境损益效益为正效益</w:t>
      </w:r>
      <w:r>
        <w:rPr>
          <w:rFonts w:hint="eastAsia"/>
          <w:color w:val="000000" w:themeColor="text1"/>
          <w14:textFill>
            <w14:solidFill>
              <w14:schemeClr w14:val="tx1"/>
            </w14:solidFill>
          </w14:textFill>
        </w:rPr>
        <w:t>。</w:t>
      </w:r>
    </w:p>
    <w:p w14:paraId="0185ABE3">
      <w:pPr>
        <w:pStyle w:val="116"/>
        <w:rPr>
          <w:color w:val="000000" w:themeColor="text1"/>
          <w14:textFill>
            <w14:solidFill>
              <w14:schemeClr w14:val="tx1"/>
            </w14:solidFill>
          </w14:textFill>
        </w:rPr>
      </w:pPr>
      <w:bookmarkStart w:id="1050" w:name="_Toc146525010"/>
      <w:bookmarkStart w:id="1051" w:name="_Toc154668083"/>
      <w:bookmarkStart w:id="1052" w:name="_Toc153957862"/>
      <w:bookmarkStart w:id="1053" w:name="_Toc193912412"/>
      <w:bookmarkStart w:id="1054" w:name="_Toc159405506"/>
      <w:r>
        <w:rPr>
          <w:rFonts w:hint="eastAsia"/>
          <w:color w:val="000000" w:themeColor="text1"/>
          <w14:textFill>
            <w14:solidFill>
              <w14:schemeClr w14:val="tx1"/>
            </w14:solidFill>
          </w14:textFill>
        </w:rPr>
        <w:t>环境管理与监测计划结论</w:t>
      </w:r>
      <w:bookmarkEnd w:id="1050"/>
      <w:bookmarkEnd w:id="1051"/>
      <w:bookmarkEnd w:id="1052"/>
      <w:bookmarkEnd w:id="1053"/>
      <w:bookmarkEnd w:id="1054"/>
    </w:p>
    <w:p w14:paraId="4530185A">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本项目在施工建设期和运营期，都会对环境产生一系列的影响，必须采取环境保护措施以减轻或消除其不利影响，同时还必须建立一套环境管理与监测制度，加强全过程的环境监理，落实环境管理方案与环境监测计划，并履行项目“三同时”，做好环保验收工作。</w:t>
      </w:r>
    </w:p>
    <w:p w14:paraId="34657EBF">
      <w:pPr>
        <w:pStyle w:val="116"/>
        <w:rPr>
          <w:color w:val="000000" w:themeColor="text1"/>
          <w14:textFill>
            <w14:solidFill>
              <w14:schemeClr w14:val="tx1"/>
            </w14:solidFill>
          </w14:textFill>
        </w:rPr>
      </w:pPr>
      <w:bookmarkStart w:id="1055" w:name="_Toc113303429"/>
      <w:bookmarkStart w:id="1056" w:name="_Toc146525011"/>
      <w:bookmarkStart w:id="1057" w:name="_Toc154668084"/>
      <w:bookmarkStart w:id="1058" w:name="_Toc159405507"/>
      <w:bookmarkStart w:id="1059" w:name="_Toc193912413"/>
      <w:bookmarkStart w:id="1060" w:name="_Toc153957863"/>
      <w:r>
        <w:rPr>
          <w:color w:val="000000" w:themeColor="text1"/>
          <w14:textFill>
            <w14:solidFill>
              <w14:schemeClr w14:val="tx1"/>
            </w14:solidFill>
          </w14:textFill>
        </w:rPr>
        <w:t>产业政策</w:t>
      </w:r>
      <w:r>
        <w:rPr>
          <w:rFonts w:hint="eastAsia"/>
          <w:color w:val="000000" w:themeColor="text1"/>
          <w14:textFill>
            <w14:solidFill>
              <w14:schemeClr w14:val="tx1"/>
            </w14:solidFill>
          </w14:textFill>
        </w:rPr>
        <w:t>及规划选址</w:t>
      </w:r>
      <w:r>
        <w:rPr>
          <w:color w:val="000000" w:themeColor="text1"/>
          <w14:textFill>
            <w14:solidFill>
              <w14:schemeClr w14:val="tx1"/>
            </w14:solidFill>
          </w14:textFill>
        </w:rPr>
        <w:t>符合性</w:t>
      </w:r>
      <w:r>
        <w:rPr>
          <w:rFonts w:hint="eastAsia"/>
          <w:color w:val="000000" w:themeColor="text1"/>
          <w14:textFill>
            <w14:solidFill>
              <w14:schemeClr w14:val="tx1"/>
            </w14:solidFill>
          </w14:textFill>
        </w:rPr>
        <w:t>结论</w:t>
      </w:r>
      <w:bookmarkEnd w:id="1055"/>
      <w:bookmarkEnd w:id="1056"/>
      <w:bookmarkEnd w:id="1057"/>
      <w:bookmarkEnd w:id="1058"/>
      <w:bookmarkEnd w:id="1059"/>
      <w:bookmarkEnd w:id="1060"/>
    </w:p>
    <w:p w14:paraId="3892236E">
      <w:pPr>
        <w:pStyle w:val="67"/>
        <w:tabs>
          <w:tab w:val="left" w:pos="1451"/>
        </w:tabs>
        <w:ind w:firstLine="480"/>
        <w:rPr>
          <w:rFonts w:ascii="Times New Roman" w:hAnsi="Times New Roman" w:cs="Times New Roman"/>
          <w:color w:val="000000" w:themeColor="text1"/>
          <w:spacing w:val="-2"/>
          <w:szCs w:val="24"/>
          <w14:textFill>
            <w14:solidFill>
              <w14:schemeClr w14:val="tx1"/>
            </w14:solidFill>
          </w14:textFill>
        </w:rPr>
      </w:pPr>
      <w:r>
        <w:rPr>
          <w:rFonts w:hint="eastAsia"/>
          <w:color w:val="000000" w:themeColor="text1"/>
          <w14:textFill>
            <w14:solidFill>
              <w14:schemeClr w14:val="tx1"/>
            </w14:solidFill>
          </w14:textFill>
        </w:rPr>
        <w:t>（1）产业政策符合性结论：</w:t>
      </w:r>
      <w:r>
        <w:rPr>
          <w:rFonts w:hint="eastAsia" w:ascii="Times New Roman" w:hAnsi="Times New Roman" w:cs="Times New Roman"/>
          <w:color w:val="000000" w:themeColor="text1"/>
          <w:spacing w:val="-2"/>
          <w:szCs w:val="24"/>
          <w14:textFill>
            <w14:solidFill>
              <w14:schemeClr w14:val="tx1"/>
            </w14:solidFill>
          </w14:textFill>
        </w:rPr>
        <w:t>本项目为二级公路，不属于《产业结构调整指导目录（2</w:t>
      </w:r>
      <w:r>
        <w:rPr>
          <w:rFonts w:ascii="Times New Roman" w:hAnsi="Times New Roman" w:cs="Times New Roman"/>
          <w:color w:val="000000" w:themeColor="text1"/>
          <w:spacing w:val="-2"/>
          <w:szCs w:val="24"/>
          <w14:textFill>
            <w14:solidFill>
              <w14:schemeClr w14:val="tx1"/>
            </w14:solidFill>
          </w14:textFill>
        </w:rPr>
        <w:t>024</w:t>
      </w:r>
      <w:r>
        <w:rPr>
          <w:rFonts w:hint="eastAsia" w:ascii="Times New Roman" w:hAnsi="Times New Roman" w:cs="Times New Roman"/>
          <w:color w:val="000000" w:themeColor="text1"/>
          <w:spacing w:val="-2"/>
          <w:szCs w:val="24"/>
          <w14:textFill>
            <w14:solidFill>
              <w14:schemeClr w14:val="tx1"/>
            </w14:solidFill>
          </w14:textFill>
        </w:rPr>
        <w:t>年）》中限制类、淘汰类，工程的建设符合国家产业政策。</w:t>
      </w:r>
    </w:p>
    <w:p w14:paraId="41A9154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（2）选线合理性分析结论</w:t>
      </w:r>
    </w:p>
    <w:p w14:paraId="2FE6C790">
      <w:pPr>
        <w:ind w:firstLine="480"/>
        <w:rPr>
          <w:color w:val="000000" w:themeColor="text1"/>
          <w:kern w:val="0"/>
          <w:szCs w:val="24"/>
          <w:lang w:val="zh-CN"/>
          <w14:textFill>
            <w14:solidFill>
              <w14:schemeClr w14:val="tx1"/>
            </w14:solidFill>
          </w14:textFill>
        </w:rPr>
      </w:pPr>
      <w:r>
        <w:rPr>
          <w:rFonts w:hint="eastAsia"/>
          <w:color w:val="000000" w:themeColor="text1"/>
          <w14:textFill>
            <w14:solidFill>
              <w14:schemeClr w14:val="tx1"/>
            </w14:solidFill>
          </w14:textFill>
        </w:rPr>
        <w:t>①线路选线比选：本项目作为连接万福寺旅游公路，建设选址和线路走向已取得</w:t>
      </w:r>
      <w:r>
        <w:rPr>
          <w:color w:val="000000" w:themeColor="text1"/>
          <w:lang w:val="zh-CN"/>
          <w14:textFill>
            <w14:solidFill>
              <w14:schemeClr w14:val="tx1"/>
            </w14:solidFill>
          </w14:textFill>
        </w:rPr>
        <w:t>福清市发展和改革局</w:t>
      </w:r>
      <w:r>
        <w:rPr>
          <w:rFonts w:hint="eastAsia"/>
          <w:color w:val="000000" w:themeColor="text1"/>
          <w14:textFill>
            <w14:solidFill>
              <w14:schemeClr w14:val="tx1"/>
            </w14:solidFill>
          </w14:textFill>
        </w:rPr>
        <w:t>、</w:t>
      </w:r>
      <w:r>
        <w:rPr>
          <w:color w:val="000000" w:themeColor="text1"/>
          <w:lang w:val="zh-CN"/>
          <w14:textFill>
            <w14:solidFill>
              <w14:schemeClr w14:val="tx1"/>
            </w14:solidFill>
          </w14:textFill>
        </w:rPr>
        <w:t>福州市交通运输局出具</w:t>
      </w:r>
      <w:r>
        <w:rPr>
          <w:rFonts w:hint="eastAsia"/>
          <w:color w:val="000000" w:themeColor="text1"/>
          <w14:textFill>
            <w14:solidFill>
              <w14:schemeClr w14:val="tx1"/>
            </w14:solidFill>
          </w14:textFill>
        </w:rPr>
        <w:t>、福建省林业局、福清市自然资源局等各相关部门的同意，实施建设。同时，根据比选方案论证，项目推荐线路具有</w:t>
      </w:r>
      <w:r>
        <w:rPr>
          <w:color w:val="000000" w:themeColor="text1"/>
          <w14:textFill>
            <w14:solidFill>
              <w14:schemeClr w14:val="tx1"/>
            </w14:solidFill>
          </w14:textFill>
        </w:rPr>
        <w:t>线形较好</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可实施性更强</w:t>
      </w:r>
      <w:r>
        <w:rPr>
          <w:rFonts w:hint="eastAsia"/>
          <w:color w:val="000000" w:themeColor="text1"/>
          <w14:textFill>
            <w14:solidFill>
              <w14:schemeClr w14:val="tx1"/>
            </w14:solidFill>
          </w14:textFill>
        </w:rPr>
        <w:t>等优点。且方案不涉及占用生态保护红线、基本农田，项目实施对环境影响在采取相应措施后，对环境影响可控，因此从生态保护角度分析，线路选线可行</w:t>
      </w:r>
      <w:r>
        <w:rPr>
          <w:rFonts w:hint="eastAsia"/>
          <w:color w:val="000000" w:themeColor="text1"/>
          <w:kern w:val="0"/>
          <w:szCs w:val="24"/>
          <w:lang w:val="zh-CN"/>
          <w14:textFill>
            <w14:solidFill>
              <w14:schemeClr w14:val="tx1"/>
            </w14:solidFill>
          </w14:textFill>
        </w:rPr>
        <w:t>。</w:t>
      </w:r>
    </w:p>
    <w:p w14:paraId="0FDD396E">
      <w:pPr>
        <w:ind w:firstLine="480"/>
        <w:rPr>
          <w:color w:val="000000" w:themeColor="text1"/>
          <w:kern w:val="0"/>
          <w:szCs w:val="24"/>
          <w:lang w:val="zh-CN"/>
          <w14:textFill>
            <w14:solidFill>
              <w14:schemeClr w14:val="tx1"/>
            </w14:solidFill>
          </w14:textFill>
        </w:rPr>
      </w:pPr>
      <w:r>
        <w:rPr>
          <w:rFonts w:hint="eastAsia"/>
          <w:color w:val="000000" w:themeColor="text1"/>
          <w:kern w:val="0"/>
          <w:szCs w:val="24"/>
          <w:lang w:val="zh-CN"/>
          <w14:textFill>
            <w14:solidFill>
              <w14:schemeClr w14:val="tx1"/>
            </w14:solidFill>
          </w14:textFill>
        </w:rPr>
        <w:t>②用地合理性：</w:t>
      </w:r>
      <w:r>
        <w:rPr>
          <w:rFonts w:hint="eastAsia"/>
          <w:color w:val="000000" w:themeColor="text1"/>
          <w:spacing w:val="-7"/>
          <w14:textFill>
            <w14:solidFill>
              <w14:schemeClr w14:val="tx1"/>
            </w14:solidFill>
          </w14:textFill>
        </w:rPr>
        <w:t>项目总征占地面积16.</w:t>
      </w:r>
      <w:r>
        <w:rPr>
          <w:color w:val="000000" w:themeColor="text1"/>
          <w:spacing w:val="-7"/>
          <w14:textFill>
            <w14:solidFill>
              <w14:schemeClr w14:val="tx1"/>
            </w14:solidFill>
          </w14:textFill>
        </w:rPr>
        <w:t>7067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，其中永久占地 </w:t>
      </w:r>
      <w:r>
        <w:rPr>
          <w:color w:val="000000" w:themeColor="text1"/>
          <w:spacing w:val="-7"/>
          <w14:textFill>
            <w14:solidFill>
              <w14:schemeClr w14:val="tx1"/>
            </w14:solidFill>
          </w14:textFill>
        </w:rPr>
        <w:t>1</w:t>
      </w:r>
      <w:r>
        <w:rPr>
          <w:rFonts w:hint="eastAsia"/>
          <w:color w:val="000000" w:themeColor="text1"/>
          <w:spacing w:val="-7"/>
          <w14:textFill>
            <w14:solidFill>
              <w14:schemeClr w14:val="tx1"/>
            </w14:solidFill>
          </w14:textFill>
        </w:rPr>
        <w:t>4.</w:t>
      </w:r>
      <w:r>
        <w:rPr>
          <w:color w:val="000000" w:themeColor="text1"/>
          <w:spacing w:val="-7"/>
          <w14:textFill>
            <w14:solidFill>
              <w14:schemeClr w14:val="tx1"/>
            </w14:solidFill>
          </w14:textFill>
        </w:rPr>
        <w:t>6617</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rFonts w:hint="eastAsia"/>
          <w:color w:val="000000" w:themeColor="text1"/>
          <w:spacing w:val="-7"/>
          <w14:textFill>
            <w14:solidFill>
              <w14:schemeClr w14:val="tx1"/>
            </w14:solidFill>
          </w14:textFill>
        </w:rPr>
        <w:t xml:space="preserve"> ，临时占地 </w:t>
      </w:r>
      <w:r>
        <w:rPr>
          <w:color w:val="000000" w:themeColor="text1"/>
          <w:spacing w:val="-7"/>
          <w14:textFill>
            <w14:solidFill>
              <w14:schemeClr w14:val="tx1"/>
            </w14:solidFill>
          </w14:textFill>
        </w:rPr>
        <w:t>2.045</w:t>
      </w:r>
      <w:r>
        <w:rPr>
          <w:rFonts w:hint="eastAsia"/>
          <w:color w:val="000000" w:themeColor="text1"/>
          <w:spacing w:val="-7"/>
          <w14:textFill>
            <w14:solidFill>
              <w14:schemeClr w14:val="tx1"/>
            </w14:solidFill>
          </w14:textFill>
        </w:rPr>
        <w:t>hm</w:t>
      </w:r>
      <w:r>
        <w:rPr>
          <w:rFonts w:hint="eastAsia"/>
          <w:color w:val="000000" w:themeColor="text1"/>
          <w:spacing w:val="-7"/>
          <w:vertAlign w:val="superscript"/>
          <w14:textFill>
            <w14:solidFill>
              <w14:schemeClr w14:val="tx1"/>
            </w14:solidFill>
          </w14:textFill>
        </w:rPr>
        <w:t>2</w:t>
      </w:r>
      <w:r>
        <w:rPr>
          <w:color w:val="000000" w:themeColor="text1"/>
          <w:spacing w:val="-2"/>
          <w14:textFill>
            <w14:solidFill>
              <w14:schemeClr w14:val="tx1"/>
            </w14:solidFill>
          </w14:textFill>
        </w:rPr>
        <w:t>，主要占地面积为</w:t>
      </w:r>
      <w:r>
        <w:rPr>
          <w:rFonts w:hint="eastAsia"/>
          <w:color w:val="000000" w:themeColor="text1"/>
          <w:spacing w:val="-2"/>
          <w14:textFill>
            <w14:solidFill>
              <w14:schemeClr w14:val="tx1"/>
            </w14:solidFill>
          </w14:textFill>
        </w:rPr>
        <w:t>耕地</w:t>
      </w:r>
      <w:r>
        <w:rPr>
          <w:color w:val="000000" w:themeColor="text1"/>
          <w:spacing w:val="-2"/>
          <w14:textFill>
            <w14:solidFill>
              <w14:schemeClr w14:val="tx1"/>
            </w14:solidFill>
          </w14:textFill>
        </w:rPr>
        <w:t>、林地、园地、建设用地，不涉及</w:t>
      </w:r>
      <w:r>
        <w:rPr>
          <w:rFonts w:hint="eastAsia"/>
          <w:color w:val="000000" w:themeColor="text1"/>
          <w:spacing w:val="-2"/>
          <w14:textFill>
            <w14:solidFill>
              <w14:schemeClr w14:val="tx1"/>
            </w14:solidFill>
          </w14:textFill>
        </w:rPr>
        <w:t>生态保护红线和</w:t>
      </w:r>
      <w:r>
        <w:rPr>
          <w:color w:val="000000" w:themeColor="text1"/>
          <w:spacing w:val="-2"/>
          <w14:textFill>
            <w14:solidFill>
              <w14:schemeClr w14:val="tx1"/>
            </w14:solidFill>
          </w14:textFill>
        </w:rPr>
        <w:t>基本农田，</w:t>
      </w:r>
      <w:r>
        <w:rPr>
          <w:rFonts w:hint="eastAsia"/>
          <w:color w:val="000000" w:themeColor="text1"/>
          <w14:textFill>
            <w14:solidFill>
              <w14:schemeClr w14:val="tx1"/>
            </w14:solidFill>
          </w14:textFill>
        </w:rPr>
        <w:t>项目已取得用地预审和选址意见书和林地审核同意书。</w:t>
      </w:r>
    </w:p>
    <w:p w14:paraId="1BC76652">
      <w:pPr>
        <w:ind w:firstLine="480"/>
        <w:rPr>
          <w:color w:val="000000" w:themeColor="text1"/>
          <w14:textFill>
            <w14:solidFill>
              <w14:schemeClr w14:val="tx1"/>
            </w14:solidFill>
          </w14:textFill>
        </w:rPr>
      </w:pPr>
      <w:r>
        <w:rPr>
          <w:rFonts w:hint="eastAsia"/>
          <w:color w:val="000000" w:themeColor="text1"/>
          <w:kern w:val="0"/>
          <w:szCs w:val="24"/>
          <w:lang w:val="zh-CN"/>
          <w14:textFill>
            <w14:solidFill>
              <w14:schemeClr w14:val="tx1"/>
            </w14:solidFill>
          </w14:textFill>
        </w:rPr>
        <w:t>③</w:t>
      </w:r>
      <w:r>
        <w:rPr>
          <w:rFonts w:hint="eastAsia"/>
          <w:color w:val="000000" w:themeColor="text1"/>
          <w14:textFill>
            <w14:solidFill>
              <w14:schemeClr w14:val="tx1"/>
            </w14:solidFill>
          </w14:textFill>
        </w:rPr>
        <w:t>临时占地选址合理性：项目临时占地不涉及生态敏感目标，符合国土空间规划中“三区三线”。施工结束后对施工迹地进行恢复</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项目</w:t>
      </w:r>
      <w:r>
        <w:rPr>
          <w:color w:val="000000" w:themeColor="text1"/>
          <w14:textFill>
            <w14:solidFill>
              <w14:schemeClr w14:val="tx1"/>
            </w14:solidFill>
          </w14:textFill>
        </w:rPr>
        <w:t>施工场地设置</w:t>
      </w:r>
      <w:r>
        <w:rPr>
          <w:rFonts w:hint="eastAsia"/>
          <w:color w:val="000000" w:themeColor="text1"/>
          <w14:textFill>
            <w14:solidFill>
              <w14:schemeClr w14:val="tx1"/>
            </w14:solidFill>
          </w14:textFill>
        </w:rPr>
        <w:t>基本</w:t>
      </w:r>
      <w:r>
        <w:rPr>
          <w:color w:val="000000" w:themeColor="text1"/>
          <w14:textFill>
            <w14:solidFill>
              <w14:schemeClr w14:val="tx1"/>
            </w14:solidFill>
          </w14:textFill>
        </w:rPr>
        <w:t>合理。</w:t>
      </w:r>
    </w:p>
    <w:p w14:paraId="6B8BB639">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④项目占地不涉及自然保护区、世界文化和自然遗产地等特殊生态敏感区，不涉及生态保护红线、水源保护区等生态敏感区，不涉及重要湿地，但</w:t>
      </w:r>
      <w:r>
        <w:rPr>
          <w:rFonts w:hint="eastAsia"/>
          <w:color w:val="000000" w:themeColor="text1"/>
          <w:spacing w:val="-2"/>
          <w14:textFill>
            <w14:solidFill>
              <w14:schemeClr w14:val="tx1"/>
            </w14:solidFill>
          </w14:textFill>
        </w:rPr>
        <w:t>线路</w:t>
      </w:r>
      <w:r>
        <w:rPr>
          <w:rFonts w:hint="eastAsia"/>
          <w:color w:val="000000" w:themeColor="text1"/>
          <w14:textFill>
            <w14:solidFill>
              <w14:schemeClr w14:val="tx1"/>
            </w14:solidFill>
          </w14:textFill>
        </w:rPr>
        <w:t>涉及生态公益林（</w:t>
      </w:r>
      <w:r>
        <w:rPr>
          <w:color w:val="000000" w:themeColor="text1"/>
          <w14:textFill>
            <w14:solidFill>
              <w14:schemeClr w14:val="tx1"/>
            </w14:solidFill>
          </w14:textFill>
        </w:rPr>
        <w:t>0.5538</w:t>
      </w:r>
      <w:r>
        <w:rPr>
          <w:rFonts w:hint="eastAsia"/>
          <w:color w:val="000000" w:themeColor="text1"/>
          <w14:textFill>
            <w14:solidFill>
              <w14:schemeClr w14:val="tx1"/>
            </w14:solidFill>
          </w14:textFill>
        </w:rPr>
        <w:t>hm</w:t>
      </w:r>
      <w:r>
        <w:rPr>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）和一般湿地。</w:t>
      </w:r>
      <w:r>
        <w:rPr>
          <w:color w:val="000000" w:themeColor="text1"/>
          <w14:textFill>
            <w14:solidFill>
              <w14:schemeClr w14:val="tx1"/>
            </w14:solidFill>
          </w14:textFill>
        </w:rPr>
        <w:t>工程作为</w:t>
      </w:r>
      <w:r>
        <w:rPr>
          <w:rFonts w:hint="eastAsia"/>
          <w:color w:val="000000" w:themeColor="text1"/>
          <w14:textFill>
            <w14:solidFill>
              <w14:schemeClr w14:val="tx1"/>
            </w14:solidFill>
          </w14:textFill>
        </w:rPr>
        <w:t>区域交通基础设施</w:t>
      </w:r>
      <w:r>
        <w:rPr>
          <w:color w:val="000000" w:themeColor="text1"/>
          <w14:textFill>
            <w14:solidFill>
              <w14:schemeClr w14:val="tx1"/>
            </w14:solidFill>
          </w14:textFill>
        </w:rPr>
        <w:t>项目，</w:t>
      </w:r>
      <w:r>
        <w:rPr>
          <w:rFonts w:hint="eastAsia"/>
          <w:color w:val="000000" w:themeColor="text1"/>
          <w14:textFill>
            <w14:solidFill>
              <w14:schemeClr w14:val="tx1"/>
            </w14:solidFill>
          </w14:textFill>
        </w:rPr>
        <w:t>占用生态公益林面积相对福清市总体比例很小，不会损害其主导生态功能的持续发挥，对其整体生态服务能力影响不大；同时通过对拟建公路所经生态公益林现场调查，各林区附近有与拟占用生态公益林结构类似或更优的相同植被类型的分布，经“占一补一”后，区域生态公益林的生态服务能力不会有较大变化。202</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年8月，福建省林业局批复了使用林地审核同意书，同意本项目使用林地。因此，本项目符合</w:t>
      </w:r>
      <w:r>
        <w:rPr>
          <w:color w:val="000000" w:themeColor="text1"/>
          <w14:textFill>
            <w14:solidFill>
              <w14:schemeClr w14:val="tx1"/>
            </w14:solidFill>
          </w14:textFill>
        </w:rPr>
        <w:t>生态公益林</w:t>
      </w:r>
      <w:r>
        <w:rPr>
          <w:rFonts w:hint="eastAsia"/>
          <w:color w:val="000000" w:themeColor="text1"/>
          <w14:textFill>
            <w14:solidFill>
              <w14:schemeClr w14:val="tx1"/>
            </w14:solidFill>
          </w14:textFill>
        </w:rPr>
        <w:t>保护要求。</w:t>
      </w:r>
    </w:p>
    <w:p w14:paraId="34515A03">
      <w:pPr>
        <w:ind w:firstLine="480"/>
        <w:rPr>
          <w:color w:val="000000" w:themeColor="text1"/>
          <w14:textFill>
            <w14:solidFill>
              <w14:schemeClr w14:val="tx1"/>
            </w14:solidFill>
          </w14:textFill>
        </w:rPr>
      </w:pPr>
      <w:r>
        <w:rPr>
          <w:rFonts w:cs="Times New Roman"/>
          <w:color w:val="000000" w:themeColor="text1"/>
          <w:kern w:val="0"/>
          <w:szCs w:val="24"/>
          <w:lang w:val="zh-CN"/>
          <w14:textFill>
            <w14:solidFill>
              <w14:schemeClr w14:val="tx1"/>
            </w14:solidFill>
          </w14:textFill>
        </w:rPr>
        <w:t>项目涉及占用一般湿地面积9060</w:t>
      </w:r>
      <w:r>
        <w:rPr>
          <w:rFonts w:hint="eastAsia" w:cs="Times New Roman"/>
          <w:color w:val="000000" w:themeColor="text1"/>
          <w:kern w:val="0"/>
          <w:szCs w:val="24"/>
          <w:lang w:val="zh-CN"/>
          <w14:textFill>
            <w14:solidFill>
              <w14:schemeClr w14:val="tx1"/>
            </w14:solidFill>
          </w14:textFill>
        </w:rPr>
        <w:t>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（其中：一般湿地名录面积697</w:t>
      </w:r>
      <w:r>
        <w:rPr>
          <w:rFonts w:hint="eastAsia" w:cs="Times New Roman"/>
          <w:color w:val="000000" w:themeColor="text1"/>
          <w:kern w:val="0"/>
          <w:szCs w:val="24"/>
          <w:lang w:val="zh-CN"/>
          <w14:textFill>
            <w14:solidFill>
              <w14:schemeClr w14:val="tx1"/>
            </w14:solidFill>
          </w14:textFill>
        </w:rPr>
        <w:t xml:space="preserve"> m</w:t>
      </w:r>
      <w:r>
        <w:rPr>
          <w:rFonts w:cs="Times New Roman"/>
          <w:color w:val="000000" w:themeColor="text1"/>
          <w:kern w:val="0"/>
          <w:szCs w:val="24"/>
          <w:vertAlign w:val="superscript"/>
          <w:lang w:val="zh-CN"/>
          <w14:textFill>
            <w14:solidFill>
              <w14:schemeClr w14:val="tx1"/>
            </w14:solidFill>
          </w14:textFill>
        </w:rPr>
        <w:t>2</w:t>
      </w:r>
      <w:r>
        <w:rPr>
          <w:rFonts w:cs="Times New Roman"/>
          <w:color w:val="000000" w:themeColor="text1"/>
          <w:kern w:val="0"/>
          <w:szCs w:val="24"/>
          <w:lang w:val="zh-CN"/>
          <w14:textFill>
            <w14:solidFill>
              <w14:schemeClr w14:val="tx1"/>
            </w14:solidFill>
          </w14:textFill>
        </w:rPr>
        <w:t>），类型为沟渠、河流水面、坑塘水面和内陆滩涂</w:t>
      </w:r>
      <w:r>
        <w:rPr>
          <w:rFonts w:hint="eastAsia" w:cs="Times New Roman"/>
          <w:color w:val="000000" w:themeColor="text1"/>
          <w:kern w:val="0"/>
          <w:szCs w:val="24"/>
          <w:lang w:val="zh-CN"/>
          <w14:textFill>
            <w14:solidFill>
              <w14:schemeClr w14:val="tx1"/>
            </w14:solidFill>
          </w14:textFill>
        </w:rPr>
        <w:t>，</w:t>
      </w:r>
      <w:r>
        <w:rPr>
          <w:rFonts w:hint="eastAsia"/>
          <w:color w:val="000000" w:themeColor="text1"/>
          <w14:textFill>
            <w14:solidFill>
              <w14:schemeClr w14:val="tx1"/>
            </w14:solidFill>
          </w14:textFill>
        </w:rPr>
        <w:t>项目已取得《</w:t>
      </w:r>
      <w:r>
        <w:rPr>
          <w:rFonts w:cs="Times New Roman"/>
          <w:color w:val="000000" w:themeColor="text1"/>
          <w:kern w:val="0"/>
          <w:szCs w:val="24"/>
          <w:lang w:val="zh-CN"/>
          <w14:textFill>
            <w14:solidFill>
              <w14:schemeClr w14:val="tx1"/>
            </w14:solidFill>
          </w14:textFill>
        </w:rPr>
        <w:t>福清市自然资源和规划局关于黄檗山万福寺旅游公路项目使用湿地的意见函</w:t>
      </w:r>
      <w:r>
        <w:rPr>
          <w:rFonts w:hint="eastAsia"/>
          <w:color w:val="000000" w:themeColor="text1"/>
          <w14:textFill>
            <w14:solidFill>
              <w14:schemeClr w14:val="tx1"/>
            </w14:solidFill>
          </w14:textFill>
        </w:rPr>
        <w:t>》</w:t>
      </w:r>
      <w:r>
        <w:rPr>
          <w:rFonts w:cs="Times New Roman"/>
          <w:color w:val="000000" w:themeColor="text1"/>
          <w:kern w:val="0"/>
          <w:szCs w:val="24"/>
          <w:lang w:val="zh-CN"/>
          <w14:textFill>
            <w14:solidFill>
              <w14:schemeClr w14:val="tx1"/>
            </w14:solidFill>
          </w14:textFill>
        </w:rPr>
        <w:t>融自然函</w:t>
      </w:r>
      <w:bookmarkStart w:id="1061" w:name="hmcheck_b024a508638d498f85422d41b6542ef2"/>
      <w:r>
        <w:rPr>
          <w:rFonts w:cs="Times New Roman"/>
          <w:color w:val="000000" w:themeColor="text1"/>
          <w:kern w:val="0"/>
          <w:szCs w:val="24"/>
          <w:shd w:val="clear" w:fill="FFAFAA"/>
          <w:lang w:val="zh-CN"/>
          <w14:textFill>
            <w14:solidFill>
              <w14:schemeClr w14:val="tx1"/>
            </w14:solidFill>
          </w14:textFill>
        </w:rPr>
        <w:t>（2024</w:t>
      </w:r>
      <w:r>
        <w:rPr>
          <w:rFonts w:hint="eastAsia" w:cs="Times New Roman"/>
          <w:color w:val="000000" w:themeColor="text1"/>
          <w:kern w:val="0"/>
          <w:szCs w:val="24"/>
          <w:shd w:val="clear" w:fill="FFAFAA"/>
          <w:lang w:val="zh-CN"/>
          <w14:textFill>
            <w14:solidFill>
              <w14:schemeClr w14:val="tx1"/>
            </w14:solidFill>
          </w14:textFill>
        </w:rPr>
        <w:t>）</w:t>
      </w:r>
      <w:bookmarkEnd w:id="1061"/>
      <w:r>
        <w:rPr>
          <w:rFonts w:cs="Times New Roman"/>
          <w:color w:val="000000" w:themeColor="text1"/>
          <w:kern w:val="0"/>
          <w:szCs w:val="24"/>
          <w:lang w:val="zh-CN"/>
          <w14:textFill>
            <w14:solidFill>
              <w14:schemeClr w14:val="tx1"/>
            </w14:solidFill>
          </w14:textFill>
        </w:rPr>
        <w:t>723 号</w:t>
      </w:r>
      <w:r>
        <w:rPr>
          <w:rFonts w:hint="eastAsia"/>
          <w:color w:val="000000" w:themeColor="text1"/>
          <w14:textFill>
            <w14:solidFill>
              <w14:schemeClr w14:val="tx1"/>
            </w14:solidFill>
          </w14:textFill>
        </w:rPr>
        <w:t>）、</w:t>
      </w:r>
      <w:r>
        <w:rPr>
          <w:rFonts w:cs="Times New Roman"/>
          <w:color w:val="000000" w:themeColor="text1"/>
          <w:kern w:val="0"/>
          <w:szCs w:val="24"/>
          <w:lang w:val="zh-CN"/>
          <w14:textFill>
            <w14:solidFill>
              <w14:schemeClr w14:val="tx1"/>
            </w14:solidFill>
          </w14:textFill>
        </w:rPr>
        <w:t>福清市水利局《关于同意黄檗山万福寺旅游公路项目使用河流水面、内陆滩涂、坑塘水面和沟渠的意见》（融水利</w:t>
      </w:r>
      <w:r>
        <w:rPr>
          <w:rFonts w:hint="eastAsia" w:cs="Times New Roman"/>
          <w:color w:val="000000" w:themeColor="text1"/>
          <w:kern w:val="0"/>
          <w:szCs w:val="24"/>
          <w:lang w:val="zh-CN"/>
          <w14:textFill>
            <w14:solidFill>
              <w14:schemeClr w14:val="tx1"/>
            </w14:solidFill>
          </w14:textFill>
        </w:rPr>
        <w:t>〔2024〕582号</w:t>
      </w:r>
      <w:r>
        <w:rPr>
          <w:rFonts w:cs="Times New Roman"/>
          <w:color w:val="000000" w:themeColor="text1"/>
          <w:kern w:val="0"/>
          <w:szCs w:val="24"/>
          <w:lang w:val="zh-CN"/>
          <w14:textFill>
            <w14:solidFill>
              <w14:schemeClr w14:val="tx1"/>
            </w14:solidFill>
          </w14:textFill>
        </w:rPr>
        <w:t>）</w:t>
      </w:r>
      <w:r>
        <w:rPr>
          <w:rFonts w:hint="eastAsia"/>
          <w:color w:val="000000" w:themeColor="text1"/>
          <w14:textFill>
            <w14:solidFill>
              <w14:schemeClr w14:val="tx1"/>
            </w14:solidFill>
          </w14:textFill>
        </w:rPr>
        <w:t>：原则同意该项目占用湿地。因此，项目建设与《中华人民共和国湿地保护法》《福建省湿地保护条例》不相冲突。</w:t>
      </w:r>
    </w:p>
    <w:p w14:paraId="0BE82F38">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⑤本项目选址选线不涉及生态保护红线，基本农田，符合国土空间规划的“三区三线”，符合国土空间规划要求。</w:t>
      </w:r>
    </w:p>
    <w:p w14:paraId="5C2CA42D">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（3）相关规划符合性分析结论</w:t>
      </w:r>
    </w:p>
    <w:p w14:paraId="6F6BC813">
      <w:pPr>
        <w:ind w:firstLine="480"/>
        <w:rPr>
          <w:color w:val="000000" w:themeColor="text1"/>
          <w14:textFill>
            <w14:solidFill>
              <w14:schemeClr w14:val="tx1"/>
            </w14:solidFill>
          </w14:textFill>
        </w:rPr>
      </w:pPr>
      <w:r>
        <w:rPr>
          <w:color w:val="000000" w:themeColor="text1"/>
          <w14:textFill>
            <w14:solidFill>
              <w14:schemeClr w14:val="tx1"/>
            </w14:solidFill>
          </w14:textFill>
        </w:rPr>
        <w:t>本工程</w:t>
      </w:r>
      <w:r>
        <w:rPr>
          <w:rFonts w:hint="eastAsia" w:cs="Times New Roman"/>
          <w:color w:val="000000" w:themeColor="text1"/>
          <w:shd w:val="clear" w:color="auto" w:fill="FFFFFF"/>
          <w14:textFill>
            <w14:solidFill>
              <w14:schemeClr w14:val="tx1"/>
            </w14:solidFill>
          </w14:textFill>
        </w:rPr>
        <w:t>路线起于上迳镇牌边村，终点至黄檗山万福寺</w:t>
      </w:r>
      <w:r>
        <w:rPr>
          <w:rFonts w:hint="eastAsia"/>
          <w:color w:val="000000" w:themeColor="text1"/>
          <w14:textFill>
            <w14:solidFill>
              <w14:schemeClr w14:val="tx1"/>
            </w14:solidFill>
          </w14:textFill>
        </w:rPr>
        <w:t>。项目属于基础设施建设项目，有助于改善区域交通条件，符合国土空间规划的主体功能区划要求。经核对及叠图分析，项目永久占地、临时占地均不涉及基本农田和生态保护红线，不会造成生态保护红线生态功能降低、面积减少、性质的改变，对生态红线区域环境影响较小，符合</w:t>
      </w:r>
      <w:bookmarkStart w:id="1062" w:name="hmcheck_8451f3a02240492091f3ed3102094aca"/>
      <w:r>
        <w:rPr>
          <w:rFonts w:hint="eastAsia"/>
          <w:color w:val="000000" w:themeColor="text1"/>
          <w:shd w:val="clear" w:fill="FFAFAA"/>
          <w14:textFill>
            <w14:solidFill>
              <w14:schemeClr w14:val="tx1"/>
            </w14:solidFill>
          </w14:textFill>
        </w:rPr>
        <w:t>三区三线</w:t>
      </w:r>
      <w:bookmarkEnd w:id="1062"/>
      <w:r>
        <w:rPr>
          <w:rFonts w:hint="eastAsia"/>
          <w:color w:val="000000" w:themeColor="text1"/>
          <w14:textFill>
            <w14:solidFill>
              <w14:schemeClr w14:val="tx1"/>
            </w14:solidFill>
          </w14:textFill>
        </w:rPr>
        <w:t>要求。</w:t>
      </w:r>
    </w:p>
    <w:p w14:paraId="398A28B2">
      <w:pPr>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（4） “三线一单”符合性分析结论</w:t>
      </w:r>
    </w:p>
    <w:p w14:paraId="6768E3C3">
      <w:pPr>
        <w:ind w:firstLine="480"/>
        <w:rPr>
          <w:color w:val="000000" w:themeColor="text1"/>
          <w14:textFill>
            <w14:solidFill>
              <w14:schemeClr w14:val="tx1"/>
            </w14:solidFill>
          </w14:textFill>
        </w:rPr>
      </w:pPr>
      <w:r>
        <w:rPr>
          <w:color w:val="000000" w:themeColor="text1"/>
          <w14:textFill>
            <w14:solidFill>
              <w14:schemeClr w14:val="tx1"/>
            </w14:solidFill>
          </w14:textFill>
        </w:rPr>
        <w:t>根据</w:t>
      </w:r>
      <w:r>
        <w:rPr>
          <w:rFonts w:hint="eastAsia"/>
          <w:color w:val="000000" w:themeColor="text1"/>
          <w14:textFill>
            <w14:solidFill>
              <w14:schemeClr w14:val="tx1"/>
            </w14:solidFill>
          </w14:textFill>
        </w:rPr>
        <w:t>《福州市生态环境分区管控方案（2023年更新）》（榕政办规〔2024〕20号）结合</w:t>
      </w:r>
      <w:r>
        <w:rPr>
          <w:rFonts w:cs="Times New Roman"/>
          <w:color w:val="000000" w:themeColor="text1"/>
          <w:spacing w:val="-6"/>
          <w:szCs w:val="24"/>
          <w14:textFill>
            <w14:solidFill>
              <w14:schemeClr w14:val="tx1"/>
            </w14:solidFill>
          </w14:textFill>
        </w:rPr>
        <w:t>福建省生态云平台查询结果，本项目</w:t>
      </w:r>
      <w:r>
        <w:rPr>
          <w:rFonts w:hint="eastAsia" w:cs="Times New Roman"/>
          <w:color w:val="000000" w:themeColor="text1"/>
          <w:spacing w:val="-6"/>
          <w:szCs w:val="24"/>
          <w14:textFill>
            <w14:solidFill>
              <w14:schemeClr w14:val="tx1"/>
            </w14:solidFill>
          </w14:textFill>
        </w:rPr>
        <w:t>占地范围</w:t>
      </w:r>
      <w:r>
        <w:rPr>
          <w:rFonts w:hint="eastAsia"/>
          <w:color w:val="000000" w:themeColor="text1"/>
          <w14:textFill>
            <w14:solidFill>
              <w14:schemeClr w14:val="tx1"/>
            </w14:solidFill>
          </w14:textFill>
        </w:rPr>
        <w:t>项目涉及优先保护单元</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个，一般管控单元</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个，重点管控单元1个，分别为</w:t>
      </w:r>
      <w:r>
        <w:rPr>
          <w:rFonts w:hint="eastAsia" w:cs="Times New Roman"/>
          <w:color w:val="000000" w:themeColor="text1"/>
          <w:spacing w:val="-6"/>
          <w:szCs w:val="24"/>
          <w14:textFill>
            <w14:solidFill>
              <w14:schemeClr w14:val="tx1"/>
            </w14:solidFill>
          </w14:textFill>
        </w:rPr>
        <w:t>福清市一般生态空间</w:t>
      </w:r>
      <w:bookmarkStart w:id="1063" w:name="hmcheck_a7f0d02403124b749de534c4e5a5cf5a"/>
      <w:r>
        <w:rPr>
          <w:rFonts w:hint="eastAsia" w:cs="Times New Roman"/>
          <w:color w:val="000000" w:themeColor="text1"/>
          <w:spacing w:val="-6"/>
          <w:szCs w:val="24"/>
          <w:shd w:val="clear" w:fill="FFAFAA"/>
          <w14:textFill>
            <w14:solidFill>
              <w14:schemeClr w14:val="tx1"/>
            </w14:solidFill>
          </w14:textFill>
        </w:rPr>
        <w:t>-</w:t>
      </w:r>
      <w:bookmarkEnd w:id="1063"/>
      <w:r>
        <w:rPr>
          <w:rFonts w:hint="eastAsia" w:cs="Times New Roman"/>
          <w:color w:val="000000" w:themeColor="text1"/>
          <w:spacing w:val="-6"/>
          <w:szCs w:val="24"/>
          <w14:textFill>
            <w14:solidFill>
              <w14:schemeClr w14:val="tx1"/>
            </w14:solidFill>
          </w14:textFill>
        </w:rPr>
        <w:t>水土保持生态功能重要区域，福清市重点管控单元1，福清市一般管控单元</w:t>
      </w:r>
      <w:r>
        <w:rPr>
          <w:rFonts w:cs="Times New Roman"/>
          <w:color w:val="000000" w:themeColor="text1"/>
          <w:spacing w:val="-6"/>
          <w:szCs w:val="24"/>
          <w14:textFill>
            <w14:solidFill>
              <w14:schemeClr w14:val="tx1"/>
            </w14:solidFill>
          </w14:textFill>
        </w:rPr>
        <w:t>。</w:t>
      </w:r>
      <w:r>
        <w:rPr>
          <w:rFonts w:hint="eastAsia"/>
          <w:color w:val="000000" w:themeColor="text1"/>
          <w14:textFill>
            <w14:solidFill>
              <w14:schemeClr w14:val="tx1"/>
            </w14:solidFill>
          </w14:textFill>
        </w:rPr>
        <w:t>经分析，本项目属于旅游公路（二级公路），符合国家产业政策要求，经对照生态环境分区管控方案的管控要求，项目所属行业、规划选址及环境保护措施等均满足准入基本条件。</w:t>
      </w:r>
    </w:p>
    <w:p w14:paraId="334A8D29">
      <w:pPr>
        <w:pStyle w:val="116"/>
        <w:rPr>
          <w:color w:val="000000" w:themeColor="text1"/>
          <w14:textFill>
            <w14:solidFill>
              <w14:schemeClr w14:val="tx1"/>
            </w14:solidFill>
          </w14:textFill>
        </w:rPr>
      </w:pPr>
      <w:bookmarkStart w:id="1064" w:name="_Toc193912414"/>
      <w:bookmarkStart w:id="1065" w:name="_Toc113303430"/>
      <w:bookmarkStart w:id="1066" w:name="_Toc159405508"/>
      <w:bookmarkStart w:id="1067" w:name="_Toc154668085"/>
      <w:bookmarkStart w:id="1068" w:name="_Toc153957864"/>
      <w:bookmarkStart w:id="1069" w:name="_Toc146525012"/>
      <w:r>
        <w:rPr>
          <w:rFonts w:hint="eastAsia"/>
          <w:color w:val="000000" w:themeColor="text1"/>
          <w14:textFill>
            <w14:solidFill>
              <w14:schemeClr w14:val="tx1"/>
            </w14:solidFill>
          </w14:textFill>
        </w:rPr>
        <w:t>公众意见采纳情况</w:t>
      </w:r>
      <w:bookmarkEnd w:id="1064"/>
      <w:bookmarkEnd w:id="1065"/>
      <w:bookmarkEnd w:id="1066"/>
      <w:bookmarkEnd w:id="1067"/>
      <w:bookmarkEnd w:id="1068"/>
      <w:bookmarkEnd w:id="1069"/>
    </w:p>
    <w:p w14:paraId="0052A4B9">
      <w:pPr>
        <w:wordWrap w:val="0"/>
        <w:ind w:firstLine="480"/>
        <w:rPr>
          <w:rFonts w:cs="Times New Roman"/>
          <w:color w:val="000000" w:themeColor="text1"/>
          <w:szCs w:val="24"/>
          <w14:textFill>
            <w14:solidFill>
              <w14:schemeClr w14:val="tx1"/>
            </w14:solidFill>
          </w14:textFill>
        </w:rPr>
      </w:pPr>
      <w:bookmarkStart w:id="1070" w:name="_Toc113303431"/>
      <w:r>
        <w:rPr>
          <w:rFonts w:cs="Times New Roman"/>
          <w:color w:val="000000" w:themeColor="text1"/>
          <w:szCs w:val="24"/>
          <w14:textFill>
            <w14:solidFill>
              <w14:schemeClr w14:val="tx1"/>
            </w14:solidFill>
          </w14:textFill>
        </w:rPr>
        <w:t>建设单位在确定环境影响报告书编制单位后，于2025年1月13日通过</w:t>
      </w:r>
      <w:r>
        <w:rPr>
          <w:rFonts w:hint="eastAsia" w:cs="Times New Roman"/>
          <w:color w:val="000000" w:themeColor="text1"/>
          <w:szCs w:val="24"/>
          <w14:textFill>
            <w14:solidFill>
              <w14:schemeClr w14:val="tx1"/>
            </w14:solidFill>
          </w14:textFill>
        </w:rPr>
        <w:t>福清市人民政府网（</w:t>
      </w:r>
      <w:r>
        <w:rPr>
          <w:color w:val="000000" w:themeColor="text1"/>
          <w14:textFill>
            <w14:solidFill>
              <w14:schemeClr w14:val="tx1"/>
            </w14:solidFill>
          </w14:textFill>
        </w:rPr>
        <w:t>http://www.fuqing.gov.cn/xjwz/zwgk/gggs/shswgg/202501/t20250113_4960573.htm</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上发布本项目环评首次公示，2025年3月13日，我司编制完成《</w:t>
      </w:r>
      <w:r>
        <w:rPr>
          <w:rFonts w:hint="eastAsia" w:cs="Times New Roman"/>
          <w:color w:val="000000" w:themeColor="text1"/>
          <w:szCs w:val="24"/>
          <w14:textFill>
            <w14:solidFill>
              <w14:schemeClr w14:val="tx1"/>
            </w14:solidFill>
          </w14:textFill>
        </w:rPr>
        <w:t>黄檗山万福寺旅游公路</w:t>
      </w:r>
      <w:r>
        <w:rPr>
          <w:rFonts w:cs="Times New Roman"/>
          <w:color w:val="000000" w:themeColor="text1"/>
          <w:szCs w:val="24"/>
          <w14:textFill>
            <w14:solidFill>
              <w14:schemeClr w14:val="tx1"/>
            </w14:solidFill>
          </w14:textFill>
        </w:rPr>
        <w:t>环境影响报告书》（征求意见稿）后，建设单位于2025年3月13日</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2025年3月26日通过</w:t>
      </w:r>
      <w:r>
        <w:rPr>
          <w:rFonts w:hint="eastAsia" w:cs="Times New Roman"/>
          <w:color w:val="000000" w:themeColor="text1"/>
          <w:szCs w:val="24"/>
          <w14:textFill>
            <w14:solidFill>
              <w14:schemeClr w14:val="tx1"/>
            </w14:solidFill>
          </w14:textFill>
        </w:rPr>
        <w:t>福清市人民政府网</w:t>
      </w:r>
      <w:r>
        <w:rPr>
          <w:rFonts w:cs="Times New Roman"/>
          <w:color w:val="000000" w:themeColor="text1"/>
          <w:szCs w:val="24"/>
          <w14:textFill>
            <w14:solidFill>
              <w14:schemeClr w14:val="tx1"/>
            </w14:solidFill>
          </w14:textFill>
        </w:rPr>
        <w:t>（http://www.fuqing.gov.cn/xjwz/zwgk/gggs/shswgg/202503/t20250313_4988706.htm）发布了本项目征求意见稿电子版网络公示，分别于</w:t>
      </w:r>
      <w:r>
        <w:rPr>
          <w:rFonts w:hint="eastAsia" w:cs="Times New Roman"/>
          <w:color w:val="000000" w:themeColor="text1"/>
          <w:szCs w:val="24"/>
          <w14:textFill>
            <w14:solidFill>
              <w14:schemeClr w14:val="tx1"/>
            </w14:solidFill>
          </w14:textFill>
        </w:rPr>
        <w:t>2025年3月14日和3月18日</w:t>
      </w:r>
      <w:r>
        <w:rPr>
          <w:rFonts w:cs="Times New Roman"/>
          <w:color w:val="000000" w:themeColor="text1"/>
          <w:szCs w:val="24"/>
          <w14:textFill>
            <w14:solidFill>
              <w14:schemeClr w14:val="tx1"/>
            </w14:solidFill>
          </w14:textFill>
        </w:rPr>
        <w:t>在</w:t>
      </w:r>
      <w:r>
        <w:rPr>
          <w:rFonts w:hint="eastAsia" w:cs="Times New Roman"/>
          <w:color w:val="000000" w:themeColor="text1"/>
          <w:szCs w:val="24"/>
          <w14:textFill>
            <w14:solidFill>
              <w14:schemeClr w14:val="tx1"/>
            </w14:solidFill>
          </w14:textFill>
        </w:rPr>
        <w:t>海峡导报</w:t>
      </w:r>
      <w:r>
        <w:rPr>
          <w:rFonts w:cs="Times New Roman"/>
          <w:color w:val="000000" w:themeColor="text1"/>
          <w:szCs w:val="24"/>
          <w14:textFill>
            <w14:solidFill>
              <w14:schemeClr w14:val="tx1"/>
            </w14:solidFill>
          </w14:textFill>
        </w:rPr>
        <w:t>上发布公示， 2025年3月13日</w:t>
      </w:r>
      <w:r>
        <w:rPr>
          <w:rFonts w:hint="eastAsia" w:cs="Times New Roman"/>
          <w:color w:val="000000" w:themeColor="text1"/>
          <w:szCs w:val="24"/>
          <w14:textFill>
            <w14:solidFill>
              <w14:schemeClr w14:val="tx1"/>
            </w14:solidFill>
          </w14:textFill>
        </w:rPr>
        <w:t>～</w:t>
      </w:r>
      <w:r>
        <w:rPr>
          <w:rFonts w:cs="Times New Roman"/>
          <w:color w:val="000000" w:themeColor="text1"/>
          <w:szCs w:val="24"/>
          <w14:textFill>
            <w14:solidFill>
              <w14:schemeClr w14:val="tx1"/>
            </w14:solidFill>
          </w14:textFill>
        </w:rPr>
        <w:t>2025年3月26日</w:t>
      </w:r>
      <w:r>
        <w:rPr>
          <w:rFonts w:hint="eastAsia" w:cs="Times New Roman"/>
          <w:color w:val="000000" w:themeColor="text1"/>
          <w:szCs w:val="24"/>
          <w14:textFill>
            <w14:solidFill>
              <w14:schemeClr w14:val="tx1"/>
            </w14:solidFill>
          </w14:textFill>
        </w:rPr>
        <w:t>期间</w:t>
      </w:r>
      <w:r>
        <w:rPr>
          <w:rFonts w:cs="Times New Roman"/>
          <w:color w:val="000000" w:themeColor="text1"/>
          <w:szCs w:val="24"/>
          <w14:textFill>
            <w14:solidFill>
              <w14:schemeClr w14:val="tx1"/>
            </w14:solidFill>
          </w14:textFill>
        </w:rPr>
        <w:t>，前往环境影响评价范围内可能受影响的</w:t>
      </w:r>
      <w:r>
        <w:rPr>
          <w:rFonts w:hint="eastAsia" w:cs="Times New Roman"/>
          <w:color w:val="000000" w:themeColor="text1"/>
          <w:szCs w:val="24"/>
          <w14:textFill>
            <w14:solidFill>
              <w14:schemeClr w14:val="tx1"/>
            </w14:solidFill>
          </w14:textFill>
        </w:rPr>
        <w:t>村镇</w:t>
      </w:r>
      <w:r>
        <w:rPr>
          <w:rFonts w:cs="Times New Roman"/>
          <w:color w:val="000000" w:themeColor="text1"/>
          <w:szCs w:val="24"/>
          <w14:textFill>
            <w14:solidFill>
              <w14:schemeClr w14:val="tx1"/>
            </w14:solidFill>
          </w14:textFill>
        </w:rPr>
        <w:t>（</w:t>
      </w:r>
      <w:r>
        <w:rPr>
          <w:rFonts w:hint="eastAsia"/>
          <w:bCs/>
          <w:color w:val="000000" w:themeColor="text1"/>
          <w:lang w:val="en"/>
          <w14:textFill>
            <w14:solidFill>
              <w14:schemeClr w14:val="tx1"/>
            </w14:solidFill>
          </w14:textFill>
        </w:rPr>
        <w:t>渔溪镇、上迳镇、</w:t>
      </w:r>
      <w:r>
        <w:rPr>
          <w:rFonts w:hint="eastAsia"/>
          <w:bCs/>
          <w:color w:val="000000" w:themeColor="text1"/>
          <w14:textFill>
            <w14:solidFill>
              <w14:schemeClr w14:val="tx1"/>
            </w14:solidFill>
          </w14:textFill>
        </w:rPr>
        <w:t>牌边村、上张村、联华村、侨丰村</w:t>
      </w:r>
      <w:r>
        <w:rPr>
          <w:rFonts w:cs="Times New Roman"/>
          <w:color w:val="000000" w:themeColor="text1"/>
          <w:szCs w:val="24"/>
          <w14:textFill>
            <w14:solidFill>
              <w14:schemeClr w14:val="tx1"/>
            </w14:solidFill>
          </w14:textFill>
        </w:rPr>
        <w:t>）张贴环评公示，向公众公开项目信息及环境影响报告书征求意见稿下载途径等信息。</w:t>
      </w:r>
    </w:p>
    <w:p w14:paraId="701917BC">
      <w:pPr>
        <w:ind w:firstLine="480"/>
        <w:rPr>
          <w:rFonts w:cs="Times New Roman"/>
          <w:color w:val="000000" w:themeColor="text1"/>
          <w:szCs w:val="24"/>
          <w14:textFill>
            <w14:solidFill>
              <w14:schemeClr w14:val="tx1"/>
            </w14:solidFill>
          </w14:textFill>
        </w:rPr>
      </w:pPr>
      <w:r>
        <w:rPr>
          <w:rFonts w:cs="Times New Roman"/>
          <w:color w:val="000000" w:themeColor="text1"/>
          <w:szCs w:val="24"/>
          <w14:textFill>
            <w14:solidFill>
              <w14:schemeClr w14:val="tx1"/>
            </w14:solidFill>
          </w14:textFill>
        </w:rPr>
        <w:t>信息公示期间和公示后规定的期限内，建设单位、评价单位均未收到相关团体单位和社会公众对本项目建设关于环境方面的意见和建议。</w:t>
      </w:r>
    </w:p>
    <w:p w14:paraId="649D8E55">
      <w:pPr>
        <w:pStyle w:val="116"/>
        <w:rPr>
          <w:color w:val="000000" w:themeColor="text1"/>
          <w14:textFill>
            <w14:solidFill>
              <w14:schemeClr w14:val="tx1"/>
            </w14:solidFill>
          </w14:textFill>
        </w:rPr>
      </w:pPr>
      <w:bookmarkStart w:id="1071" w:name="_Toc153957865"/>
      <w:bookmarkStart w:id="1072" w:name="_Toc193912415"/>
      <w:bookmarkStart w:id="1073" w:name="_Toc159405509"/>
      <w:bookmarkStart w:id="1074" w:name="_Toc146525013"/>
      <w:bookmarkStart w:id="1075" w:name="_Toc154668086"/>
      <w:r>
        <w:rPr>
          <w:rFonts w:hint="eastAsia"/>
          <w:color w:val="000000" w:themeColor="text1"/>
          <w14:textFill>
            <w14:solidFill>
              <w14:schemeClr w14:val="tx1"/>
            </w14:solidFill>
          </w14:textFill>
        </w:rPr>
        <w:t>总结论</w:t>
      </w:r>
      <w:bookmarkEnd w:id="1070"/>
      <w:bookmarkEnd w:id="1071"/>
      <w:bookmarkEnd w:id="1072"/>
      <w:bookmarkEnd w:id="1073"/>
      <w:bookmarkEnd w:id="1074"/>
      <w:bookmarkEnd w:id="1075"/>
    </w:p>
    <w:p w14:paraId="6A15DAD0">
      <w:pPr>
        <w:ind w:firstLine="480"/>
        <w:rPr>
          <w:color w:val="000000" w:themeColor="text1"/>
          <w14:textFill>
            <w14:solidFill>
              <w14:schemeClr w14:val="tx1"/>
            </w14:solidFill>
          </w14:textFill>
        </w:rPr>
      </w:pPr>
      <w:bookmarkStart w:id="1076" w:name="9.2环境质量现状"/>
      <w:bookmarkEnd w:id="1076"/>
      <w:bookmarkStart w:id="1077" w:name="9.6环境保护措施"/>
      <w:bookmarkEnd w:id="1077"/>
      <w:bookmarkStart w:id="1078" w:name="9.5公众意见采纳情况"/>
      <w:bookmarkEnd w:id="1078"/>
      <w:bookmarkStart w:id="1079" w:name="_bookmark53"/>
      <w:bookmarkEnd w:id="1079"/>
      <w:r>
        <w:rPr>
          <w:rFonts w:hint="eastAsia"/>
          <w:color w:val="000000" w:themeColor="text1"/>
          <w14:textFill>
            <w14:solidFill>
              <w14:schemeClr w14:val="tx1"/>
            </w14:solidFill>
          </w14:textFill>
        </w:rPr>
        <w:t>黄檗山万福寺</w:t>
      </w:r>
      <w:r>
        <w:rPr>
          <w:color w:val="000000" w:themeColor="text1"/>
          <w14:textFill>
            <w14:solidFill>
              <w14:schemeClr w14:val="tx1"/>
            </w14:solidFill>
          </w14:textFill>
        </w:rPr>
        <w:t>旅游公路工程位于</w:t>
      </w:r>
      <w:r>
        <w:rPr>
          <w:rFonts w:hint="eastAsia"/>
          <w:color w:val="000000" w:themeColor="text1"/>
          <w14:textFill>
            <w14:solidFill>
              <w14:schemeClr w14:val="tx1"/>
            </w14:solidFill>
          </w14:textFill>
        </w:rPr>
        <w:t>福州市福清市</w:t>
      </w:r>
      <w:r>
        <w:rPr>
          <w:rFonts w:hint="eastAsia"/>
          <w:color w:val="000000" w:themeColor="text1"/>
          <w:shd w:val="clear" w:color="auto" w:fill="FFFFFF"/>
          <w14:textFill>
            <w14:solidFill>
              <w14:schemeClr w14:val="tx1"/>
            </w14:solidFill>
          </w14:textFill>
        </w:rPr>
        <w:t>上迳镇、渔溪镇</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路线全长5.200km</w:t>
      </w:r>
      <w:r>
        <w:rPr>
          <w:color w:val="000000" w:themeColor="text1"/>
          <w:lang w:val="zh-CN"/>
          <w14:textFill>
            <w14:solidFill>
              <w14:schemeClr w14:val="tx1"/>
            </w14:solidFill>
          </w14:textFill>
        </w:rPr>
        <w:t>，</w:t>
      </w:r>
      <w:r>
        <w:rPr>
          <w:rFonts w:hint="eastAsia"/>
          <w:color w:val="000000" w:themeColor="text1"/>
          <w14:textFill>
            <w14:solidFill>
              <w14:schemeClr w14:val="tx1"/>
            </w14:solidFill>
          </w14:textFill>
        </w:rPr>
        <w:t>其中主线5.110km（含下穿福厦高铁段落），接线0.090km，</w:t>
      </w:r>
      <w:r>
        <w:rPr>
          <w:color w:val="000000" w:themeColor="text1"/>
          <w:lang w:val="zh-CN"/>
          <w14:textFill>
            <w14:solidFill>
              <w14:schemeClr w14:val="tx1"/>
            </w14:solidFill>
          </w14:textFill>
        </w:rPr>
        <w:t>设计速度60km/h，</w:t>
      </w:r>
      <w:r>
        <w:rPr>
          <w:color w:val="000000" w:themeColor="text1"/>
          <w14:textFill>
            <w14:solidFill>
              <w14:schemeClr w14:val="tx1"/>
            </w14:solidFill>
          </w14:textFill>
        </w:rPr>
        <w:t>采用二级公路建设</w:t>
      </w:r>
      <w:r>
        <w:rPr>
          <w:color w:val="000000" w:themeColor="text1"/>
          <w:lang w:val="zh-CN"/>
          <w14:textFill>
            <w14:solidFill>
              <w14:schemeClr w14:val="tx1"/>
            </w14:solidFill>
          </w14:textFill>
        </w:rPr>
        <w:t>。</w:t>
      </w:r>
      <w:r>
        <w:rPr>
          <w:color w:val="000000" w:themeColor="text1"/>
          <w14:textFill>
            <w14:solidFill>
              <w14:schemeClr w14:val="tx1"/>
            </w14:solidFill>
          </w14:textFill>
        </w:rPr>
        <w:t>项目建设符合国家产业政策</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符合</w:t>
      </w:r>
      <w:r>
        <w:rPr>
          <w:rFonts w:hint="eastAsia"/>
          <w:color w:val="000000" w:themeColor="text1"/>
          <w14:textFill>
            <w14:solidFill>
              <w14:schemeClr w14:val="tx1"/>
            </w14:solidFill>
          </w14:textFill>
        </w:rPr>
        <w:t>《福清市国土空间总体规划（2021-2035 年）》，符合福清市国土空间规划生态环境分区管控要求。</w:t>
      </w:r>
      <w:r>
        <w:rPr>
          <w:color w:val="000000" w:themeColor="text1"/>
          <w14:textFill>
            <w14:solidFill>
              <w14:schemeClr w14:val="tx1"/>
            </w14:solidFill>
          </w14:textFill>
        </w:rPr>
        <w:t>项目所在地现状环境质量较好，有较大的环境容量；采取的环保措施可行，能实现达标排放；各类污染物达标排放影响预测评价结果表明，项目建设</w:t>
      </w:r>
      <w:r>
        <w:rPr>
          <w:rFonts w:hint="eastAsia"/>
          <w:color w:val="000000" w:themeColor="text1"/>
          <w14:textFill>
            <w14:solidFill>
              <w14:schemeClr w14:val="tx1"/>
            </w14:solidFill>
          </w14:textFill>
        </w:rPr>
        <w:t>运营</w:t>
      </w:r>
      <w:r>
        <w:rPr>
          <w:color w:val="000000" w:themeColor="text1"/>
          <w14:textFill>
            <w14:solidFill>
              <w14:schemeClr w14:val="tx1"/>
            </w14:solidFill>
          </w14:textFill>
        </w:rPr>
        <w:t>对周围环境质量影响较小。</w:t>
      </w:r>
    </w:p>
    <w:p w14:paraId="19B1A225">
      <w:pPr>
        <w:ind w:firstLine="480"/>
        <w:rPr>
          <w:color w:val="000000" w:themeColor="text1"/>
          <w14:textFill>
            <w14:solidFill>
              <w14:schemeClr w14:val="tx1"/>
            </w14:solidFill>
          </w14:textFill>
        </w:rPr>
      </w:pPr>
      <w:r>
        <w:rPr>
          <w:color w:val="000000" w:themeColor="text1"/>
          <w14:textFill>
            <w14:solidFill>
              <w14:schemeClr w14:val="tx1"/>
            </w14:solidFill>
          </w14:textFill>
        </w:rPr>
        <w:t>因此，工程建设将对沿线区域的声环境与生态环境、大气环境产生一定的影响，在认真落实本报告提出的减缓措施，落实</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三同时</w:t>
      </w:r>
      <w:r>
        <w:rPr>
          <w:rFonts w:eastAsia="Times New Roman"/>
          <w:color w:val="000000" w:themeColor="text1"/>
          <w14:textFill>
            <w14:solidFill>
              <w14:schemeClr w14:val="tx1"/>
            </w14:solidFill>
          </w14:textFill>
        </w:rPr>
        <w:t>”</w:t>
      </w:r>
      <w:r>
        <w:rPr>
          <w:color w:val="000000" w:themeColor="text1"/>
          <w14:textFill>
            <w14:solidFill>
              <w14:schemeClr w14:val="tx1"/>
            </w14:solidFill>
          </w14:textFill>
        </w:rPr>
        <w:t>制度，所产生的负面影响可有效控制并能为环境所接受。从环境影响角度分析该项目建设是可行的。</w:t>
      </w:r>
    </w:p>
    <w:p w14:paraId="08CFDBC2">
      <w:pPr>
        <w:ind w:firstLine="480"/>
        <w:rPr>
          <w:color w:val="000000" w:themeColor="text1"/>
          <w14:textFill>
            <w14:solidFill>
              <w14:schemeClr w14:val="tx1"/>
            </w14:solidFill>
          </w14:textFill>
        </w:rPr>
        <w:sectPr>
          <w:headerReference r:id="rId25" w:type="first"/>
          <w:footerReference r:id="rId27" w:type="first"/>
          <w:headerReference r:id="rId23" w:type="default"/>
          <w:headerReference r:id="rId24" w:type="even"/>
          <w:footerReference r:id="rId26" w:type="even"/>
          <w:pgSz w:w="11906" w:h="16838"/>
          <w:pgMar w:top="1418" w:right="1418" w:bottom="1418" w:left="1418" w:header="851" w:footer="992" w:gutter="0"/>
          <w:cols w:space="425" w:num="1"/>
          <w:docGrid w:type="lines" w:linePitch="312" w:charSpace="0"/>
        </w:sectPr>
      </w:pPr>
    </w:p>
    <w:p w14:paraId="776D2031">
      <w:pPr>
        <w:pStyle w:val="105"/>
        <w:rPr>
          <w:color w:val="000000" w:themeColor="text1"/>
          <w14:textFill>
            <w14:solidFill>
              <w14:schemeClr w14:val="tx1"/>
            </w14:solidFill>
          </w14:textFill>
        </w:rPr>
      </w:pPr>
      <w:r>
        <w:drawing>
          <wp:inline distT="0" distB="0" distL="0" distR="0">
            <wp:extent cx="6070600" cy="8595360"/>
            <wp:effectExtent l="0" t="0" r="635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48"/>
                    <a:stretch>
                      <a:fillRect/>
                    </a:stretch>
                  </pic:blipFill>
                  <pic:spPr>
                    <a:xfrm>
                      <a:off x="0" y="0"/>
                      <a:ext cx="6076203" cy="8602483"/>
                    </a:xfrm>
                    <a:prstGeom prst="rect">
                      <a:avLst/>
                    </a:prstGeom>
                  </pic:spPr>
                </pic:pic>
              </a:graphicData>
            </a:graphic>
          </wp:inline>
        </w:drawing>
      </w:r>
      <w:r>
        <w:t xml:space="preserve"> </w:t>
      </w:r>
      <w:r>
        <w:drawing>
          <wp:inline distT="0" distB="0" distL="0" distR="0">
            <wp:extent cx="6132830" cy="8682355"/>
            <wp:effectExtent l="0" t="0" r="1270"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49"/>
                    <a:stretch>
                      <a:fillRect/>
                    </a:stretch>
                  </pic:blipFill>
                  <pic:spPr>
                    <a:xfrm>
                      <a:off x="0" y="0"/>
                      <a:ext cx="6136660" cy="8688076"/>
                    </a:xfrm>
                    <a:prstGeom prst="rect">
                      <a:avLst/>
                    </a:prstGeom>
                  </pic:spPr>
                </pic:pic>
              </a:graphicData>
            </a:graphic>
          </wp:inline>
        </w:drawing>
      </w:r>
      <w:r>
        <w:t xml:space="preserve"> </w:t>
      </w:r>
      <w:r>
        <w:drawing>
          <wp:inline distT="0" distB="0" distL="0" distR="0">
            <wp:extent cx="6155055" cy="871410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50"/>
                    <a:stretch>
                      <a:fillRect/>
                    </a:stretch>
                  </pic:blipFill>
                  <pic:spPr>
                    <a:xfrm>
                      <a:off x="0" y="0"/>
                      <a:ext cx="6159530" cy="8720454"/>
                    </a:xfrm>
                    <a:prstGeom prst="rect">
                      <a:avLst/>
                    </a:prstGeom>
                  </pic:spPr>
                </pic:pic>
              </a:graphicData>
            </a:graphic>
          </wp:inline>
        </w:drawing>
      </w:r>
      <w:r>
        <w:t xml:space="preserve"> </w:t>
      </w:r>
      <w:r>
        <w:drawing>
          <wp:inline distT="0" distB="0" distL="0" distR="0">
            <wp:extent cx="6059805" cy="85788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51"/>
                    <a:stretch>
                      <a:fillRect/>
                    </a:stretch>
                  </pic:blipFill>
                  <pic:spPr>
                    <a:xfrm>
                      <a:off x="0" y="0"/>
                      <a:ext cx="6063273" cy="8584177"/>
                    </a:xfrm>
                    <a:prstGeom prst="rect">
                      <a:avLst/>
                    </a:prstGeom>
                  </pic:spPr>
                </pic:pic>
              </a:graphicData>
            </a:graphic>
          </wp:inline>
        </w:drawing>
      </w:r>
      <w:r>
        <w:t xml:space="preserve"> </w:t>
      </w:r>
      <w:r>
        <w:drawing>
          <wp:inline distT="0" distB="0" distL="0" distR="0">
            <wp:extent cx="6127115" cy="8674735"/>
            <wp:effectExtent l="0" t="0" r="698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52"/>
                    <a:stretch>
                      <a:fillRect/>
                    </a:stretch>
                  </pic:blipFill>
                  <pic:spPr>
                    <a:xfrm>
                      <a:off x="0" y="0"/>
                      <a:ext cx="6130555" cy="8679433"/>
                    </a:xfrm>
                    <a:prstGeom prst="rect">
                      <a:avLst/>
                    </a:prstGeom>
                  </pic:spPr>
                </pic:pic>
              </a:graphicData>
            </a:graphic>
          </wp:inline>
        </w:drawing>
      </w:r>
    </w:p>
    <w:sectPr>
      <w:footerReference r:id="rId28" w:type="default"/>
      <w:pgSz w:w="11906" w:h="16838"/>
      <w:pgMar w:top="1418" w:right="1418" w:bottom="1418" w:left="1418"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新宋体-18030">
    <w:altName w:val="宋体"/>
    <w:panose1 w:val="00000000000000000000"/>
    <w:charset w:val="00"/>
    <w:family w:val="auto"/>
    <w:pitch w:val="default"/>
    <w:sig w:usb0="00000000" w:usb1="00000000" w:usb2="00000000" w:usb3="00000000" w:csb0="00040001" w:csb1="00000000"/>
  </w:font>
  <w:font w:name="Microsoft JhengHei UI">
    <w:panose1 w:val="020B0604030504040204"/>
    <w:charset w:val="88"/>
    <w:family w:val="swiss"/>
    <w:pitch w:val="default"/>
    <w:sig w:usb0="000002A7" w:usb1="28CF4400" w:usb2="00000016" w:usb3="00000000" w:csb0="00100009" w:csb1="00000000"/>
  </w:font>
  <w:font w:name="宋体-方正超大字符集">
    <w:panose1 w:val="03000509000000000000"/>
    <w:charset w:val="86"/>
    <w:family w:val="script"/>
    <w:pitch w:val="default"/>
    <w:sig w:usb0="00000001" w:usb1="080E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楷体">
    <w:panose1 w:val="02010609060101010101"/>
    <w:charset w:val="86"/>
    <w:family w:val="modern"/>
    <w:pitch w:val="default"/>
    <w:sig w:usb0="800002BF" w:usb1="38CF7CFA" w:usb2="00000016" w:usb3="00000000" w:csb0="00040001" w:csb1="00000000"/>
  </w:font>
  <w:font w:name="仿宋体">
    <w:altName w:val="宋体"/>
    <w:panose1 w:val="00000000000000000000"/>
    <w:charset w:val="86"/>
    <w:family w:val="roman"/>
    <w:pitch w:val="default"/>
    <w:sig w:usb0="00000000" w:usb1="00000000" w:usb2="00000010" w:usb3="00000000" w:csb0="00040001" w:csb1="00000000"/>
  </w:font>
  <w:font w:name="方正仿宋_GB2312">
    <w:altName w:val="仿宋"/>
    <w:panose1 w:val="00000000000000000000"/>
    <w:charset w:val="86"/>
    <w:family w:val="auto"/>
    <w:pitch w:val="default"/>
    <w:sig w:usb0="00000000" w:usb1="00000000" w:usb2="00000012" w:usb3="00000000" w:csb0="00040001"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auto"/>
    <w:pitch w:val="default"/>
    <w:sig w:usb0="800002BF" w:usb1="38CF7CFA" w:usb2="00000016" w:usb3="00000000" w:csb0="00040001" w:csb1="00000000"/>
  </w:font>
  <w:font w:name="New York">
    <w:altName w:val="DejaVu Math TeX Gyre"/>
    <w:panose1 w:val="02040503060506020304"/>
    <w:charset w:val="00"/>
    <w:family w:val="roman"/>
    <w:pitch w:val="default"/>
    <w:sig w:usb0="00000000" w:usb1="00000000" w:usb2="00000000" w:usb3="00000000" w:csb0="00000001" w:csb1="00000000"/>
  </w:font>
  <w:font w:name="Sylfaen">
    <w:panose1 w:val="010A0502050306030303"/>
    <w:charset w:val="00"/>
    <w:family w:val="roman"/>
    <w:pitch w:val="default"/>
    <w:sig w:usb0="04000687" w:usb1="00000000" w:usb2="00000000" w:usb3="00000000" w:csb0="2000009F" w:csb1="00000000"/>
  </w:font>
  <w:font w:name="MingLiU">
    <w:altName w:val="PMingLiU-ExtB"/>
    <w:panose1 w:val="02020509000000000000"/>
    <w:charset w:val="88"/>
    <w:family w:val="modern"/>
    <w:pitch w:val="default"/>
    <w:sig w:usb0="00000000" w:usb1="00000000" w:usb2="00000016" w:usb3="00000000" w:csb0="00100001" w:csb1="00000000"/>
  </w:font>
  <w:font w:name="Tahoma">
    <w:panose1 w:val="020B0604030504040204"/>
    <w:charset w:val="00"/>
    <w:family w:val="swiss"/>
    <w:pitch w:val="default"/>
    <w:sig w:usb0="E1002EFF" w:usb1="C000605B" w:usb2="00000029" w:usb3="00000000" w:csb0="200101FF" w:csb1="20280000"/>
  </w:font>
  <w:font w:name="宋体-18030">
    <w:altName w:val="宋体"/>
    <w:panose1 w:val="00000000000000000000"/>
    <w:charset w:val="86"/>
    <w:family w:val="modern"/>
    <w:pitch w:val="default"/>
    <w:sig w:usb0="00000000" w:usb1="00000000" w:usb2="000A005E" w:usb3="00000000" w:csb0="00040001" w:csb1="00000000"/>
  </w:font>
  <w:font w:name="楷体_GB2312">
    <w:panose1 w:val="02010609030101010101"/>
    <w:charset w:val="86"/>
    <w:family w:val="modern"/>
    <w:pitch w:val="default"/>
    <w:sig w:usb0="00000001" w:usb1="080E0000" w:usb2="00000000" w:usb3="00000000" w:csb0="00040000" w:csb1="00000000"/>
  </w:font>
  <w:font w:name="方正大标宋简体">
    <w:altName w:val="微软雅黑"/>
    <w:panose1 w:val="00000000000000000000"/>
    <w:charset w:val="86"/>
    <w:family w:val="auto"/>
    <w:pitch w:val="default"/>
    <w:sig w:usb0="00000000" w:usb1="00000000" w:usb2="00000012" w:usb3="00000000" w:csb0="00040001" w:csb1="00000000"/>
  </w:font>
  <w:font w:name="方正仿宋简体">
    <w:altName w:val="微软雅黑"/>
    <w:panose1 w:val="00000000000000000000"/>
    <w:charset w:val="86"/>
    <w:family w:val="auto"/>
    <w:pitch w:val="default"/>
    <w:sig w:usb0="00000000" w:usb1="00000000" w:usb2="00000012" w:usb3="00000000" w:csb0="00040001" w:csb1="00000000"/>
  </w:font>
  <w:font w:name="Bookman Old Style">
    <w:panose1 w:val="02050604050505020204"/>
    <w:charset w:val="00"/>
    <w:family w:val="roman"/>
    <w:pitch w:val="default"/>
    <w:sig w:usb0="00000287" w:usb1="00000000" w:usb2="00000000" w:usb3="00000000" w:csb0="2000009F" w:csb1="DFD7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Constantia">
    <w:panose1 w:val="02030602050306030303"/>
    <w:charset w:val="00"/>
    <w:family w:val="roman"/>
    <w:pitch w:val="default"/>
    <w:sig w:usb0="A00002EF" w:usb1="4000204B" w:usb2="00000000" w:usb3="00000000" w:csb0="2000019F" w:csb1="00000000"/>
  </w:font>
  <w:font w:name="PMingLiU">
    <w:altName w:val="PMingLiU-ExtB"/>
    <w:panose1 w:val="02020500000000000000"/>
    <w:charset w:val="88"/>
    <w:family w:val="roman"/>
    <w:pitch w:val="default"/>
    <w:sig w:usb0="00000000" w:usb1="00000000" w:usb2="00000016" w:usb3="00000000" w:csb0="00100001" w:csb1="00000000"/>
  </w:font>
  <w:font w:name="Segoe UI">
    <w:panose1 w:val="020B0502040204020203"/>
    <w:charset w:val="00"/>
    <w:family w:val="swiss"/>
    <w:pitch w:val="default"/>
    <w:sig w:usb0="E4002EFF" w:usb1="C000E47F" w:usb2="00000009" w:usb3="00000000" w:csb0="200001FF"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2EAFE2">
    <w:pPr>
      <w:pStyle w:val="35"/>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62086651"/>
      <w:docPartObj>
        <w:docPartGallery w:val="autotext"/>
      </w:docPartObj>
    </w:sdtPr>
    <w:sdtContent>
      <w:p w14:paraId="565E4E90">
        <w:pPr>
          <w:pStyle w:val="35"/>
          <w:ind w:firstLine="360"/>
          <w:jc w:val="center"/>
        </w:pPr>
        <w:r>
          <w:fldChar w:fldCharType="begin"/>
        </w:r>
        <w:r>
          <w:instrText xml:space="preserve">PAGE   \* MERGEFORMAT</w:instrText>
        </w:r>
        <w:r>
          <w:fldChar w:fldCharType="separate"/>
        </w:r>
        <w:r>
          <w:rPr>
            <w:lang w:val="zh-CN"/>
          </w:rPr>
          <w:t>2</w:t>
        </w:r>
        <w:r>
          <w:fldChar w:fldCharType="end"/>
        </w:r>
      </w:p>
    </w:sdtContent>
  </w:sdt>
  <w:p w14:paraId="340ED371">
    <w:pPr>
      <w:pStyle w:val="19"/>
      <w:spacing w:line="14" w:lineRule="auto"/>
      <w:ind w:firstLine="400"/>
      <w:rPr>
        <w:sz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19668737"/>
      <w:docPartObj>
        <w:docPartGallery w:val="autotext"/>
      </w:docPartObj>
    </w:sdtPr>
    <w:sdtContent>
      <w:p w14:paraId="3113A93D">
        <w:pPr>
          <w:pStyle w:val="35"/>
          <w:ind w:firstLine="360"/>
          <w:jc w:val="center"/>
        </w:pPr>
        <w:r>
          <w:fldChar w:fldCharType="begin"/>
        </w:r>
        <w:r>
          <w:instrText xml:space="preserve">PAGE   \* MERGEFORMAT</w:instrText>
        </w:r>
        <w:r>
          <w:fldChar w:fldCharType="separate"/>
        </w:r>
        <w:r>
          <w:rPr>
            <w:lang w:val="zh-CN"/>
          </w:rPr>
          <w:t>2</w:t>
        </w:r>
        <w:r>
          <w:fldChar w:fldCharType="end"/>
        </w:r>
      </w:p>
    </w:sdtContent>
  </w:sdt>
  <w:p w14:paraId="5B828724">
    <w:pPr>
      <w:pStyle w:val="19"/>
      <w:spacing w:line="14" w:lineRule="auto"/>
      <w:ind w:firstLine="400"/>
      <w:rPr>
        <w:sz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2C803B">
    <w:pPr>
      <w:pStyle w:val="35"/>
      <w:ind w:firstLine="36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38702B">
    <w:pPr>
      <w:pStyle w:val="35"/>
      <w:ind w:firstLine="36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8554C">
    <w:pPr>
      <w:pStyle w:val="35"/>
      <w:ind w:firstLine="360"/>
      <w:jc w:val="center"/>
    </w:pPr>
  </w:p>
  <w:p w14:paraId="2D551CEB">
    <w:pPr>
      <w:pStyle w:val="19"/>
      <w:spacing w:line="14" w:lineRule="auto"/>
      <w:ind w:firstLine="400"/>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A4F29">
    <w:pPr>
      <w:pStyle w:val="3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090F29">
    <w:pPr>
      <w:pStyle w:val="3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63049787"/>
    </w:sdtPr>
    <w:sdtContent>
      <w:p w14:paraId="66DF587C">
        <w:pPr>
          <w:pStyle w:val="35"/>
          <w:ind w:firstLine="360"/>
          <w:jc w:val="center"/>
        </w:pPr>
        <w:r>
          <w:fldChar w:fldCharType="begin"/>
        </w:r>
        <w:r>
          <w:instrText xml:space="preserve">PAGE   \* MERGEFORMAT</w:instrText>
        </w:r>
        <w:r>
          <w:fldChar w:fldCharType="separate"/>
        </w:r>
        <w:r>
          <w:rPr>
            <w:lang w:val="zh-CN"/>
          </w:rPr>
          <w:t>2</w:t>
        </w:r>
        <w:r>
          <w:fldChar w:fldCharType="end"/>
        </w:r>
      </w:p>
    </w:sdtContent>
  </w:sdt>
  <w:p w14:paraId="535336BE">
    <w:pPr>
      <w:pStyle w:val="19"/>
      <w:spacing w:line="14" w:lineRule="auto"/>
      <w:ind w:firstLine="400"/>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36D747">
    <w:pPr>
      <w:pStyle w:val="19"/>
      <w:spacing w:line="14" w:lineRule="auto"/>
      <w:ind w:firstLine="400"/>
      <w:rPr>
        <w:sz w:val="20"/>
      </w:rPr>
    </w:pPr>
    <w:r>
      <w:rPr>
        <w:sz w:val="20"/>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355600" cy="229870"/>
              <wp:effectExtent l="3175" t="0" r="3175" b="0"/>
              <wp:wrapNone/>
              <wp:docPr id="19" name="文本框 31"/>
              <wp:cNvGraphicFramePr/>
              <a:graphic xmlns:a="http://schemas.openxmlformats.org/drawingml/2006/main">
                <a:graphicData uri="http://schemas.microsoft.com/office/word/2010/wordprocessingShape">
                  <wps:wsp>
                    <wps:cNvSpPr txBox="1">
                      <a:spLocks noChangeArrowheads="1"/>
                    </wps:cNvSpPr>
                    <wps:spPr bwMode="auto">
                      <a:xfrm>
                        <a:off x="0" y="0"/>
                        <a:ext cx="355600" cy="229870"/>
                      </a:xfrm>
                      <a:prstGeom prst="rect">
                        <a:avLst/>
                      </a:prstGeom>
                      <a:noFill/>
                      <a:ln>
                        <a:noFill/>
                      </a:ln>
                    </wps:spPr>
                    <wps:txbx>
                      <w:txbxContent>
                        <w:p w14:paraId="7A6A00B9">
                          <w:pPr>
                            <w:pStyle w:val="35"/>
                            <w:ind w:firstLine="420"/>
                            <w:rPr>
                              <w:rFonts w:cs="Times New Roman"/>
                              <w:sz w:val="21"/>
                              <w:szCs w:val="21"/>
                            </w:rPr>
                          </w:pPr>
                          <w:r>
                            <w:rPr>
                              <w:rFonts w:cs="Times New Roman"/>
                              <w:sz w:val="21"/>
                              <w:szCs w:val="21"/>
                            </w:rPr>
                            <w:fldChar w:fldCharType="begin"/>
                          </w:r>
                          <w:r>
                            <w:rPr>
                              <w:rFonts w:cs="Times New Roman"/>
                              <w:sz w:val="21"/>
                              <w:szCs w:val="21"/>
                            </w:rPr>
                            <w:instrText xml:space="preserve"> PAGE  \* MERGEFORMAT </w:instrText>
                          </w:r>
                          <w:r>
                            <w:rPr>
                              <w:rFonts w:cs="Times New Roman"/>
                              <w:sz w:val="21"/>
                              <w:szCs w:val="21"/>
                            </w:rPr>
                            <w:fldChar w:fldCharType="separate"/>
                          </w:r>
                          <w:r>
                            <w:rPr>
                              <w:rFonts w:cs="Times New Roman"/>
                              <w:sz w:val="21"/>
                              <w:szCs w:val="21"/>
                            </w:rPr>
                            <w:t>III</w:t>
                          </w:r>
                          <w:r>
                            <w:rPr>
                              <w:rFonts w:cs="Times New Roman"/>
                              <w:sz w:val="21"/>
                              <w:szCs w:val="21"/>
                            </w:rPr>
                            <w:fldChar w:fldCharType="end"/>
                          </w:r>
                        </w:p>
                      </w:txbxContent>
                    </wps:txbx>
                    <wps:bodyPr rot="0" vert="horz" wrap="none" lIns="0" tIns="0" rIns="0" bIns="0" anchor="t" anchorCtr="0" upright="1">
                      <a:spAutoFit/>
                    </wps:bodyPr>
                  </wps:wsp>
                </a:graphicData>
              </a:graphic>
            </wp:anchor>
          </w:drawing>
        </mc:Choice>
        <mc:Fallback>
          <w:pict>
            <v:shape id="文本框 31" o:spid="_x0000_s1026" o:spt="202" type="#_x0000_t202" style="position:absolute;left:0pt;margin-top:0pt;height:18.1pt;width:28pt;mso-position-horizontal:center;mso-position-horizontal-relative:margin;mso-wrap-style:none;z-index:251659264;mso-width-relative:page;mso-height-relative:page;" filled="f" stroked="f" coordsize="21600,21600" o:gfxdata="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hOn8XdEAAAADAQAADwAAAAAAAAABACAAAAAiAAAAZHJz&#10;L2Rvd25yZXYueG1sUEsBAhQAFAAAAAgAh07iQATMXtQLAgAABAQAAA4AAAAAAAAAAQAgAAAAIAEA&#10;AGRycy9lMm9Eb2MueG1sUEsFBgAAAAAGAAYAWQEAAJ0FAAAAAA==&#10;">
              <v:fill on="f" focussize="0,0"/>
              <v:stroke on="f"/>
              <v:imagedata o:title=""/>
              <o:lock v:ext="edit" aspectratio="f"/>
              <v:textbox inset="0mm,0mm,0mm,0mm" style="mso-fit-shape-to-text:t;">
                <w:txbxContent>
                  <w:p w14:paraId="7A6A00B9">
                    <w:pPr>
                      <w:pStyle w:val="35"/>
                      <w:ind w:firstLine="420"/>
                      <w:rPr>
                        <w:rFonts w:cs="Times New Roman"/>
                        <w:sz w:val="21"/>
                        <w:szCs w:val="21"/>
                      </w:rPr>
                    </w:pPr>
                    <w:r>
                      <w:rPr>
                        <w:rFonts w:cs="Times New Roman"/>
                        <w:sz w:val="21"/>
                        <w:szCs w:val="21"/>
                      </w:rPr>
                      <w:fldChar w:fldCharType="begin"/>
                    </w:r>
                    <w:r>
                      <w:rPr>
                        <w:rFonts w:cs="Times New Roman"/>
                        <w:sz w:val="21"/>
                        <w:szCs w:val="21"/>
                      </w:rPr>
                      <w:instrText xml:space="preserve"> PAGE  \* MERGEFORMAT </w:instrText>
                    </w:r>
                    <w:r>
                      <w:rPr>
                        <w:rFonts w:cs="Times New Roman"/>
                        <w:sz w:val="21"/>
                        <w:szCs w:val="21"/>
                      </w:rPr>
                      <w:fldChar w:fldCharType="separate"/>
                    </w:r>
                    <w:r>
                      <w:rPr>
                        <w:rFonts w:cs="Times New Roman"/>
                        <w:sz w:val="21"/>
                        <w:szCs w:val="21"/>
                      </w:rPr>
                      <w:t>III</w:t>
                    </w:r>
                    <w:r>
                      <w:rPr>
                        <w:rFonts w:cs="Times New Roman"/>
                        <w:sz w:val="21"/>
                        <w:szCs w:val="21"/>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1D495C">
    <w:pPr>
      <w:pStyle w:val="35"/>
      <w:ind w:firstLine="360"/>
      <w:jc w:val="center"/>
    </w:pPr>
    <w:r>
      <w:fldChar w:fldCharType="begin"/>
    </w:r>
    <w:r>
      <w:instrText xml:space="preserve">PAGE   \* MERGEFORMAT</w:instrText>
    </w:r>
    <w:r>
      <w:fldChar w:fldCharType="separate"/>
    </w:r>
    <w:r>
      <w:rPr>
        <w:lang w:val="zh-CN"/>
      </w:rPr>
      <w:t>2</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72275917"/>
    </w:sdtPr>
    <w:sdtContent>
      <w:p w14:paraId="76D0771A">
        <w:pPr>
          <w:pStyle w:val="35"/>
          <w:ind w:firstLine="360"/>
          <w:jc w:val="center"/>
        </w:pPr>
        <w:r>
          <w:fldChar w:fldCharType="begin"/>
        </w:r>
        <w:r>
          <w:instrText xml:space="preserve">PAGE   \* MERGEFORMAT</w:instrText>
        </w:r>
        <w:r>
          <w:fldChar w:fldCharType="separate"/>
        </w:r>
        <w:r>
          <w:rPr>
            <w:lang w:val="zh-CN"/>
          </w:rPr>
          <w:t>2</w:t>
        </w:r>
        <w: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50041271"/>
    </w:sdtPr>
    <w:sdtContent>
      <w:p w14:paraId="6A507C45">
        <w:pPr>
          <w:pStyle w:val="35"/>
          <w:ind w:firstLine="360"/>
          <w:jc w:val="center"/>
        </w:pPr>
        <w:r>
          <w:fldChar w:fldCharType="begin"/>
        </w:r>
        <w:r>
          <w:instrText xml:space="preserve">PAGE   \* MERGEFORMAT</w:instrText>
        </w:r>
        <w:r>
          <w:fldChar w:fldCharType="separate"/>
        </w:r>
        <w:r>
          <w:rPr>
            <w:lang w:val="zh-CN"/>
          </w:rPr>
          <w:t>2</w:t>
        </w:r>
        <w: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41868712"/>
      <w:docPartObj>
        <w:docPartGallery w:val="autotext"/>
      </w:docPartObj>
    </w:sdtPr>
    <w:sdtContent>
      <w:p w14:paraId="42677957">
        <w:pPr>
          <w:pStyle w:val="35"/>
          <w:ind w:firstLine="360"/>
          <w:jc w:val="center"/>
        </w:pPr>
        <w:r>
          <w:fldChar w:fldCharType="begin"/>
        </w:r>
        <w:r>
          <w:instrText xml:space="preserve">PAGE   \* MERGEFORMAT</w:instrText>
        </w:r>
        <w:r>
          <w:fldChar w:fldCharType="separate"/>
        </w:r>
        <w:r>
          <w:rPr>
            <w:lang w:val="zh-CN"/>
          </w:rPr>
          <w:t>2</w:t>
        </w:r>
        <w:r>
          <w:fldChar w:fldCharType="end"/>
        </w:r>
      </w:p>
    </w:sdtContent>
  </w:sdt>
  <w:p w14:paraId="00D4151F">
    <w:pPr>
      <w:pStyle w:val="19"/>
      <w:spacing w:line="14" w:lineRule="auto"/>
      <w:ind w:firstLine="400"/>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F1B01B">
    <w:pPr>
      <w:pStyle w:val="36"/>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25C7DE">
    <w:pPr>
      <w:pStyle w:val="36"/>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C43956">
    <w:pPr>
      <w:pStyle w:val="3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B24218">
    <w:pPr>
      <w:pStyle w:val="36"/>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C25616">
    <w:pPr>
      <w:pStyle w:val="36"/>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22F1AF">
    <w:pPr>
      <w:ind w:left="480" w:firstLine="0" w:firstLineChars="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D8FC1A">
    <w:pPr>
      <w:spacing w:line="14" w:lineRule="auto"/>
      <w:ind w:firstLine="40"/>
      <w:rPr>
        <w:rFonts w:ascii="Arial"/>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A3CA14">
    <w:pPr>
      <w:spacing w:line="14" w:lineRule="auto"/>
      <w:ind w:firstLine="40"/>
      <w:rPr>
        <w:rFonts w:ascii="Arial"/>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1FB01">
    <w:pPr>
      <w:ind w:left="480" w:firstLine="0" w:firstLineChars="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F56592">
    <w:pPr>
      <w:pStyle w:val="3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DE2673E"/>
    <w:multiLevelType w:val="multilevel"/>
    <w:tmpl w:val="9DE2673E"/>
    <w:lvl w:ilvl="0" w:tentative="0">
      <w:start w:val="1"/>
      <w:numFmt w:val="chineseCounting"/>
      <w:pStyle w:val="2"/>
      <w:suff w:val="nothing"/>
      <w:lvlText w:val="第%1章 "/>
      <w:lvlJc w:val="left"/>
      <w:pPr>
        <w:ind w:left="432" w:hanging="432"/>
      </w:pPr>
      <w:rPr>
        <w:rFonts w:hint="eastAsia"/>
        <w:sz w:val="44"/>
        <w:szCs w:val="44"/>
      </w:rPr>
    </w:lvl>
    <w:lvl w:ilvl="1" w:tentative="0">
      <w:start w:val="1"/>
      <w:numFmt w:val="decimal"/>
      <w:pStyle w:val="3"/>
      <w:isLgl/>
      <w:lvlText w:val="%1.%2"/>
      <w:lvlJc w:val="left"/>
      <w:pPr>
        <w:ind w:left="567" w:hanging="567"/>
      </w:pPr>
      <w:rPr>
        <w:rFonts w:hint="eastAsia" w:ascii="Times New Roman" w:hAnsi="Times New Roman" w:eastAsia="宋体" w:cs="Times New Roman"/>
        <w:sz w:val="32"/>
        <w:szCs w:val="32"/>
      </w:rPr>
    </w:lvl>
    <w:lvl w:ilvl="2" w:tentative="0">
      <w:start w:val="1"/>
      <w:numFmt w:val="decimal"/>
      <w:pStyle w:val="4"/>
      <w:isLgl/>
      <w:suff w:val="space"/>
      <w:lvlText w:val="%1.%2.%3"/>
      <w:lvlJc w:val="left"/>
      <w:pPr>
        <w:tabs>
          <w:tab w:val="left" w:pos="0"/>
        </w:tabs>
        <w:ind w:left="0" w:firstLine="0"/>
      </w:pPr>
      <w:rPr>
        <w:rFonts w:hint="eastAsia" w:ascii="Times New Roman" w:hAnsi="Times New Roman" w:eastAsia="宋体" w:cs="Times New Roman"/>
        <w:sz w:val="30"/>
        <w:szCs w:val="30"/>
      </w:rPr>
    </w:lvl>
    <w:lvl w:ilvl="3" w:tentative="0">
      <w:start w:val="1"/>
      <w:numFmt w:val="decimal"/>
      <w:pStyle w:val="5"/>
      <w:isLgl/>
      <w:suff w:val="space"/>
      <w:lvlText w:val="%1.%2.%3.%4"/>
      <w:lvlJc w:val="left"/>
      <w:pPr>
        <w:tabs>
          <w:tab w:val="left" w:pos="420"/>
        </w:tabs>
        <w:ind w:left="0" w:firstLine="0"/>
      </w:pPr>
      <w:rPr>
        <w:rFonts w:hint="eastAsia" w:ascii="Times New Roman" w:hAnsi="Times New Roman" w:eastAsia="宋体" w:cs="Times New Roman"/>
        <w:sz w:val="28"/>
        <w:szCs w:val="28"/>
      </w:rPr>
    </w:lvl>
    <w:lvl w:ilvl="4" w:tentative="0">
      <w:start w:val="1"/>
      <w:numFmt w:val="decimal"/>
      <w:pStyle w:val="6"/>
      <w:isLgl/>
      <w:lvlText w:val="%1.%2.%3.%4.%5."/>
      <w:lvlJc w:val="left"/>
      <w:pPr>
        <w:ind w:left="1008" w:hanging="1008"/>
      </w:pPr>
      <w:rPr>
        <w:rFonts w:hint="default" w:ascii="Times New Roman" w:hAnsi="Times New Roman" w:cs="Times New Roman"/>
        <w:sz w:val="24"/>
        <w:szCs w:val="24"/>
      </w:rPr>
    </w:lvl>
    <w:lvl w:ilvl="5" w:tentative="0">
      <w:start w:val="1"/>
      <w:numFmt w:val="decimal"/>
      <w:pStyle w:val="7"/>
      <w:isLgl/>
      <w:lvlText w:val="%1.%2.%3.%4.%5.%6."/>
      <w:lvlJc w:val="left"/>
      <w:pPr>
        <w:ind w:left="1151" w:hanging="1151"/>
      </w:pPr>
      <w:rPr>
        <w:rFonts w:hint="eastAsia"/>
      </w:rPr>
    </w:lvl>
    <w:lvl w:ilvl="6" w:tentative="0">
      <w:start w:val="1"/>
      <w:numFmt w:val="decimal"/>
      <w:pStyle w:val="8"/>
      <w:isLgl/>
      <w:lvlText w:val="%1.%2.%3.%4.%5.%6.%7."/>
      <w:lvlJc w:val="left"/>
      <w:pPr>
        <w:ind w:left="1296" w:hanging="1296"/>
      </w:pPr>
      <w:rPr>
        <w:rFonts w:hint="eastAsia"/>
      </w:rPr>
    </w:lvl>
    <w:lvl w:ilvl="7" w:tentative="0">
      <w:start w:val="1"/>
      <w:numFmt w:val="decimal"/>
      <w:pStyle w:val="9"/>
      <w:isLgl/>
      <w:lvlText w:val="%1.%2.%3.%4.%5.%6.%7.%8."/>
      <w:lvlJc w:val="left"/>
      <w:pPr>
        <w:ind w:left="1440" w:hanging="1440"/>
      </w:pPr>
      <w:rPr>
        <w:rFonts w:hint="eastAsia"/>
      </w:rPr>
    </w:lvl>
    <w:lvl w:ilvl="8" w:tentative="0">
      <w:start w:val="1"/>
      <w:numFmt w:val="decimal"/>
      <w:pStyle w:val="10"/>
      <w:isLgl/>
      <w:lvlText w:val="%1.%2.%3.%4.%5.%6.%7.%8.%9."/>
      <w:lvlJc w:val="left"/>
      <w:pPr>
        <w:ind w:left="1583" w:hanging="1583"/>
      </w:pPr>
      <w:rPr>
        <w:rFonts w:hint="eastAsia"/>
      </w:rPr>
    </w:lvl>
  </w:abstractNum>
  <w:abstractNum w:abstractNumId="1">
    <w:nsid w:val="FFFFFF7D"/>
    <w:multiLevelType w:val="singleLevel"/>
    <w:tmpl w:val="FFFFFF7D"/>
    <w:lvl w:ilvl="0" w:tentative="0">
      <w:start w:val="1"/>
      <w:numFmt w:val="decimal"/>
      <w:pStyle w:val="31"/>
      <w:lvlText w:val="%1."/>
      <w:lvlJc w:val="left"/>
      <w:pPr>
        <w:tabs>
          <w:tab w:val="left" w:pos="1620"/>
        </w:tabs>
        <w:ind w:left="1620" w:leftChars="600" w:hanging="360" w:hangingChars="200"/>
      </w:pPr>
    </w:lvl>
  </w:abstractNum>
  <w:abstractNum w:abstractNumId="2">
    <w:nsid w:val="FFFFFF80"/>
    <w:multiLevelType w:val="singleLevel"/>
    <w:tmpl w:val="FFFFFF80"/>
    <w:lvl w:ilvl="0" w:tentative="0">
      <w:start w:val="1"/>
      <w:numFmt w:val="bullet"/>
      <w:pStyle w:val="30"/>
      <w:lvlText w:val=""/>
      <w:lvlJc w:val="left"/>
      <w:pPr>
        <w:tabs>
          <w:tab w:val="left" w:pos="2040"/>
        </w:tabs>
        <w:ind w:left="2040" w:leftChars="800" w:hanging="360" w:hangingChars="200"/>
      </w:pPr>
      <w:rPr>
        <w:rFonts w:hint="default" w:ascii="Wingdings" w:hAnsi="Wingdings"/>
      </w:rPr>
    </w:lvl>
  </w:abstractNum>
  <w:abstractNum w:abstractNumId="3">
    <w:nsid w:val="00A5727C"/>
    <w:multiLevelType w:val="multilevel"/>
    <w:tmpl w:val="00A5727C"/>
    <w:lvl w:ilvl="0" w:tentative="0">
      <w:start w:val="1"/>
      <w:numFmt w:val="chineseCountingThousand"/>
      <w:suff w:val="space"/>
      <w:lvlText w:val="第%1章"/>
      <w:lvlJc w:val="left"/>
      <w:pPr>
        <w:ind w:left="0" w:firstLine="0"/>
      </w:pPr>
      <w:rPr>
        <w:rFonts w:hint="eastAsia"/>
      </w:rPr>
    </w:lvl>
    <w:lvl w:ilvl="1" w:tentative="0">
      <w:start w:val="1"/>
      <w:numFmt w:val="decimal"/>
      <w:isLgl/>
      <w:suff w:val="space"/>
      <w:lvlText w:val="%1.%2"/>
      <w:lvlJc w:val="left"/>
      <w:pPr>
        <w:ind w:left="0" w:firstLine="0"/>
      </w:pPr>
      <w:rPr>
        <w:rFonts w:hint="eastAsia"/>
      </w:rPr>
    </w:lvl>
    <w:lvl w:ilvl="2" w:tentative="0">
      <w:start w:val="1"/>
      <w:numFmt w:val="decimal"/>
      <w:isLgl/>
      <w:suff w:val="space"/>
      <w:lvlText w:val="%1.%2.%3"/>
      <w:lvlJc w:val="left"/>
      <w:pPr>
        <w:ind w:left="0" w:firstLine="0"/>
      </w:pPr>
      <w:rPr>
        <w:rFonts w:hint="eastAsia"/>
      </w:rPr>
    </w:lvl>
    <w:lvl w:ilvl="3" w:tentative="0">
      <w:start w:val="1"/>
      <w:numFmt w:val="decimal"/>
      <w:isLgl/>
      <w:suff w:val="space"/>
      <w:lvlText w:val="%1.%2.%3.%4"/>
      <w:lvlJc w:val="left"/>
      <w:pPr>
        <w:ind w:left="0" w:firstLine="0"/>
      </w:pPr>
      <w:rPr>
        <w:rFonts w:hint="eastAsia"/>
      </w:rPr>
    </w:lvl>
    <w:lvl w:ilvl="4" w:tentative="0">
      <w:start w:val="1"/>
      <w:numFmt w:val="decimal"/>
      <w:lvlRestart w:val="2"/>
      <w:isLgl/>
      <w:suff w:val="space"/>
      <w:lvlText w:val="表%1.%2-%5"/>
      <w:lvlJc w:val="left"/>
      <w:pPr>
        <w:ind w:left="0" w:firstLine="0"/>
      </w:pPr>
      <w:rPr>
        <w:rFonts w:hint="eastAsia"/>
        <w:lang w:val="en-US"/>
      </w:rPr>
    </w:lvl>
    <w:lvl w:ilvl="5" w:tentative="0">
      <w:start w:val="1"/>
      <w:numFmt w:val="decimal"/>
      <w:lvlRestart w:val="2"/>
      <w:pStyle w:val="172"/>
      <w:isLgl/>
      <w:suff w:val="space"/>
      <w:lvlText w:val="图%1.%2-%6"/>
      <w:lvlJc w:val="left"/>
      <w:pPr>
        <w:ind w:left="2411" w:firstLine="0"/>
      </w:pPr>
      <w:rPr>
        <w:rFonts w:hint="eastAsia"/>
        <w:lang w:val="en-US"/>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4">
    <w:nsid w:val="08DC1954"/>
    <w:multiLevelType w:val="multilevel"/>
    <w:tmpl w:val="08DC1954"/>
    <w:lvl w:ilvl="0" w:tentative="0">
      <w:start w:val="1"/>
      <w:numFmt w:val="bullet"/>
      <w:pStyle w:val="221"/>
      <w:lvlText w:val=""/>
      <w:lvlJc w:val="left"/>
      <w:pPr>
        <w:tabs>
          <w:tab w:val="left" w:pos="540"/>
        </w:tabs>
        <w:ind w:left="540" w:hanging="420"/>
      </w:pPr>
      <w:rPr>
        <w:rFonts w:hint="default" w:ascii="Wingdings" w:hAnsi="Wingdings"/>
      </w:rPr>
    </w:lvl>
    <w:lvl w:ilvl="1" w:tentative="0">
      <w:start w:val="1"/>
      <w:numFmt w:val="bullet"/>
      <w:lvlText w:val=""/>
      <w:lvlJc w:val="left"/>
      <w:pPr>
        <w:tabs>
          <w:tab w:val="left" w:pos="960"/>
        </w:tabs>
        <w:ind w:left="960" w:hanging="420"/>
      </w:pPr>
      <w:rPr>
        <w:rFonts w:hint="default" w:ascii="Wingdings" w:hAnsi="Wingdings"/>
      </w:rPr>
    </w:lvl>
    <w:lvl w:ilvl="2" w:tentative="0">
      <w:start w:val="1"/>
      <w:numFmt w:val="bullet"/>
      <w:lvlText w:val=""/>
      <w:lvlJc w:val="left"/>
      <w:pPr>
        <w:tabs>
          <w:tab w:val="left" w:pos="1380"/>
        </w:tabs>
        <w:ind w:left="1380" w:hanging="420"/>
      </w:pPr>
      <w:rPr>
        <w:rFonts w:hint="default" w:ascii="Wingdings" w:hAnsi="Wingdings"/>
      </w:rPr>
    </w:lvl>
    <w:lvl w:ilvl="3" w:tentative="0">
      <w:start w:val="1"/>
      <w:numFmt w:val="bullet"/>
      <w:lvlText w:val=""/>
      <w:lvlJc w:val="left"/>
      <w:pPr>
        <w:tabs>
          <w:tab w:val="left" w:pos="1800"/>
        </w:tabs>
        <w:ind w:left="1800" w:hanging="420"/>
      </w:pPr>
      <w:rPr>
        <w:rFonts w:hint="default" w:ascii="Wingdings" w:hAnsi="Wingdings"/>
      </w:rPr>
    </w:lvl>
    <w:lvl w:ilvl="4" w:tentative="0">
      <w:start w:val="1"/>
      <w:numFmt w:val="bullet"/>
      <w:lvlText w:val=""/>
      <w:lvlJc w:val="left"/>
      <w:pPr>
        <w:tabs>
          <w:tab w:val="left" w:pos="2220"/>
        </w:tabs>
        <w:ind w:left="2220" w:hanging="420"/>
      </w:pPr>
      <w:rPr>
        <w:rFonts w:hint="default" w:ascii="Wingdings" w:hAnsi="Wingdings"/>
      </w:rPr>
    </w:lvl>
    <w:lvl w:ilvl="5" w:tentative="0">
      <w:start w:val="1"/>
      <w:numFmt w:val="bullet"/>
      <w:lvlText w:val=""/>
      <w:lvlJc w:val="left"/>
      <w:pPr>
        <w:tabs>
          <w:tab w:val="left" w:pos="2640"/>
        </w:tabs>
        <w:ind w:left="2640" w:hanging="420"/>
      </w:pPr>
      <w:rPr>
        <w:rFonts w:hint="default" w:ascii="Wingdings" w:hAnsi="Wingdings"/>
      </w:rPr>
    </w:lvl>
    <w:lvl w:ilvl="6" w:tentative="0">
      <w:start w:val="1"/>
      <w:numFmt w:val="bullet"/>
      <w:lvlText w:val=""/>
      <w:lvlJc w:val="left"/>
      <w:pPr>
        <w:tabs>
          <w:tab w:val="left" w:pos="3060"/>
        </w:tabs>
        <w:ind w:left="3060" w:hanging="420"/>
      </w:pPr>
      <w:rPr>
        <w:rFonts w:hint="default" w:ascii="Wingdings" w:hAnsi="Wingdings"/>
      </w:rPr>
    </w:lvl>
    <w:lvl w:ilvl="7" w:tentative="0">
      <w:start w:val="1"/>
      <w:numFmt w:val="bullet"/>
      <w:lvlText w:val=""/>
      <w:lvlJc w:val="left"/>
      <w:pPr>
        <w:tabs>
          <w:tab w:val="left" w:pos="3480"/>
        </w:tabs>
        <w:ind w:left="3480" w:hanging="420"/>
      </w:pPr>
      <w:rPr>
        <w:rFonts w:hint="default" w:ascii="Wingdings" w:hAnsi="Wingdings"/>
      </w:rPr>
    </w:lvl>
    <w:lvl w:ilvl="8" w:tentative="0">
      <w:start w:val="1"/>
      <w:numFmt w:val="bullet"/>
      <w:lvlText w:val=""/>
      <w:lvlJc w:val="left"/>
      <w:pPr>
        <w:tabs>
          <w:tab w:val="left" w:pos="3900"/>
        </w:tabs>
        <w:ind w:left="3900" w:hanging="420"/>
      </w:pPr>
      <w:rPr>
        <w:rFonts w:hint="default" w:ascii="Wingdings" w:hAnsi="Wingdings"/>
      </w:rPr>
    </w:lvl>
  </w:abstractNum>
  <w:abstractNum w:abstractNumId="5">
    <w:nsid w:val="0AA7481F"/>
    <w:multiLevelType w:val="multilevel"/>
    <w:tmpl w:val="0AA7481F"/>
    <w:lvl w:ilvl="0" w:tentative="0">
      <w:start w:val="1"/>
      <w:numFmt w:val="decimal"/>
      <w:pStyle w:val="205"/>
      <w:suff w:val="nothing"/>
      <w:lvlText w:val="%1"/>
      <w:lvlJc w:val="left"/>
      <w:pPr>
        <w:ind w:left="425" w:hanging="425"/>
      </w:pPr>
      <w:rPr>
        <w:rFonts w:hint="eastAsia"/>
      </w:rPr>
    </w:lvl>
    <w:lvl w:ilvl="1" w:tentative="0">
      <w:start w:val="1"/>
      <w:numFmt w:val="decimal"/>
      <w:pStyle w:val="206"/>
      <w:suff w:val="nothing"/>
      <w:lvlText w:val="%1.%2"/>
      <w:lvlJc w:val="left"/>
      <w:pPr>
        <w:ind w:left="425" w:hanging="425"/>
      </w:pPr>
      <w:rPr>
        <w:rFonts w:hint="eastAsia"/>
        <w:b/>
      </w:rPr>
    </w:lvl>
    <w:lvl w:ilvl="2" w:tentative="0">
      <w:start w:val="1"/>
      <w:numFmt w:val="decimal"/>
      <w:pStyle w:val="207"/>
      <w:suff w:val="nothing"/>
      <w:lvlText w:val="%1.%2.%3"/>
      <w:lvlJc w:val="left"/>
      <w:pPr>
        <w:ind w:left="2410" w:hanging="425"/>
      </w:pPr>
      <w:rPr>
        <w:rFonts w:hint="eastAsia"/>
        <w:b/>
      </w:rPr>
    </w:lvl>
    <w:lvl w:ilvl="3" w:tentative="0">
      <w:start w:val="1"/>
      <w:numFmt w:val="decimal"/>
      <w:pStyle w:val="204"/>
      <w:lvlText w:val="%1.%2.%3.%4"/>
      <w:lvlJc w:val="left"/>
      <w:pPr>
        <w:ind w:left="785" w:hanging="425"/>
      </w:pPr>
      <w:rPr>
        <w:rFonts w:hint="eastAsia"/>
      </w:rPr>
    </w:lvl>
    <w:lvl w:ilvl="4" w:tentative="0">
      <w:start w:val="1"/>
      <w:numFmt w:val="decimal"/>
      <w:lvlText w:val="%1.%2.%3.%4.%5"/>
      <w:lvlJc w:val="left"/>
      <w:pPr>
        <w:ind w:left="425" w:hanging="425"/>
      </w:pPr>
      <w:rPr>
        <w:rFonts w:hint="eastAsia"/>
      </w:rPr>
    </w:lvl>
    <w:lvl w:ilvl="5" w:tentative="0">
      <w:start w:val="1"/>
      <w:numFmt w:val="decimal"/>
      <w:lvlText w:val="%1.%2.%3.%4.%5.%6"/>
      <w:lvlJc w:val="left"/>
      <w:pPr>
        <w:ind w:left="425" w:hanging="425"/>
      </w:pPr>
      <w:rPr>
        <w:rFonts w:hint="eastAsia"/>
      </w:rPr>
    </w:lvl>
    <w:lvl w:ilvl="6" w:tentative="0">
      <w:start w:val="1"/>
      <w:numFmt w:val="decimal"/>
      <w:lvlText w:val="%1.%2.%3.%4.%5.%6.%7"/>
      <w:lvlJc w:val="left"/>
      <w:pPr>
        <w:ind w:left="425" w:hanging="425"/>
      </w:pPr>
      <w:rPr>
        <w:rFonts w:hint="eastAsia"/>
      </w:rPr>
    </w:lvl>
    <w:lvl w:ilvl="7" w:tentative="0">
      <w:start w:val="1"/>
      <w:numFmt w:val="decimal"/>
      <w:lvlText w:val="%1.%2.%3.%4.%5.%6.%7.%8"/>
      <w:lvlJc w:val="left"/>
      <w:pPr>
        <w:ind w:left="425" w:hanging="425"/>
      </w:pPr>
      <w:rPr>
        <w:rFonts w:hint="eastAsia"/>
      </w:rPr>
    </w:lvl>
    <w:lvl w:ilvl="8" w:tentative="0">
      <w:start w:val="1"/>
      <w:numFmt w:val="decimal"/>
      <w:lvlText w:val="%1.%2.%3.%4.%5.%6.%7.%8.%9"/>
      <w:lvlJc w:val="left"/>
      <w:pPr>
        <w:ind w:left="425" w:hanging="425"/>
      </w:pPr>
      <w:rPr>
        <w:rFonts w:hint="eastAsia"/>
      </w:rPr>
    </w:lvl>
  </w:abstractNum>
  <w:abstractNum w:abstractNumId="6">
    <w:nsid w:val="117D197D"/>
    <w:multiLevelType w:val="multilevel"/>
    <w:tmpl w:val="117D197D"/>
    <w:lvl w:ilvl="0" w:tentative="0">
      <w:start w:val="1"/>
      <w:numFmt w:val="decimal"/>
      <w:pStyle w:val="193"/>
      <w:suff w:val="space"/>
      <w:lvlText w:val="%1、"/>
      <w:lvlJc w:val="left"/>
      <w:pPr>
        <w:ind w:left="-226" w:hanging="425"/>
      </w:pPr>
    </w:lvl>
    <w:lvl w:ilvl="1" w:tentative="0">
      <w:start w:val="1"/>
      <w:numFmt w:val="decimal"/>
      <w:pStyle w:val="194"/>
      <w:suff w:val="space"/>
      <w:lvlText w:val="%1.%2"/>
      <w:lvlJc w:val="left"/>
      <w:pPr>
        <w:ind w:left="567" w:hanging="567"/>
      </w:pPr>
    </w:lvl>
    <w:lvl w:ilvl="2" w:tentative="0">
      <w:start w:val="1"/>
      <w:numFmt w:val="decimal"/>
      <w:suff w:val="space"/>
      <w:lvlText w:val="%1.%2.%3"/>
      <w:lvlJc w:val="left"/>
      <w:pPr>
        <w:ind w:left="-751" w:firstLine="851"/>
      </w:pPr>
    </w:lvl>
    <w:lvl w:ilvl="3" w:tentative="0">
      <w:start w:val="1"/>
      <w:numFmt w:val="decimal"/>
      <w:suff w:val="space"/>
      <w:lvlText w:val="%1.%2.%3.%4"/>
      <w:lvlJc w:val="left"/>
      <w:pPr>
        <w:ind w:left="1333" w:hanging="708"/>
      </w:pPr>
    </w:lvl>
    <w:lvl w:ilvl="4" w:tentative="0">
      <w:start w:val="1"/>
      <w:numFmt w:val="decimal"/>
      <w:pStyle w:val="195"/>
      <w:suff w:val="space"/>
      <w:lvlText w:val="%1.%2.%3.%4.%5"/>
      <w:lvlJc w:val="left"/>
      <w:pPr>
        <w:ind w:left="850" w:hanging="850"/>
      </w:pPr>
    </w:lvl>
    <w:lvl w:ilvl="5" w:tentative="0">
      <w:start w:val="1"/>
      <w:numFmt w:val="decimal"/>
      <w:lvlText w:val="%1.%2.%3.%4.%5.%6"/>
      <w:lvlJc w:val="left"/>
      <w:pPr>
        <w:tabs>
          <w:tab w:val="left" w:pos="3275"/>
        </w:tabs>
        <w:ind w:left="2609" w:hanging="1134"/>
      </w:pPr>
    </w:lvl>
    <w:lvl w:ilvl="6" w:tentative="0">
      <w:start w:val="1"/>
      <w:numFmt w:val="decimal"/>
      <w:lvlText w:val="%1.%2.%3.%4.%5.%6.%7"/>
      <w:lvlJc w:val="left"/>
      <w:pPr>
        <w:tabs>
          <w:tab w:val="left" w:pos="4060"/>
        </w:tabs>
        <w:ind w:left="3176" w:hanging="1276"/>
      </w:pPr>
    </w:lvl>
    <w:lvl w:ilvl="7" w:tentative="0">
      <w:start w:val="1"/>
      <w:numFmt w:val="decimal"/>
      <w:lvlText w:val="%1.%2.%3.%4.%5.%6.%7.%8"/>
      <w:lvlJc w:val="left"/>
      <w:pPr>
        <w:tabs>
          <w:tab w:val="left" w:pos="4485"/>
        </w:tabs>
        <w:ind w:left="3743" w:hanging="1418"/>
      </w:pPr>
    </w:lvl>
    <w:lvl w:ilvl="8" w:tentative="0">
      <w:start w:val="1"/>
      <w:numFmt w:val="decimal"/>
      <w:lvlText w:val="%1.%2.%3.%4.%5.%6.%7.%8.%9"/>
      <w:lvlJc w:val="left"/>
      <w:pPr>
        <w:tabs>
          <w:tab w:val="left" w:pos="5271"/>
        </w:tabs>
        <w:ind w:left="4451" w:hanging="1700"/>
      </w:pPr>
    </w:lvl>
  </w:abstractNum>
  <w:abstractNum w:abstractNumId="7">
    <w:nsid w:val="208C5DDD"/>
    <w:multiLevelType w:val="multilevel"/>
    <w:tmpl w:val="208C5DDD"/>
    <w:lvl w:ilvl="0" w:tentative="0">
      <w:start w:val="1"/>
      <w:numFmt w:val="decimal"/>
      <w:pStyle w:val="136"/>
      <w:suff w:val="space"/>
      <w:lvlText w:val="第%1章"/>
      <w:lvlJc w:val="left"/>
      <w:pPr>
        <w:ind w:left="0" w:firstLine="0"/>
      </w:pPr>
      <w:rPr>
        <w:rFonts w:hint="eastAsia" w:ascii="Times New Roman" w:hAnsi="Times New Roman" w:cs="Times New Roman"/>
        <w:b w:val="0"/>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1" w:tentative="0">
      <w:start w:val="1"/>
      <w:numFmt w:val="decimal"/>
      <w:pStyle w:val="137"/>
      <w:suff w:val="space"/>
      <w:lvlText w:val="%1.%2"/>
      <w:lvlJc w:val="left"/>
      <w:pPr>
        <w:ind w:left="0" w:firstLine="0"/>
      </w:pPr>
      <w:rPr>
        <w:rFonts w:hint="eastAsia"/>
      </w:rPr>
    </w:lvl>
    <w:lvl w:ilvl="2" w:tentative="0">
      <w:start w:val="1"/>
      <w:numFmt w:val="decimal"/>
      <w:pStyle w:val="139"/>
      <w:suff w:val="space"/>
      <w:lvlText w:val="%1.%2.%3"/>
      <w:lvlJc w:val="left"/>
      <w:pPr>
        <w:ind w:left="0" w:firstLine="0"/>
      </w:pPr>
      <w:rPr>
        <w:rFonts w:hint="eastAsia"/>
      </w:rPr>
    </w:lvl>
    <w:lvl w:ilvl="3" w:tentative="0">
      <w:start w:val="1"/>
      <w:numFmt w:val="decimal"/>
      <w:pStyle w:val="141"/>
      <w:suff w:val="space"/>
      <w:lvlText w:val="%1.%2.%3.%4"/>
      <w:lvlJc w:val="left"/>
      <w:pPr>
        <w:ind w:left="0" w:firstLine="0"/>
      </w:pPr>
      <w:rPr>
        <w:rFonts w:hint="eastAsia"/>
      </w:rPr>
    </w:lvl>
    <w:lvl w:ilvl="4" w:tentative="0">
      <w:start w:val="1"/>
      <w:numFmt w:val="decimal"/>
      <w:lvlRestart w:val="2"/>
      <w:pStyle w:val="143"/>
      <w:suff w:val="space"/>
      <w:lvlText w:val="表%1.%2-%5"/>
      <w:lvlJc w:val="center"/>
      <w:pPr>
        <w:ind w:left="0" w:firstLine="0"/>
      </w:pPr>
      <w:rPr>
        <w:rFonts w:hint="eastAsia"/>
        <w:bCs w:val="0"/>
        <w:i w:val="0"/>
        <w:iCs w:val="0"/>
        <w:caps w:val="0"/>
        <w:smallCaps w:val="0"/>
        <w:strike w:val="0"/>
        <w:dstrike w:val="0"/>
        <w:vanish w:val="0"/>
        <w:color w:val="000000"/>
        <w:spacing w:val="0"/>
        <w:position w:val="0"/>
        <w:u w:val="none"/>
        <w:vertAlign w:val="baseline"/>
        <w:lang w:val="en-US"/>
        <w14:shadow w14:blurRad="0" w14:dist="0" w14:dir="0" w14:sx="0" w14:sy="0" w14:kx="0" w14:ky="0" w14:algn="none">
          <w14:srgbClr w14:val="000000"/>
        </w14:shadow>
      </w:rPr>
    </w:lvl>
    <w:lvl w:ilvl="5" w:tentative="0">
      <w:start w:val="1"/>
      <w:numFmt w:val="decimal"/>
      <w:lvlRestart w:val="2"/>
      <w:pStyle w:val="144"/>
      <w:suff w:val="space"/>
      <w:lvlText w:val="图%1.%2-%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abstractNum w:abstractNumId="8">
    <w:nsid w:val="41C03296"/>
    <w:multiLevelType w:val="multilevel"/>
    <w:tmpl w:val="41C03296"/>
    <w:lvl w:ilvl="0" w:tentative="0">
      <w:start w:val="1"/>
      <w:numFmt w:val="chineseCountingThousand"/>
      <w:pStyle w:val="114"/>
      <w:suff w:val="space"/>
      <w:lvlText w:val="第%1章 "/>
      <w:lvlJc w:val="center"/>
      <w:pPr>
        <w:ind w:left="0" w:firstLine="0"/>
      </w:pPr>
      <w:rPr>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1" w:tentative="0">
      <w:start w:val="1"/>
      <w:numFmt w:val="decimal"/>
      <w:pStyle w:val="116"/>
      <w:isLgl/>
      <w:suff w:val="space"/>
      <w:lvlText w:val="%1.%2 "/>
      <w:lvlJc w:val="left"/>
      <w:pPr>
        <w:ind w:left="0" w:firstLine="0"/>
      </w:pPr>
      <w:rPr>
        <w:rFonts w:hint="eastAsia"/>
        <w:b/>
        <w:bCs w:val="0"/>
        <w:i w:val="0"/>
        <w:iCs w:val="0"/>
        <w:caps w:val="0"/>
        <w:strike w:val="0"/>
        <w:dstrike w:val="0"/>
        <w:vanish w:val="0"/>
        <w:spacing w:val="0"/>
        <w:position w:val="0"/>
        <w:u w:val="none"/>
        <w:vertAlign w:val="baseline"/>
      </w:rPr>
    </w:lvl>
    <w:lvl w:ilvl="2" w:tentative="0">
      <w:start w:val="1"/>
      <w:numFmt w:val="decimal"/>
      <w:pStyle w:val="120"/>
      <w:isLgl/>
      <w:suff w:val="space"/>
      <w:lvlText w:val="%1.%2.%3 "/>
      <w:lvlJc w:val="left"/>
      <w:pPr>
        <w:ind w:left="0" w:firstLine="0"/>
      </w:pPr>
      <w:rPr>
        <w:rFonts w:hint="eastAsia"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pStyle w:val="118"/>
      <w:isLgl/>
      <w:suff w:val="space"/>
      <w:lvlText w:val="%1.%2.%3.%4 "/>
      <w:lvlJc w:val="left"/>
      <w:pPr>
        <w:ind w:left="0" w:firstLine="0"/>
      </w:pPr>
      <w:rPr>
        <w:rFonts w:hint="eastAsia"/>
        <w:color w:val="auto"/>
      </w:rPr>
    </w:lvl>
    <w:lvl w:ilvl="4" w:tentative="0">
      <w:start w:val="1"/>
      <w:numFmt w:val="decimal"/>
      <w:lvlRestart w:val="2"/>
      <w:pStyle w:val="87"/>
      <w:isLgl/>
      <w:suff w:val="space"/>
      <w:lvlText w:val="表%1.%2-%5"/>
      <w:lvlJc w:val="left"/>
      <w:pPr>
        <w:ind w:left="0" w:firstLine="0"/>
      </w:pPr>
      <w:rPr>
        <w:rFonts w:hint="eastAsia" w:ascii="Times New Roman" w:hAnsi="Times New Roman" w:cs="Times New Roman"/>
        <w:bCs w:val="0"/>
        <w:i w:val="0"/>
        <w:iCs w:val="0"/>
        <w:caps w:val="0"/>
        <w:smallCaps w:val="0"/>
        <w:strike w:val="0"/>
        <w:dstrike w:val="0"/>
        <w:vanish w:val="0"/>
        <w:spacing w:val="0"/>
        <w:position w:val="0"/>
        <w:u w:val="none"/>
        <w:vertAlign w:val="baseline"/>
        <w:lang w:val="en-US"/>
      </w:rPr>
    </w:lvl>
    <w:lvl w:ilvl="5" w:tentative="0">
      <w:start w:val="1"/>
      <w:numFmt w:val="decimal"/>
      <w:lvlRestart w:val="2"/>
      <w:pStyle w:val="122"/>
      <w:isLgl/>
      <w:suff w:val="space"/>
      <w:lvlText w:val="图%1.%2-%6"/>
      <w:lvlJc w:val="left"/>
      <w:pPr>
        <w:ind w:left="0" w:firstLine="0"/>
      </w:pPr>
      <w:rPr>
        <w:b/>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6" w:tentative="0">
      <w:start w:val="1"/>
      <w:numFmt w:val="decimal"/>
      <w:lvlText w:val="%1.%2.%3.%4.%5.%6.%7"/>
      <w:lvlJc w:val="left"/>
      <w:pPr>
        <w:tabs>
          <w:tab w:val="left" w:pos="1566"/>
        </w:tabs>
        <w:ind w:left="0" w:firstLine="0"/>
      </w:pPr>
      <w:rPr>
        <w:rFonts w:hint="eastAsia"/>
      </w:rPr>
    </w:lvl>
    <w:lvl w:ilvl="7" w:tentative="0">
      <w:start w:val="1"/>
      <w:numFmt w:val="decimal"/>
      <w:lvlText w:val="%1.%2.%3.%4.%5.%6.%7.%8"/>
      <w:lvlJc w:val="left"/>
      <w:pPr>
        <w:tabs>
          <w:tab w:val="left" w:pos="1566"/>
        </w:tabs>
        <w:ind w:left="0" w:firstLine="0"/>
      </w:pPr>
      <w:rPr>
        <w:rFonts w:hint="eastAsia"/>
      </w:rPr>
    </w:lvl>
    <w:lvl w:ilvl="8" w:tentative="0">
      <w:start w:val="1"/>
      <w:numFmt w:val="decimal"/>
      <w:lvlText w:val="%1.%2.%3.%4.%5.%6.%7.%8.%9"/>
      <w:lvlJc w:val="left"/>
      <w:pPr>
        <w:tabs>
          <w:tab w:val="left" w:pos="1566"/>
        </w:tabs>
        <w:ind w:left="0" w:firstLine="0"/>
      </w:pPr>
      <w:rPr>
        <w:rFonts w:hint="eastAsia"/>
      </w:rPr>
    </w:lvl>
  </w:abstractNum>
  <w:abstractNum w:abstractNumId="9">
    <w:nsid w:val="57133F65"/>
    <w:multiLevelType w:val="multilevel"/>
    <w:tmpl w:val="57133F65"/>
    <w:lvl w:ilvl="0" w:tentative="0">
      <w:start w:val="1"/>
      <w:numFmt w:val="decimal"/>
      <w:pStyle w:val="285"/>
      <w:lvlText w:val="第%1章 "/>
      <w:lvlJc w:val="left"/>
      <w:pPr>
        <w:tabs>
          <w:tab w:val="left" w:pos="425"/>
        </w:tabs>
        <w:ind w:left="425" w:hanging="425"/>
      </w:pPr>
      <w:rPr>
        <w:rFonts w:hint="eastAsia"/>
        <w:lang w:val="en-US"/>
      </w:rPr>
    </w:lvl>
    <w:lvl w:ilvl="1" w:tentative="0">
      <w:start w:val="1"/>
      <w:numFmt w:val="decimal"/>
      <w:pStyle w:val="282"/>
      <w:lvlText w:val="%1.%2 "/>
      <w:lvlJc w:val="left"/>
      <w:pPr>
        <w:tabs>
          <w:tab w:val="left" w:pos="567"/>
        </w:tabs>
        <w:ind w:left="567" w:hanging="567"/>
      </w:pPr>
      <w:rPr>
        <w:rFonts w:hint="eastAsia"/>
      </w:rPr>
    </w:lvl>
    <w:lvl w:ilvl="2" w:tentative="0">
      <w:start w:val="1"/>
      <w:numFmt w:val="decimal"/>
      <w:pStyle w:val="283"/>
      <w:lvlText w:val="%1.%2.%3 "/>
      <w:lvlJc w:val="left"/>
      <w:pPr>
        <w:tabs>
          <w:tab w:val="left" w:pos="709"/>
        </w:tabs>
        <w:ind w:left="709" w:hanging="709"/>
      </w:pPr>
      <w:rPr>
        <w:rFonts w:hint="eastAsia"/>
      </w:rPr>
    </w:lvl>
    <w:lvl w:ilvl="3" w:tentative="0">
      <w:start w:val="1"/>
      <w:numFmt w:val="decimal"/>
      <w:pStyle w:val="284"/>
      <w:lvlText w:val="%1.%2.%3.%4 "/>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0">
    <w:nsid w:val="64416005"/>
    <w:multiLevelType w:val="multilevel"/>
    <w:tmpl w:val="64416005"/>
    <w:lvl w:ilvl="0" w:tentative="0">
      <w:start w:val="1"/>
      <w:numFmt w:val="decimal"/>
      <w:suff w:val="nothing"/>
      <w:lvlText w:val="（%1）"/>
      <w:lvlJc w:val="left"/>
      <w:pPr>
        <w:ind w:left="0" w:firstLine="471"/>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6F2F32D1"/>
    <w:multiLevelType w:val="multilevel"/>
    <w:tmpl w:val="6F2F32D1"/>
    <w:lvl w:ilvl="0" w:tentative="0">
      <w:start w:val="1"/>
      <w:numFmt w:val="decimal"/>
      <w:lvlText w:val="（%1）"/>
      <w:lvlJc w:val="left"/>
      <w:pPr>
        <w:ind w:left="900" w:hanging="420"/>
      </w:pPr>
      <w:rPr>
        <w:rFonts w:hint="eastAsia"/>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12">
    <w:nsid w:val="73AE319B"/>
    <w:multiLevelType w:val="multilevel"/>
    <w:tmpl w:val="73AE319B"/>
    <w:lvl w:ilvl="0" w:tentative="0">
      <w:start w:val="0"/>
      <w:numFmt w:val="decimal"/>
      <w:pStyle w:val="277"/>
      <w:lvlText w:val=""/>
      <w:lvlJc w:val="left"/>
    </w:lvl>
    <w:lvl w:ilvl="1" w:tentative="0">
      <w:start w:val="0"/>
      <w:numFmt w:val="decimal"/>
      <w:lvlText w:val=""/>
      <w:lvlJc w:val="left"/>
    </w:lvl>
    <w:lvl w:ilvl="2" w:tentative="0">
      <w:start w:val="0"/>
      <w:numFmt w:val="decimal"/>
      <w:pStyle w:val="278"/>
      <w:lvlText w:val=""/>
      <w:lvlJc w:val="left"/>
    </w:lvl>
    <w:lvl w:ilvl="3" w:tentative="0">
      <w:start w:val="0"/>
      <w:numFmt w:val="decimal"/>
      <w:pStyle w:val="279"/>
      <w:lvlText w:val=""/>
      <w:lvlJc w:val="left"/>
    </w:lvl>
    <w:lvl w:ilvl="4" w:tentative="0">
      <w:start w:val="0"/>
      <w:numFmt w:val="decimal"/>
      <w:lvlText w:val=""/>
      <w:lvlJc w:val="left"/>
    </w:lvl>
    <w:lvl w:ilvl="5" w:tentative="0">
      <w:start w:val="0"/>
      <w:numFmt w:val="decimal"/>
      <w:lvlText w:val=""/>
      <w:lvlJc w:val="left"/>
    </w:lvl>
    <w:lvl w:ilvl="6" w:tentative="0">
      <w:start w:val="0"/>
      <w:numFmt w:val="decimal"/>
      <w:lvlText w:val=""/>
      <w:lvlJc w:val="left"/>
    </w:lvl>
    <w:lvl w:ilvl="7" w:tentative="0">
      <w:start w:val="0"/>
      <w:numFmt w:val="decimal"/>
      <w:lvlText w:val=""/>
      <w:lvlJc w:val="left"/>
    </w:lvl>
    <w:lvl w:ilvl="8" w:tentative="0">
      <w:start w:val="0"/>
      <w:numFmt w:val="decimal"/>
      <w:lvlText w:val=""/>
      <w:lvlJc w:val="left"/>
    </w:lvl>
  </w:abstractNum>
  <w:abstractNum w:abstractNumId="13">
    <w:nsid w:val="7A544E3D"/>
    <w:multiLevelType w:val="multilevel"/>
    <w:tmpl w:val="7A544E3D"/>
    <w:lvl w:ilvl="0" w:tentative="0">
      <w:start w:val="1"/>
      <w:numFmt w:val="decimal"/>
      <w:pStyle w:val="123"/>
      <w:lvlText w:val="（%1）"/>
      <w:lvlJc w:val="left"/>
      <w:pPr>
        <w:ind w:left="1702" w:firstLine="0"/>
      </w:pPr>
      <w:rPr>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14:cntxtalts w14:val="0"/>
      </w:rPr>
    </w:lvl>
    <w:lvl w:ilvl="1" w:tentative="0">
      <w:start w:val="1"/>
      <w:numFmt w:val="lowerLetter"/>
      <w:lvlText w:val="%2)"/>
      <w:lvlJc w:val="left"/>
      <w:pPr>
        <w:ind w:left="0" w:firstLine="0"/>
      </w:pPr>
      <w:rPr>
        <w:rFonts w:hint="eastAsia"/>
      </w:rPr>
    </w:lvl>
    <w:lvl w:ilvl="2" w:tentative="0">
      <w:start w:val="1"/>
      <w:numFmt w:val="lowerRoman"/>
      <w:lvlText w:val="%3."/>
      <w:lvlJc w:val="right"/>
      <w:pPr>
        <w:ind w:left="0" w:firstLine="0"/>
      </w:pPr>
      <w:rPr>
        <w:rFonts w:hint="eastAsia"/>
      </w:rPr>
    </w:lvl>
    <w:lvl w:ilvl="3" w:tentative="0">
      <w:start w:val="1"/>
      <w:numFmt w:val="decimal"/>
      <w:lvlText w:val="%4."/>
      <w:lvlJc w:val="left"/>
      <w:pPr>
        <w:ind w:left="0" w:firstLine="0"/>
      </w:pPr>
      <w:rPr>
        <w:rFonts w:hint="eastAsia"/>
      </w:rPr>
    </w:lvl>
    <w:lvl w:ilvl="4" w:tentative="0">
      <w:start w:val="1"/>
      <w:numFmt w:val="lowerLetter"/>
      <w:lvlText w:val="%5)"/>
      <w:lvlJc w:val="left"/>
      <w:pPr>
        <w:ind w:left="0" w:firstLine="0"/>
      </w:pPr>
      <w:rPr>
        <w:rFonts w:hint="eastAsia"/>
      </w:rPr>
    </w:lvl>
    <w:lvl w:ilvl="5" w:tentative="0">
      <w:start w:val="1"/>
      <w:numFmt w:val="lowerRoman"/>
      <w:lvlText w:val="%6."/>
      <w:lvlJc w:val="right"/>
      <w:pPr>
        <w:ind w:left="0" w:firstLine="0"/>
      </w:pPr>
      <w:rPr>
        <w:rFonts w:hint="eastAsia"/>
      </w:rPr>
    </w:lvl>
    <w:lvl w:ilvl="6" w:tentative="0">
      <w:start w:val="1"/>
      <w:numFmt w:val="decimal"/>
      <w:lvlText w:val="%7."/>
      <w:lvlJc w:val="left"/>
      <w:pPr>
        <w:ind w:left="0" w:firstLine="0"/>
      </w:pPr>
      <w:rPr>
        <w:rFonts w:hint="eastAsia"/>
      </w:rPr>
    </w:lvl>
    <w:lvl w:ilvl="7" w:tentative="0">
      <w:start w:val="1"/>
      <w:numFmt w:val="lowerLetter"/>
      <w:lvlText w:val="%8)"/>
      <w:lvlJc w:val="left"/>
      <w:pPr>
        <w:ind w:left="0" w:firstLine="0"/>
      </w:pPr>
      <w:rPr>
        <w:rFonts w:hint="eastAsia"/>
      </w:rPr>
    </w:lvl>
    <w:lvl w:ilvl="8" w:tentative="0">
      <w:start w:val="1"/>
      <w:numFmt w:val="lowerRoman"/>
      <w:lvlText w:val="%9."/>
      <w:lvlJc w:val="right"/>
      <w:pPr>
        <w:ind w:left="0" w:firstLine="0"/>
      </w:pPr>
      <w:rPr>
        <w:rFonts w:hint="eastAsia"/>
      </w:rPr>
    </w:lvl>
  </w:abstractNum>
  <w:abstractNum w:abstractNumId="14">
    <w:nsid w:val="7C506CF4"/>
    <w:multiLevelType w:val="multilevel"/>
    <w:tmpl w:val="7C506CF4"/>
    <w:lvl w:ilvl="0" w:tentative="0">
      <w:start w:val="1"/>
      <w:numFmt w:val="chineseCountingThousand"/>
      <w:suff w:val="space"/>
      <w:lvlText w:val="第%1章  "/>
      <w:lvlJc w:val="center"/>
      <w:pPr>
        <w:ind w:left="0" w:firstLine="0"/>
      </w:pPr>
      <w:rPr>
        <w:rFonts w:hint="eastAsia" w:ascii="Times New Roman" w:hAnsi="Times New Roman" w:cs="Times New Roman"/>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tentative="0">
      <w:start w:val="1"/>
      <w:numFmt w:val="decimal"/>
      <w:pStyle w:val="84"/>
      <w:isLgl/>
      <w:lvlText w:val="%1.%2"/>
      <w:lvlJc w:val="left"/>
      <w:pPr>
        <w:ind w:left="0" w:firstLine="0"/>
      </w:pPr>
      <w:rPr>
        <w:rFonts w:hint="eastAsia"/>
      </w:rPr>
    </w:lvl>
    <w:lvl w:ilvl="2" w:tentative="0">
      <w:start w:val="1"/>
      <w:numFmt w:val="decimal"/>
      <w:isLgl/>
      <w:lvlText w:val="%1.%2.%3"/>
      <w:lvlJc w:val="left"/>
      <w:pPr>
        <w:ind w:left="0" w:firstLine="0"/>
      </w:pPr>
      <w:rPr>
        <w:rFonts w:hint="eastAsia" w:ascii="Times New Roman" w:hAnsi="Times New Roman" w:cs="Times New Roman"/>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3" w:tentative="0">
      <w:start w:val="1"/>
      <w:numFmt w:val="decimal"/>
      <w:isLgl/>
      <w:lvlText w:val="%1.%2.%3.%4"/>
      <w:lvlJc w:val="left"/>
      <w:pPr>
        <w:ind w:left="0" w:firstLine="0"/>
      </w:pPr>
      <w:rPr>
        <w:rFonts w:hint="eastAsia" w:ascii="Times New Roman" w:hAnsi="Times New Roman" w:cs="Times New Roman"/>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 w:numId="2">
    <w:abstractNumId w:val="2"/>
  </w:num>
  <w:num w:numId="3">
    <w:abstractNumId w:val="1"/>
  </w:num>
  <w:num w:numId="4">
    <w:abstractNumId w:val="14"/>
  </w:num>
  <w:num w:numId="5">
    <w:abstractNumId w:val="8"/>
  </w:num>
  <w:num w:numId="6">
    <w:abstractNumId w:val="13"/>
  </w:num>
  <w:num w:numId="7">
    <w:abstractNumId w:val="7"/>
  </w:num>
  <w:num w:numId="8">
    <w:abstractNumId w:val="3"/>
    <w:lvlOverride w:ilvl="0">
      <w:lvl w:ilvl="0" w:tentative="1">
        <w:start w:val="0"/>
        <w:numFmt w:val="decimal"/>
        <w:lvlText w:val=""/>
        <w:lvlJc w:val="left"/>
      </w:lvl>
    </w:lvlOverride>
    <w:lvlOverride w:ilvl="1">
      <w:lvl w:ilvl="1" w:tentative="1">
        <w:start w:val="0"/>
        <w:numFmt w:val="decimal"/>
        <w:lvlText w:val=""/>
        <w:lvlJc w:val="left"/>
      </w:lvl>
    </w:lvlOverride>
    <w:lvlOverride w:ilvl="2">
      <w:lvl w:ilvl="2" w:tentative="1">
        <w:start w:val="0"/>
        <w:numFmt w:val="decimal"/>
        <w:lvlText w:val=""/>
        <w:lvlJc w:val="left"/>
      </w:lvl>
    </w:lvlOverride>
    <w:lvlOverride w:ilvl="3">
      <w:lvl w:ilvl="3" w:tentative="1">
        <w:start w:val="0"/>
        <w:numFmt w:val="decimal"/>
        <w:lvlText w:val=""/>
        <w:lvlJc w:val="left"/>
      </w:lvl>
    </w:lvlOverride>
    <w:lvlOverride w:ilvl="4">
      <w:lvl w:ilvl="4" w:tentative="1">
        <w:start w:val="1"/>
        <w:numFmt w:val="decimal"/>
        <w:lvlRestart w:val="2"/>
        <w:pStyle w:val="170"/>
        <w:isLgl/>
        <w:suff w:val="space"/>
        <w:lvlText w:val="表%1.%2-%5"/>
        <w:lvlJc w:val="left"/>
        <w:pPr>
          <w:ind w:left="142" w:firstLine="0"/>
        </w:pPr>
        <w:rPr>
          <w:rFonts w:hint="eastAsia"/>
          <w:lang w:val="en-US"/>
        </w:rPr>
      </w:lvl>
    </w:lvlOverride>
  </w:num>
  <w:num w:numId="9">
    <w:abstractNumId w:val="6"/>
  </w:num>
  <w:num w:numId="10">
    <w:abstractNumId w:val="5"/>
  </w:num>
  <w:num w:numId="11">
    <w:abstractNumId w:val="4"/>
  </w:num>
  <w:num w:numId="12">
    <w:abstractNumId w:val="12"/>
  </w:num>
  <w:num w:numId="13">
    <w:abstractNumId w:val="9"/>
  </w:num>
  <w:num w:numId="14">
    <w:abstractNumId w:val="11"/>
  </w:num>
  <w:num w:numId="15">
    <w:abstractNumId w:val="10"/>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nforcement="0"/>
  <w:defaultTabStop w:val="0"/>
  <w:drawingGridHorizontalSpacing w:val="120"/>
  <w:drawingGridVerticalSpacing w:val="163"/>
  <w:displayHorizontalDrawingGridEvery w:val="2"/>
  <w:displayVerticalDrawingGridEvery w:val="2"/>
  <w:noPunctuationKerning w:val="1"/>
  <w:characterSpacingControl w:val="doNotCompress"/>
  <w:footnotePr>
    <w:footnote w:id="0"/>
    <w:footnote w:id="1"/>
  </w:footnotePr>
  <w:endnotePr>
    <w:endnote w:id="0"/>
    <w:endnote w:id="1"/>
  </w:endnotePr>
  <w:compat>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mFhMDY5ZDk5MWM5YjI0ODg2MGQ2YWU1MzQzYTBhNjQifQ=="/>
  </w:docVars>
  <w:rsids>
    <w:rsidRoot w:val="00172A27"/>
    <w:rsid w:val="000014B4"/>
    <w:rsid w:val="00001BCE"/>
    <w:rsid w:val="00004C0F"/>
    <w:rsid w:val="00005C7D"/>
    <w:rsid w:val="0001415E"/>
    <w:rsid w:val="00015303"/>
    <w:rsid w:val="00016694"/>
    <w:rsid w:val="00016E9E"/>
    <w:rsid w:val="0001701C"/>
    <w:rsid w:val="000225AF"/>
    <w:rsid w:val="000226D8"/>
    <w:rsid w:val="00025333"/>
    <w:rsid w:val="00026485"/>
    <w:rsid w:val="00026E9B"/>
    <w:rsid w:val="00027A13"/>
    <w:rsid w:val="00031C9D"/>
    <w:rsid w:val="00035BAE"/>
    <w:rsid w:val="00043921"/>
    <w:rsid w:val="000449F9"/>
    <w:rsid w:val="00044B23"/>
    <w:rsid w:val="000451C7"/>
    <w:rsid w:val="00046000"/>
    <w:rsid w:val="00046177"/>
    <w:rsid w:val="0005019C"/>
    <w:rsid w:val="00051614"/>
    <w:rsid w:val="00052F9F"/>
    <w:rsid w:val="000539C4"/>
    <w:rsid w:val="00054663"/>
    <w:rsid w:val="00054A6F"/>
    <w:rsid w:val="00055509"/>
    <w:rsid w:val="0005590A"/>
    <w:rsid w:val="000575DC"/>
    <w:rsid w:val="000578DB"/>
    <w:rsid w:val="00057FC1"/>
    <w:rsid w:val="000612DE"/>
    <w:rsid w:val="000615E9"/>
    <w:rsid w:val="00061A6A"/>
    <w:rsid w:val="0006202F"/>
    <w:rsid w:val="00063351"/>
    <w:rsid w:val="00065D5D"/>
    <w:rsid w:val="00066321"/>
    <w:rsid w:val="00066479"/>
    <w:rsid w:val="00066B0E"/>
    <w:rsid w:val="00066FAA"/>
    <w:rsid w:val="00074454"/>
    <w:rsid w:val="00074D6D"/>
    <w:rsid w:val="00077698"/>
    <w:rsid w:val="00077DF7"/>
    <w:rsid w:val="000812E0"/>
    <w:rsid w:val="00083C9C"/>
    <w:rsid w:val="00086E17"/>
    <w:rsid w:val="000916B7"/>
    <w:rsid w:val="00091E4F"/>
    <w:rsid w:val="00091FAC"/>
    <w:rsid w:val="0009470F"/>
    <w:rsid w:val="00096F8B"/>
    <w:rsid w:val="0009792D"/>
    <w:rsid w:val="0009794F"/>
    <w:rsid w:val="000A1147"/>
    <w:rsid w:val="000A131F"/>
    <w:rsid w:val="000A2140"/>
    <w:rsid w:val="000A2993"/>
    <w:rsid w:val="000A2F75"/>
    <w:rsid w:val="000A3ED9"/>
    <w:rsid w:val="000A64D0"/>
    <w:rsid w:val="000A6E97"/>
    <w:rsid w:val="000A70FF"/>
    <w:rsid w:val="000B098C"/>
    <w:rsid w:val="000B44C0"/>
    <w:rsid w:val="000B4882"/>
    <w:rsid w:val="000B604B"/>
    <w:rsid w:val="000B620C"/>
    <w:rsid w:val="000B7FD1"/>
    <w:rsid w:val="000C0529"/>
    <w:rsid w:val="000C12A6"/>
    <w:rsid w:val="000C27F9"/>
    <w:rsid w:val="000C3F73"/>
    <w:rsid w:val="000C6717"/>
    <w:rsid w:val="000C6B51"/>
    <w:rsid w:val="000C6D46"/>
    <w:rsid w:val="000D26B6"/>
    <w:rsid w:val="000D2717"/>
    <w:rsid w:val="000D2F9F"/>
    <w:rsid w:val="000D309F"/>
    <w:rsid w:val="000D3F6D"/>
    <w:rsid w:val="000D5FF4"/>
    <w:rsid w:val="000D6315"/>
    <w:rsid w:val="000D69A8"/>
    <w:rsid w:val="000D74C1"/>
    <w:rsid w:val="000D7DD2"/>
    <w:rsid w:val="000E4488"/>
    <w:rsid w:val="000E5B04"/>
    <w:rsid w:val="000E5E65"/>
    <w:rsid w:val="000E7BBF"/>
    <w:rsid w:val="000F2A0D"/>
    <w:rsid w:val="000F5080"/>
    <w:rsid w:val="000F59B1"/>
    <w:rsid w:val="000F7850"/>
    <w:rsid w:val="00100591"/>
    <w:rsid w:val="00102AFA"/>
    <w:rsid w:val="00102CBB"/>
    <w:rsid w:val="00102CC8"/>
    <w:rsid w:val="00102D87"/>
    <w:rsid w:val="00103269"/>
    <w:rsid w:val="00103894"/>
    <w:rsid w:val="001044B4"/>
    <w:rsid w:val="00104F93"/>
    <w:rsid w:val="00105C38"/>
    <w:rsid w:val="00106BED"/>
    <w:rsid w:val="00107A1D"/>
    <w:rsid w:val="00107BA8"/>
    <w:rsid w:val="0011068A"/>
    <w:rsid w:val="0011084D"/>
    <w:rsid w:val="001108B5"/>
    <w:rsid w:val="00110B77"/>
    <w:rsid w:val="00110E28"/>
    <w:rsid w:val="00111A9C"/>
    <w:rsid w:val="00112C78"/>
    <w:rsid w:val="0011445E"/>
    <w:rsid w:val="0011463D"/>
    <w:rsid w:val="00114BB2"/>
    <w:rsid w:val="00116047"/>
    <w:rsid w:val="00116204"/>
    <w:rsid w:val="001162FA"/>
    <w:rsid w:val="001207BB"/>
    <w:rsid w:val="001208A8"/>
    <w:rsid w:val="001219BB"/>
    <w:rsid w:val="00123678"/>
    <w:rsid w:val="00124756"/>
    <w:rsid w:val="0012510A"/>
    <w:rsid w:val="00132372"/>
    <w:rsid w:val="00135E89"/>
    <w:rsid w:val="00137130"/>
    <w:rsid w:val="0014063A"/>
    <w:rsid w:val="001474B2"/>
    <w:rsid w:val="00150A90"/>
    <w:rsid w:val="001512CD"/>
    <w:rsid w:val="0015302E"/>
    <w:rsid w:val="00154314"/>
    <w:rsid w:val="00155538"/>
    <w:rsid w:val="001574AF"/>
    <w:rsid w:val="00163FE3"/>
    <w:rsid w:val="00166081"/>
    <w:rsid w:val="00171886"/>
    <w:rsid w:val="00172A27"/>
    <w:rsid w:val="0017464C"/>
    <w:rsid w:val="001752FF"/>
    <w:rsid w:val="00177A07"/>
    <w:rsid w:val="00180727"/>
    <w:rsid w:val="00181E0D"/>
    <w:rsid w:val="00181E5B"/>
    <w:rsid w:val="001825EC"/>
    <w:rsid w:val="00182D5C"/>
    <w:rsid w:val="00182D92"/>
    <w:rsid w:val="0018592E"/>
    <w:rsid w:val="00186AFC"/>
    <w:rsid w:val="00186E33"/>
    <w:rsid w:val="00187963"/>
    <w:rsid w:val="00187FB3"/>
    <w:rsid w:val="00190BC7"/>
    <w:rsid w:val="001933E1"/>
    <w:rsid w:val="001953D7"/>
    <w:rsid w:val="00196EA9"/>
    <w:rsid w:val="00197CC4"/>
    <w:rsid w:val="001A0759"/>
    <w:rsid w:val="001A25F2"/>
    <w:rsid w:val="001A41B9"/>
    <w:rsid w:val="001A4263"/>
    <w:rsid w:val="001A745A"/>
    <w:rsid w:val="001B1F6B"/>
    <w:rsid w:val="001B3334"/>
    <w:rsid w:val="001B344C"/>
    <w:rsid w:val="001B353D"/>
    <w:rsid w:val="001B529E"/>
    <w:rsid w:val="001B55F4"/>
    <w:rsid w:val="001B5A81"/>
    <w:rsid w:val="001C1175"/>
    <w:rsid w:val="001C1BB8"/>
    <w:rsid w:val="001C1E52"/>
    <w:rsid w:val="001C2FF8"/>
    <w:rsid w:val="001C4F60"/>
    <w:rsid w:val="001C67F2"/>
    <w:rsid w:val="001C758B"/>
    <w:rsid w:val="001D03C3"/>
    <w:rsid w:val="001D36DD"/>
    <w:rsid w:val="001D4418"/>
    <w:rsid w:val="001D45C9"/>
    <w:rsid w:val="001D6D89"/>
    <w:rsid w:val="001E4799"/>
    <w:rsid w:val="001F1020"/>
    <w:rsid w:val="001F578B"/>
    <w:rsid w:val="001F6249"/>
    <w:rsid w:val="001F6CFB"/>
    <w:rsid w:val="001F73A4"/>
    <w:rsid w:val="002055CD"/>
    <w:rsid w:val="002069C2"/>
    <w:rsid w:val="00207528"/>
    <w:rsid w:val="002103B8"/>
    <w:rsid w:val="00212908"/>
    <w:rsid w:val="0021483C"/>
    <w:rsid w:val="00217661"/>
    <w:rsid w:val="002204E5"/>
    <w:rsid w:val="00220B18"/>
    <w:rsid w:val="002216A6"/>
    <w:rsid w:val="002218B6"/>
    <w:rsid w:val="00226038"/>
    <w:rsid w:val="002276D4"/>
    <w:rsid w:val="0023024A"/>
    <w:rsid w:val="00231683"/>
    <w:rsid w:val="00231B0D"/>
    <w:rsid w:val="002320B4"/>
    <w:rsid w:val="00232754"/>
    <w:rsid w:val="00233022"/>
    <w:rsid w:val="002347E8"/>
    <w:rsid w:val="00235426"/>
    <w:rsid w:val="00243F54"/>
    <w:rsid w:val="00244066"/>
    <w:rsid w:val="00244BFF"/>
    <w:rsid w:val="002459F6"/>
    <w:rsid w:val="0024668D"/>
    <w:rsid w:val="00247422"/>
    <w:rsid w:val="00257025"/>
    <w:rsid w:val="00257F64"/>
    <w:rsid w:val="0026035D"/>
    <w:rsid w:val="00263C04"/>
    <w:rsid w:val="00264275"/>
    <w:rsid w:val="002647BD"/>
    <w:rsid w:val="00266D83"/>
    <w:rsid w:val="00270335"/>
    <w:rsid w:val="00274957"/>
    <w:rsid w:val="00274C38"/>
    <w:rsid w:val="002753CD"/>
    <w:rsid w:val="00276A95"/>
    <w:rsid w:val="00277A04"/>
    <w:rsid w:val="00277BD0"/>
    <w:rsid w:val="002810E4"/>
    <w:rsid w:val="00285344"/>
    <w:rsid w:val="00285EF0"/>
    <w:rsid w:val="00287562"/>
    <w:rsid w:val="0029118D"/>
    <w:rsid w:val="002A2E99"/>
    <w:rsid w:val="002A3132"/>
    <w:rsid w:val="002A3481"/>
    <w:rsid w:val="002A526C"/>
    <w:rsid w:val="002A5427"/>
    <w:rsid w:val="002A6000"/>
    <w:rsid w:val="002B00D3"/>
    <w:rsid w:val="002B135F"/>
    <w:rsid w:val="002B1679"/>
    <w:rsid w:val="002B3797"/>
    <w:rsid w:val="002B3F45"/>
    <w:rsid w:val="002B427A"/>
    <w:rsid w:val="002B4AEC"/>
    <w:rsid w:val="002B517C"/>
    <w:rsid w:val="002B5357"/>
    <w:rsid w:val="002B7AA2"/>
    <w:rsid w:val="002C2314"/>
    <w:rsid w:val="002C2942"/>
    <w:rsid w:val="002C306A"/>
    <w:rsid w:val="002C3084"/>
    <w:rsid w:val="002C3464"/>
    <w:rsid w:val="002C3677"/>
    <w:rsid w:val="002C3CEA"/>
    <w:rsid w:val="002C4985"/>
    <w:rsid w:val="002C5CC6"/>
    <w:rsid w:val="002C7256"/>
    <w:rsid w:val="002D08CB"/>
    <w:rsid w:val="002D173E"/>
    <w:rsid w:val="002D2263"/>
    <w:rsid w:val="002D2947"/>
    <w:rsid w:val="002D46CB"/>
    <w:rsid w:val="002D5404"/>
    <w:rsid w:val="002D5AB3"/>
    <w:rsid w:val="002D7FC3"/>
    <w:rsid w:val="002E0440"/>
    <w:rsid w:val="002E45B1"/>
    <w:rsid w:val="002E7C2E"/>
    <w:rsid w:val="002E7EE6"/>
    <w:rsid w:val="002F122D"/>
    <w:rsid w:val="002F1AE1"/>
    <w:rsid w:val="002F4867"/>
    <w:rsid w:val="002F5425"/>
    <w:rsid w:val="002F78E0"/>
    <w:rsid w:val="00300AD2"/>
    <w:rsid w:val="0030139F"/>
    <w:rsid w:val="00303B3A"/>
    <w:rsid w:val="0030525F"/>
    <w:rsid w:val="003054C0"/>
    <w:rsid w:val="00306EC7"/>
    <w:rsid w:val="0030751A"/>
    <w:rsid w:val="0030799C"/>
    <w:rsid w:val="00310353"/>
    <w:rsid w:val="003124F5"/>
    <w:rsid w:val="0031258E"/>
    <w:rsid w:val="00316614"/>
    <w:rsid w:val="003201C9"/>
    <w:rsid w:val="00320250"/>
    <w:rsid w:val="0032172B"/>
    <w:rsid w:val="00321FE8"/>
    <w:rsid w:val="003238B1"/>
    <w:rsid w:val="003245D8"/>
    <w:rsid w:val="0032616A"/>
    <w:rsid w:val="0032673F"/>
    <w:rsid w:val="00331742"/>
    <w:rsid w:val="00333650"/>
    <w:rsid w:val="003354D9"/>
    <w:rsid w:val="003364A5"/>
    <w:rsid w:val="003407B6"/>
    <w:rsid w:val="00342D69"/>
    <w:rsid w:val="00343208"/>
    <w:rsid w:val="0034394D"/>
    <w:rsid w:val="003451C8"/>
    <w:rsid w:val="00346F44"/>
    <w:rsid w:val="0034700C"/>
    <w:rsid w:val="003473CF"/>
    <w:rsid w:val="00347472"/>
    <w:rsid w:val="003502C8"/>
    <w:rsid w:val="003549C7"/>
    <w:rsid w:val="00354DD7"/>
    <w:rsid w:val="00355B0D"/>
    <w:rsid w:val="00355EF6"/>
    <w:rsid w:val="00355F03"/>
    <w:rsid w:val="003578A1"/>
    <w:rsid w:val="00360642"/>
    <w:rsid w:val="0036278C"/>
    <w:rsid w:val="00362D5B"/>
    <w:rsid w:val="00362F90"/>
    <w:rsid w:val="00364C6B"/>
    <w:rsid w:val="003665AA"/>
    <w:rsid w:val="00372FE8"/>
    <w:rsid w:val="00374097"/>
    <w:rsid w:val="003743CD"/>
    <w:rsid w:val="00375489"/>
    <w:rsid w:val="003768A8"/>
    <w:rsid w:val="003811BA"/>
    <w:rsid w:val="003843E1"/>
    <w:rsid w:val="0038449F"/>
    <w:rsid w:val="00384ABA"/>
    <w:rsid w:val="00385DC8"/>
    <w:rsid w:val="00386319"/>
    <w:rsid w:val="0038707D"/>
    <w:rsid w:val="0039193B"/>
    <w:rsid w:val="00395C06"/>
    <w:rsid w:val="00396C12"/>
    <w:rsid w:val="0039758B"/>
    <w:rsid w:val="003A053D"/>
    <w:rsid w:val="003A1161"/>
    <w:rsid w:val="003A211A"/>
    <w:rsid w:val="003A336B"/>
    <w:rsid w:val="003A42EC"/>
    <w:rsid w:val="003A48CF"/>
    <w:rsid w:val="003A4FF0"/>
    <w:rsid w:val="003A5134"/>
    <w:rsid w:val="003A6D3C"/>
    <w:rsid w:val="003A7402"/>
    <w:rsid w:val="003A789F"/>
    <w:rsid w:val="003A7A5E"/>
    <w:rsid w:val="003B25C0"/>
    <w:rsid w:val="003B2911"/>
    <w:rsid w:val="003B2B07"/>
    <w:rsid w:val="003B53A5"/>
    <w:rsid w:val="003B5BF5"/>
    <w:rsid w:val="003C0958"/>
    <w:rsid w:val="003C510D"/>
    <w:rsid w:val="003C64FE"/>
    <w:rsid w:val="003C722A"/>
    <w:rsid w:val="003D0461"/>
    <w:rsid w:val="003D1175"/>
    <w:rsid w:val="003D197C"/>
    <w:rsid w:val="003D4490"/>
    <w:rsid w:val="003D4F7D"/>
    <w:rsid w:val="003D5093"/>
    <w:rsid w:val="003D58F2"/>
    <w:rsid w:val="003D7184"/>
    <w:rsid w:val="003E051A"/>
    <w:rsid w:val="003E1165"/>
    <w:rsid w:val="003E198E"/>
    <w:rsid w:val="003E2AF3"/>
    <w:rsid w:val="003E7D69"/>
    <w:rsid w:val="003F1184"/>
    <w:rsid w:val="003F1C9F"/>
    <w:rsid w:val="003F2561"/>
    <w:rsid w:val="003F2CCD"/>
    <w:rsid w:val="003F33D9"/>
    <w:rsid w:val="003F4283"/>
    <w:rsid w:val="003F620A"/>
    <w:rsid w:val="00401851"/>
    <w:rsid w:val="00404A5E"/>
    <w:rsid w:val="0040532E"/>
    <w:rsid w:val="00405AF8"/>
    <w:rsid w:val="00407613"/>
    <w:rsid w:val="0041136E"/>
    <w:rsid w:val="00412A88"/>
    <w:rsid w:val="0041501E"/>
    <w:rsid w:val="004161EB"/>
    <w:rsid w:val="00416731"/>
    <w:rsid w:val="00420782"/>
    <w:rsid w:val="00421610"/>
    <w:rsid w:val="0042246E"/>
    <w:rsid w:val="0042517A"/>
    <w:rsid w:val="00427F33"/>
    <w:rsid w:val="00431817"/>
    <w:rsid w:val="00431EBA"/>
    <w:rsid w:val="004359B4"/>
    <w:rsid w:val="004368BD"/>
    <w:rsid w:val="00437378"/>
    <w:rsid w:val="00440C2F"/>
    <w:rsid w:val="00441A94"/>
    <w:rsid w:val="00443018"/>
    <w:rsid w:val="00443FC0"/>
    <w:rsid w:val="00444015"/>
    <w:rsid w:val="00447B3B"/>
    <w:rsid w:val="00450743"/>
    <w:rsid w:val="00451BA9"/>
    <w:rsid w:val="004557C2"/>
    <w:rsid w:val="004604B1"/>
    <w:rsid w:val="004608E2"/>
    <w:rsid w:val="00465680"/>
    <w:rsid w:val="00470DDC"/>
    <w:rsid w:val="00476061"/>
    <w:rsid w:val="00481EB1"/>
    <w:rsid w:val="004831FB"/>
    <w:rsid w:val="0048406A"/>
    <w:rsid w:val="00486F62"/>
    <w:rsid w:val="0049050E"/>
    <w:rsid w:val="0049277E"/>
    <w:rsid w:val="004933AE"/>
    <w:rsid w:val="004946C6"/>
    <w:rsid w:val="004A2B52"/>
    <w:rsid w:val="004A37A7"/>
    <w:rsid w:val="004A5DFE"/>
    <w:rsid w:val="004A6A09"/>
    <w:rsid w:val="004B1898"/>
    <w:rsid w:val="004B2376"/>
    <w:rsid w:val="004B6856"/>
    <w:rsid w:val="004B764D"/>
    <w:rsid w:val="004C1D9A"/>
    <w:rsid w:val="004C5AFC"/>
    <w:rsid w:val="004D14F2"/>
    <w:rsid w:val="004D1A14"/>
    <w:rsid w:val="004D1DBC"/>
    <w:rsid w:val="004D666C"/>
    <w:rsid w:val="004E3432"/>
    <w:rsid w:val="004E3890"/>
    <w:rsid w:val="004E39E9"/>
    <w:rsid w:val="004E3A06"/>
    <w:rsid w:val="004E7944"/>
    <w:rsid w:val="004F0BA5"/>
    <w:rsid w:val="004F1642"/>
    <w:rsid w:val="004F4C7B"/>
    <w:rsid w:val="005035C0"/>
    <w:rsid w:val="0050395A"/>
    <w:rsid w:val="00503D4B"/>
    <w:rsid w:val="00504248"/>
    <w:rsid w:val="005049E1"/>
    <w:rsid w:val="0050511E"/>
    <w:rsid w:val="005069EF"/>
    <w:rsid w:val="00507DAC"/>
    <w:rsid w:val="00511A78"/>
    <w:rsid w:val="00511DD0"/>
    <w:rsid w:val="00512CC9"/>
    <w:rsid w:val="00512E91"/>
    <w:rsid w:val="00517421"/>
    <w:rsid w:val="0052175B"/>
    <w:rsid w:val="00521FB4"/>
    <w:rsid w:val="00523622"/>
    <w:rsid w:val="0052392B"/>
    <w:rsid w:val="00524DAE"/>
    <w:rsid w:val="00525345"/>
    <w:rsid w:val="00531A8C"/>
    <w:rsid w:val="0053386A"/>
    <w:rsid w:val="00534B1C"/>
    <w:rsid w:val="00536461"/>
    <w:rsid w:val="005364B6"/>
    <w:rsid w:val="00541825"/>
    <w:rsid w:val="005424D4"/>
    <w:rsid w:val="00543287"/>
    <w:rsid w:val="00546375"/>
    <w:rsid w:val="0054691E"/>
    <w:rsid w:val="00547106"/>
    <w:rsid w:val="00547DF1"/>
    <w:rsid w:val="00547E3F"/>
    <w:rsid w:val="005500F2"/>
    <w:rsid w:val="0055514F"/>
    <w:rsid w:val="00556461"/>
    <w:rsid w:val="00556927"/>
    <w:rsid w:val="005576B4"/>
    <w:rsid w:val="005578EB"/>
    <w:rsid w:val="00560555"/>
    <w:rsid w:val="00560670"/>
    <w:rsid w:val="00560766"/>
    <w:rsid w:val="00560A47"/>
    <w:rsid w:val="00562E75"/>
    <w:rsid w:val="005639D7"/>
    <w:rsid w:val="00564066"/>
    <w:rsid w:val="005718C9"/>
    <w:rsid w:val="0057415B"/>
    <w:rsid w:val="00575E62"/>
    <w:rsid w:val="0057793B"/>
    <w:rsid w:val="00582383"/>
    <w:rsid w:val="005825B3"/>
    <w:rsid w:val="00582F54"/>
    <w:rsid w:val="0058300A"/>
    <w:rsid w:val="00584497"/>
    <w:rsid w:val="0058569B"/>
    <w:rsid w:val="005917C7"/>
    <w:rsid w:val="0059204A"/>
    <w:rsid w:val="005924EC"/>
    <w:rsid w:val="00594B49"/>
    <w:rsid w:val="005A4ABA"/>
    <w:rsid w:val="005A64C9"/>
    <w:rsid w:val="005A7625"/>
    <w:rsid w:val="005B1C18"/>
    <w:rsid w:val="005B2163"/>
    <w:rsid w:val="005B3279"/>
    <w:rsid w:val="005B6EAA"/>
    <w:rsid w:val="005B7512"/>
    <w:rsid w:val="005B7D2A"/>
    <w:rsid w:val="005C02B0"/>
    <w:rsid w:val="005C0741"/>
    <w:rsid w:val="005C0E19"/>
    <w:rsid w:val="005C28B6"/>
    <w:rsid w:val="005C4E09"/>
    <w:rsid w:val="005C5581"/>
    <w:rsid w:val="005C70AE"/>
    <w:rsid w:val="005C78E2"/>
    <w:rsid w:val="005D06DE"/>
    <w:rsid w:val="005D0AA0"/>
    <w:rsid w:val="005D0C2C"/>
    <w:rsid w:val="005D1282"/>
    <w:rsid w:val="005D1915"/>
    <w:rsid w:val="005D20B4"/>
    <w:rsid w:val="005D3E30"/>
    <w:rsid w:val="005D425F"/>
    <w:rsid w:val="005D68B8"/>
    <w:rsid w:val="005D6C8D"/>
    <w:rsid w:val="005E1AD1"/>
    <w:rsid w:val="005E1BC4"/>
    <w:rsid w:val="005E3C88"/>
    <w:rsid w:val="005E4F60"/>
    <w:rsid w:val="005E5195"/>
    <w:rsid w:val="005E55C1"/>
    <w:rsid w:val="005E5A9E"/>
    <w:rsid w:val="005E5DF0"/>
    <w:rsid w:val="005E6E82"/>
    <w:rsid w:val="005F26C8"/>
    <w:rsid w:val="005F2712"/>
    <w:rsid w:val="005F6389"/>
    <w:rsid w:val="0060043D"/>
    <w:rsid w:val="006051B5"/>
    <w:rsid w:val="006054B8"/>
    <w:rsid w:val="006057BB"/>
    <w:rsid w:val="00607753"/>
    <w:rsid w:val="00610590"/>
    <w:rsid w:val="0061264F"/>
    <w:rsid w:val="00613D9D"/>
    <w:rsid w:val="006151D1"/>
    <w:rsid w:val="00616EDE"/>
    <w:rsid w:val="00623F5E"/>
    <w:rsid w:val="00627CD8"/>
    <w:rsid w:val="0063033E"/>
    <w:rsid w:val="00630C9D"/>
    <w:rsid w:val="00631C33"/>
    <w:rsid w:val="00632FD7"/>
    <w:rsid w:val="00633B29"/>
    <w:rsid w:val="0063453A"/>
    <w:rsid w:val="006347A9"/>
    <w:rsid w:val="00635522"/>
    <w:rsid w:val="00635CAB"/>
    <w:rsid w:val="00636755"/>
    <w:rsid w:val="006370B4"/>
    <w:rsid w:val="00640014"/>
    <w:rsid w:val="006404F4"/>
    <w:rsid w:val="006413B3"/>
    <w:rsid w:val="006421CD"/>
    <w:rsid w:val="00643FB5"/>
    <w:rsid w:val="00644508"/>
    <w:rsid w:val="00644CD9"/>
    <w:rsid w:val="00646845"/>
    <w:rsid w:val="00646F80"/>
    <w:rsid w:val="00650FD6"/>
    <w:rsid w:val="00651A0C"/>
    <w:rsid w:val="00652370"/>
    <w:rsid w:val="00652533"/>
    <w:rsid w:val="0065588C"/>
    <w:rsid w:val="006561F8"/>
    <w:rsid w:val="006577FF"/>
    <w:rsid w:val="00657DA9"/>
    <w:rsid w:val="00657E48"/>
    <w:rsid w:val="00660A61"/>
    <w:rsid w:val="00660DDB"/>
    <w:rsid w:val="00665D00"/>
    <w:rsid w:val="00665F3A"/>
    <w:rsid w:val="00666F1B"/>
    <w:rsid w:val="006717C1"/>
    <w:rsid w:val="00674140"/>
    <w:rsid w:val="0068110D"/>
    <w:rsid w:val="006815E1"/>
    <w:rsid w:val="006841A5"/>
    <w:rsid w:val="00685B82"/>
    <w:rsid w:val="00690D32"/>
    <w:rsid w:val="00691F49"/>
    <w:rsid w:val="006927CC"/>
    <w:rsid w:val="00692C51"/>
    <w:rsid w:val="00695C69"/>
    <w:rsid w:val="0069639B"/>
    <w:rsid w:val="0069684F"/>
    <w:rsid w:val="006968A0"/>
    <w:rsid w:val="006A0118"/>
    <w:rsid w:val="006A09D4"/>
    <w:rsid w:val="006A1940"/>
    <w:rsid w:val="006A25A6"/>
    <w:rsid w:val="006A2B0B"/>
    <w:rsid w:val="006B1CA9"/>
    <w:rsid w:val="006B2CB8"/>
    <w:rsid w:val="006B38EA"/>
    <w:rsid w:val="006B46A2"/>
    <w:rsid w:val="006B5616"/>
    <w:rsid w:val="006B5671"/>
    <w:rsid w:val="006B696A"/>
    <w:rsid w:val="006B6F2F"/>
    <w:rsid w:val="006C13F8"/>
    <w:rsid w:val="006C1FFC"/>
    <w:rsid w:val="006C4CC6"/>
    <w:rsid w:val="006C66D1"/>
    <w:rsid w:val="006C6DF3"/>
    <w:rsid w:val="006D18A5"/>
    <w:rsid w:val="006D2369"/>
    <w:rsid w:val="006D406D"/>
    <w:rsid w:val="006D43FC"/>
    <w:rsid w:val="006D4FAE"/>
    <w:rsid w:val="006D50E5"/>
    <w:rsid w:val="006D5D26"/>
    <w:rsid w:val="006D780C"/>
    <w:rsid w:val="006E055A"/>
    <w:rsid w:val="006E05E9"/>
    <w:rsid w:val="006E2EE9"/>
    <w:rsid w:val="006E35D3"/>
    <w:rsid w:val="006E54D9"/>
    <w:rsid w:val="006F1C10"/>
    <w:rsid w:val="006F54F9"/>
    <w:rsid w:val="006F6C9D"/>
    <w:rsid w:val="00702E03"/>
    <w:rsid w:val="00703572"/>
    <w:rsid w:val="007058DC"/>
    <w:rsid w:val="007068E2"/>
    <w:rsid w:val="00706918"/>
    <w:rsid w:val="00707F85"/>
    <w:rsid w:val="00710E80"/>
    <w:rsid w:val="00711140"/>
    <w:rsid w:val="007158A0"/>
    <w:rsid w:val="0072116F"/>
    <w:rsid w:val="00722044"/>
    <w:rsid w:val="00725E59"/>
    <w:rsid w:val="0072666D"/>
    <w:rsid w:val="00731721"/>
    <w:rsid w:val="00731A3F"/>
    <w:rsid w:val="00735B90"/>
    <w:rsid w:val="007365CF"/>
    <w:rsid w:val="0074021A"/>
    <w:rsid w:val="00742307"/>
    <w:rsid w:val="007428EE"/>
    <w:rsid w:val="007431BD"/>
    <w:rsid w:val="00744E5B"/>
    <w:rsid w:val="00746674"/>
    <w:rsid w:val="007473B5"/>
    <w:rsid w:val="00747A07"/>
    <w:rsid w:val="0075191D"/>
    <w:rsid w:val="007533B9"/>
    <w:rsid w:val="007541F6"/>
    <w:rsid w:val="00754644"/>
    <w:rsid w:val="007564D0"/>
    <w:rsid w:val="00760E86"/>
    <w:rsid w:val="00763915"/>
    <w:rsid w:val="00763FC9"/>
    <w:rsid w:val="007666E7"/>
    <w:rsid w:val="00766FEB"/>
    <w:rsid w:val="00770394"/>
    <w:rsid w:val="007715C4"/>
    <w:rsid w:val="00771E02"/>
    <w:rsid w:val="00773423"/>
    <w:rsid w:val="007744EF"/>
    <w:rsid w:val="00774C83"/>
    <w:rsid w:val="00774DA0"/>
    <w:rsid w:val="00776A41"/>
    <w:rsid w:val="00777A77"/>
    <w:rsid w:val="00780F15"/>
    <w:rsid w:val="00781B4F"/>
    <w:rsid w:val="00782A28"/>
    <w:rsid w:val="0078420E"/>
    <w:rsid w:val="0078723C"/>
    <w:rsid w:val="007872E7"/>
    <w:rsid w:val="007901E4"/>
    <w:rsid w:val="007904CC"/>
    <w:rsid w:val="00792C67"/>
    <w:rsid w:val="00792D61"/>
    <w:rsid w:val="007A132F"/>
    <w:rsid w:val="007A1533"/>
    <w:rsid w:val="007A473D"/>
    <w:rsid w:val="007A7413"/>
    <w:rsid w:val="007B3131"/>
    <w:rsid w:val="007B6137"/>
    <w:rsid w:val="007B771E"/>
    <w:rsid w:val="007C0398"/>
    <w:rsid w:val="007C370E"/>
    <w:rsid w:val="007C5D79"/>
    <w:rsid w:val="007C7AA4"/>
    <w:rsid w:val="007D00FB"/>
    <w:rsid w:val="007D0100"/>
    <w:rsid w:val="007D0B0E"/>
    <w:rsid w:val="007D12AA"/>
    <w:rsid w:val="007D12F0"/>
    <w:rsid w:val="007D1824"/>
    <w:rsid w:val="007D38C4"/>
    <w:rsid w:val="007D6C0B"/>
    <w:rsid w:val="007E1DB0"/>
    <w:rsid w:val="007E22DA"/>
    <w:rsid w:val="007E2D59"/>
    <w:rsid w:val="007F0E59"/>
    <w:rsid w:val="007F4B5A"/>
    <w:rsid w:val="007F50AD"/>
    <w:rsid w:val="00800B3F"/>
    <w:rsid w:val="008019FB"/>
    <w:rsid w:val="0080247C"/>
    <w:rsid w:val="00802721"/>
    <w:rsid w:val="00802EEB"/>
    <w:rsid w:val="00803BC8"/>
    <w:rsid w:val="00805DB7"/>
    <w:rsid w:val="00806982"/>
    <w:rsid w:val="00806D71"/>
    <w:rsid w:val="00810331"/>
    <w:rsid w:val="0081090A"/>
    <w:rsid w:val="00810B9F"/>
    <w:rsid w:val="008137E0"/>
    <w:rsid w:val="00814125"/>
    <w:rsid w:val="008158A0"/>
    <w:rsid w:val="00816A53"/>
    <w:rsid w:val="00816C16"/>
    <w:rsid w:val="00820660"/>
    <w:rsid w:val="00820D2D"/>
    <w:rsid w:val="0082287F"/>
    <w:rsid w:val="00823CDC"/>
    <w:rsid w:val="008267FA"/>
    <w:rsid w:val="00830CAC"/>
    <w:rsid w:val="008328BF"/>
    <w:rsid w:val="00833708"/>
    <w:rsid w:val="008347C8"/>
    <w:rsid w:val="00835BA3"/>
    <w:rsid w:val="0084315A"/>
    <w:rsid w:val="008431A5"/>
    <w:rsid w:val="0084381F"/>
    <w:rsid w:val="00843DCA"/>
    <w:rsid w:val="008505CC"/>
    <w:rsid w:val="00851B64"/>
    <w:rsid w:val="008534AF"/>
    <w:rsid w:val="00853D39"/>
    <w:rsid w:val="00860C33"/>
    <w:rsid w:val="008622B5"/>
    <w:rsid w:val="00862A6A"/>
    <w:rsid w:val="00862E5F"/>
    <w:rsid w:val="00864A52"/>
    <w:rsid w:val="008653E7"/>
    <w:rsid w:val="00866E60"/>
    <w:rsid w:val="00867F68"/>
    <w:rsid w:val="008719BB"/>
    <w:rsid w:val="008734ED"/>
    <w:rsid w:val="008802E5"/>
    <w:rsid w:val="008817FE"/>
    <w:rsid w:val="00881827"/>
    <w:rsid w:val="00883747"/>
    <w:rsid w:val="0088660D"/>
    <w:rsid w:val="00887FA8"/>
    <w:rsid w:val="008904A1"/>
    <w:rsid w:val="00891670"/>
    <w:rsid w:val="00892098"/>
    <w:rsid w:val="008923ED"/>
    <w:rsid w:val="00892F4C"/>
    <w:rsid w:val="00893EB9"/>
    <w:rsid w:val="00895867"/>
    <w:rsid w:val="0089687B"/>
    <w:rsid w:val="00896A12"/>
    <w:rsid w:val="008A4107"/>
    <w:rsid w:val="008A4ADD"/>
    <w:rsid w:val="008A50F6"/>
    <w:rsid w:val="008B145D"/>
    <w:rsid w:val="008B2012"/>
    <w:rsid w:val="008B2349"/>
    <w:rsid w:val="008B4025"/>
    <w:rsid w:val="008B6E0B"/>
    <w:rsid w:val="008B718C"/>
    <w:rsid w:val="008C047A"/>
    <w:rsid w:val="008C14D6"/>
    <w:rsid w:val="008C240F"/>
    <w:rsid w:val="008C34B5"/>
    <w:rsid w:val="008C558D"/>
    <w:rsid w:val="008C69D7"/>
    <w:rsid w:val="008D1445"/>
    <w:rsid w:val="008D2082"/>
    <w:rsid w:val="008D47C3"/>
    <w:rsid w:val="008D5131"/>
    <w:rsid w:val="008D52BA"/>
    <w:rsid w:val="008D7B4B"/>
    <w:rsid w:val="008E19B2"/>
    <w:rsid w:val="008E1C34"/>
    <w:rsid w:val="008E5BFD"/>
    <w:rsid w:val="008F4C0D"/>
    <w:rsid w:val="008F6A01"/>
    <w:rsid w:val="008F727C"/>
    <w:rsid w:val="00902167"/>
    <w:rsid w:val="00902935"/>
    <w:rsid w:val="00903656"/>
    <w:rsid w:val="009047CE"/>
    <w:rsid w:val="00905433"/>
    <w:rsid w:val="00905F32"/>
    <w:rsid w:val="00907FB5"/>
    <w:rsid w:val="0091277D"/>
    <w:rsid w:val="00914699"/>
    <w:rsid w:val="00915BA4"/>
    <w:rsid w:val="00916276"/>
    <w:rsid w:val="009168D7"/>
    <w:rsid w:val="009211F7"/>
    <w:rsid w:val="00921596"/>
    <w:rsid w:val="00921C70"/>
    <w:rsid w:val="00923C86"/>
    <w:rsid w:val="009241AD"/>
    <w:rsid w:val="00924893"/>
    <w:rsid w:val="009258F0"/>
    <w:rsid w:val="009270B9"/>
    <w:rsid w:val="009275EF"/>
    <w:rsid w:val="00927724"/>
    <w:rsid w:val="009349EE"/>
    <w:rsid w:val="00937A7D"/>
    <w:rsid w:val="00941018"/>
    <w:rsid w:val="0094119F"/>
    <w:rsid w:val="00941353"/>
    <w:rsid w:val="009414C2"/>
    <w:rsid w:val="0094224A"/>
    <w:rsid w:val="00942A09"/>
    <w:rsid w:val="009437C4"/>
    <w:rsid w:val="0094661C"/>
    <w:rsid w:val="00950969"/>
    <w:rsid w:val="00955F69"/>
    <w:rsid w:val="00956898"/>
    <w:rsid w:val="00957E46"/>
    <w:rsid w:val="00963607"/>
    <w:rsid w:val="0096445B"/>
    <w:rsid w:val="00965816"/>
    <w:rsid w:val="009658F6"/>
    <w:rsid w:val="00967301"/>
    <w:rsid w:val="0097296B"/>
    <w:rsid w:val="0097437F"/>
    <w:rsid w:val="00975B92"/>
    <w:rsid w:val="0097640B"/>
    <w:rsid w:val="00976BBD"/>
    <w:rsid w:val="0098058E"/>
    <w:rsid w:val="0098244B"/>
    <w:rsid w:val="0098376B"/>
    <w:rsid w:val="00984CB0"/>
    <w:rsid w:val="0098680D"/>
    <w:rsid w:val="00990BF6"/>
    <w:rsid w:val="00991C0E"/>
    <w:rsid w:val="009A1531"/>
    <w:rsid w:val="009A26CF"/>
    <w:rsid w:val="009A39B6"/>
    <w:rsid w:val="009A4CDA"/>
    <w:rsid w:val="009A65DD"/>
    <w:rsid w:val="009A6909"/>
    <w:rsid w:val="009B0676"/>
    <w:rsid w:val="009B2255"/>
    <w:rsid w:val="009B2358"/>
    <w:rsid w:val="009B441A"/>
    <w:rsid w:val="009B5D15"/>
    <w:rsid w:val="009B6818"/>
    <w:rsid w:val="009C1669"/>
    <w:rsid w:val="009C1A06"/>
    <w:rsid w:val="009C4E5D"/>
    <w:rsid w:val="009C5385"/>
    <w:rsid w:val="009D09FE"/>
    <w:rsid w:val="009D0B0A"/>
    <w:rsid w:val="009D2580"/>
    <w:rsid w:val="009D33A2"/>
    <w:rsid w:val="009D3938"/>
    <w:rsid w:val="009D41C9"/>
    <w:rsid w:val="009D4E0C"/>
    <w:rsid w:val="009E01E1"/>
    <w:rsid w:val="009E0B0C"/>
    <w:rsid w:val="009E23C8"/>
    <w:rsid w:val="009E28CC"/>
    <w:rsid w:val="009E2E10"/>
    <w:rsid w:val="009E32AF"/>
    <w:rsid w:val="009E3802"/>
    <w:rsid w:val="009E3803"/>
    <w:rsid w:val="009F3632"/>
    <w:rsid w:val="009F5592"/>
    <w:rsid w:val="009F61CD"/>
    <w:rsid w:val="009F6552"/>
    <w:rsid w:val="009F69D0"/>
    <w:rsid w:val="00A01E95"/>
    <w:rsid w:val="00A02BB9"/>
    <w:rsid w:val="00A03384"/>
    <w:rsid w:val="00A034D4"/>
    <w:rsid w:val="00A052EB"/>
    <w:rsid w:val="00A1108F"/>
    <w:rsid w:val="00A11B66"/>
    <w:rsid w:val="00A136CD"/>
    <w:rsid w:val="00A17536"/>
    <w:rsid w:val="00A20215"/>
    <w:rsid w:val="00A20D55"/>
    <w:rsid w:val="00A30C47"/>
    <w:rsid w:val="00A326AB"/>
    <w:rsid w:val="00A32716"/>
    <w:rsid w:val="00A33362"/>
    <w:rsid w:val="00A33BF2"/>
    <w:rsid w:val="00A33ECC"/>
    <w:rsid w:val="00A34472"/>
    <w:rsid w:val="00A3543F"/>
    <w:rsid w:val="00A40824"/>
    <w:rsid w:val="00A431C1"/>
    <w:rsid w:val="00A462CE"/>
    <w:rsid w:val="00A467AD"/>
    <w:rsid w:val="00A50C5E"/>
    <w:rsid w:val="00A5372E"/>
    <w:rsid w:val="00A53E4D"/>
    <w:rsid w:val="00A607CB"/>
    <w:rsid w:val="00A61E3C"/>
    <w:rsid w:val="00A62D14"/>
    <w:rsid w:val="00A64102"/>
    <w:rsid w:val="00A66843"/>
    <w:rsid w:val="00A67014"/>
    <w:rsid w:val="00A678C0"/>
    <w:rsid w:val="00A678FF"/>
    <w:rsid w:val="00A7145F"/>
    <w:rsid w:val="00A730D7"/>
    <w:rsid w:val="00A7440B"/>
    <w:rsid w:val="00A749DF"/>
    <w:rsid w:val="00A7505D"/>
    <w:rsid w:val="00A752AF"/>
    <w:rsid w:val="00A752EF"/>
    <w:rsid w:val="00A753B3"/>
    <w:rsid w:val="00A77448"/>
    <w:rsid w:val="00A831DB"/>
    <w:rsid w:val="00A847FD"/>
    <w:rsid w:val="00A84A03"/>
    <w:rsid w:val="00A86A71"/>
    <w:rsid w:val="00A8713F"/>
    <w:rsid w:val="00A8747F"/>
    <w:rsid w:val="00A879EC"/>
    <w:rsid w:val="00A91A96"/>
    <w:rsid w:val="00A92288"/>
    <w:rsid w:val="00A931E7"/>
    <w:rsid w:val="00A9392A"/>
    <w:rsid w:val="00A9501F"/>
    <w:rsid w:val="00AA0226"/>
    <w:rsid w:val="00AA06FE"/>
    <w:rsid w:val="00AA1CD2"/>
    <w:rsid w:val="00AA22A7"/>
    <w:rsid w:val="00AA3CAE"/>
    <w:rsid w:val="00AA530F"/>
    <w:rsid w:val="00AA7A1F"/>
    <w:rsid w:val="00AB0AEF"/>
    <w:rsid w:val="00AB3647"/>
    <w:rsid w:val="00AB38D9"/>
    <w:rsid w:val="00AB5976"/>
    <w:rsid w:val="00AB6112"/>
    <w:rsid w:val="00AB6B68"/>
    <w:rsid w:val="00AB6E7C"/>
    <w:rsid w:val="00AB6EDA"/>
    <w:rsid w:val="00AB772B"/>
    <w:rsid w:val="00AC0C2D"/>
    <w:rsid w:val="00AC20AC"/>
    <w:rsid w:val="00AC33C1"/>
    <w:rsid w:val="00AC45E9"/>
    <w:rsid w:val="00AC58F1"/>
    <w:rsid w:val="00AC765F"/>
    <w:rsid w:val="00AD2F61"/>
    <w:rsid w:val="00AD5556"/>
    <w:rsid w:val="00AD6329"/>
    <w:rsid w:val="00AD6CED"/>
    <w:rsid w:val="00AD6DB7"/>
    <w:rsid w:val="00AD7A06"/>
    <w:rsid w:val="00AD7F4E"/>
    <w:rsid w:val="00AE00DD"/>
    <w:rsid w:val="00AE3717"/>
    <w:rsid w:val="00AE4539"/>
    <w:rsid w:val="00AE463F"/>
    <w:rsid w:val="00AE7BB3"/>
    <w:rsid w:val="00AF0413"/>
    <w:rsid w:val="00AF1A10"/>
    <w:rsid w:val="00AF3478"/>
    <w:rsid w:val="00AF3A3B"/>
    <w:rsid w:val="00AF3E26"/>
    <w:rsid w:val="00AF4D18"/>
    <w:rsid w:val="00AF513B"/>
    <w:rsid w:val="00B00047"/>
    <w:rsid w:val="00B00094"/>
    <w:rsid w:val="00B00FFD"/>
    <w:rsid w:val="00B05A92"/>
    <w:rsid w:val="00B05C02"/>
    <w:rsid w:val="00B05F12"/>
    <w:rsid w:val="00B1088C"/>
    <w:rsid w:val="00B12DF9"/>
    <w:rsid w:val="00B16D77"/>
    <w:rsid w:val="00B17927"/>
    <w:rsid w:val="00B2005F"/>
    <w:rsid w:val="00B220F5"/>
    <w:rsid w:val="00B242A2"/>
    <w:rsid w:val="00B264B1"/>
    <w:rsid w:val="00B27850"/>
    <w:rsid w:val="00B302A0"/>
    <w:rsid w:val="00B319F0"/>
    <w:rsid w:val="00B32D0E"/>
    <w:rsid w:val="00B33514"/>
    <w:rsid w:val="00B33C9A"/>
    <w:rsid w:val="00B35245"/>
    <w:rsid w:val="00B3574B"/>
    <w:rsid w:val="00B376E3"/>
    <w:rsid w:val="00B42038"/>
    <w:rsid w:val="00B42347"/>
    <w:rsid w:val="00B42351"/>
    <w:rsid w:val="00B45832"/>
    <w:rsid w:val="00B4621C"/>
    <w:rsid w:val="00B46FFF"/>
    <w:rsid w:val="00B60AE3"/>
    <w:rsid w:val="00B620FD"/>
    <w:rsid w:val="00B634C1"/>
    <w:rsid w:val="00B634CD"/>
    <w:rsid w:val="00B63E8A"/>
    <w:rsid w:val="00B64708"/>
    <w:rsid w:val="00B64A1B"/>
    <w:rsid w:val="00B75D30"/>
    <w:rsid w:val="00B76864"/>
    <w:rsid w:val="00B8346F"/>
    <w:rsid w:val="00B838CD"/>
    <w:rsid w:val="00B85199"/>
    <w:rsid w:val="00B85D7D"/>
    <w:rsid w:val="00B8670B"/>
    <w:rsid w:val="00B87473"/>
    <w:rsid w:val="00B902F5"/>
    <w:rsid w:val="00B91752"/>
    <w:rsid w:val="00B91B68"/>
    <w:rsid w:val="00B91B75"/>
    <w:rsid w:val="00B96F1B"/>
    <w:rsid w:val="00BA6D70"/>
    <w:rsid w:val="00BB054E"/>
    <w:rsid w:val="00BB0E36"/>
    <w:rsid w:val="00BB1123"/>
    <w:rsid w:val="00BB1811"/>
    <w:rsid w:val="00BB44D2"/>
    <w:rsid w:val="00BB5414"/>
    <w:rsid w:val="00BB5440"/>
    <w:rsid w:val="00BB5C95"/>
    <w:rsid w:val="00BB61D9"/>
    <w:rsid w:val="00BC0257"/>
    <w:rsid w:val="00BC1994"/>
    <w:rsid w:val="00BC465E"/>
    <w:rsid w:val="00BC59AF"/>
    <w:rsid w:val="00BC6111"/>
    <w:rsid w:val="00BC6F00"/>
    <w:rsid w:val="00BD5F8D"/>
    <w:rsid w:val="00BD6751"/>
    <w:rsid w:val="00BE07A6"/>
    <w:rsid w:val="00BE221D"/>
    <w:rsid w:val="00BE60A1"/>
    <w:rsid w:val="00BE6230"/>
    <w:rsid w:val="00BE6D80"/>
    <w:rsid w:val="00BE7926"/>
    <w:rsid w:val="00BF0A7B"/>
    <w:rsid w:val="00BF13F9"/>
    <w:rsid w:val="00BF31EA"/>
    <w:rsid w:val="00BF5828"/>
    <w:rsid w:val="00BF723F"/>
    <w:rsid w:val="00BF7C24"/>
    <w:rsid w:val="00C00792"/>
    <w:rsid w:val="00C00AB6"/>
    <w:rsid w:val="00C016B1"/>
    <w:rsid w:val="00C03A5A"/>
    <w:rsid w:val="00C0666C"/>
    <w:rsid w:val="00C12CBB"/>
    <w:rsid w:val="00C132CF"/>
    <w:rsid w:val="00C15615"/>
    <w:rsid w:val="00C2268A"/>
    <w:rsid w:val="00C2331A"/>
    <w:rsid w:val="00C23A65"/>
    <w:rsid w:val="00C24A7B"/>
    <w:rsid w:val="00C25C7A"/>
    <w:rsid w:val="00C262F2"/>
    <w:rsid w:val="00C30261"/>
    <w:rsid w:val="00C326FE"/>
    <w:rsid w:val="00C3527A"/>
    <w:rsid w:val="00C3551B"/>
    <w:rsid w:val="00C357A0"/>
    <w:rsid w:val="00C36853"/>
    <w:rsid w:val="00C40369"/>
    <w:rsid w:val="00C403DF"/>
    <w:rsid w:val="00C44A5D"/>
    <w:rsid w:val="00C454F9"/>
    <w:rsid w:val="00C45B5E"/>
    <w:rsid w:val="00C461FE"/>
    <w:rsid w:val="00C4749A"/>
    <w:rsid w:val="00C5040E"/>
    <w:rsid w:val="00C52C52"/>
    <w:rsid w:val="00C547C1"/>
    <w:rsid w:val="00C54F63"/>
    <w:rsid w:val="00C56D59"/>
    <w:rsid w:val="00C56E82"/>
    <w:rsid w:val="00C633DD"/>
    <w:rsid w:val="00C63E4C"/>
    <w:rsid w:val="00C640D8"/>
    <w:rsid w:val="00C6568C"/>
    <w:rsid w:val="00C663C3"/>
    <w:rsid w:val="00C702D5"/>
    <w:rsid w:val="00C7101C"/>
    <w:rsid w:val="00C71995"/>
    <w:rsid w:val="00C73651"/>
    <w:rsid w:val="00C736D5"/>
    <w:rsid w:val="00C80370"/>
    <w:rsid w:val="00C81597"/>
    <w:rsid w:val="00C81FC8"/>
    <w:rsid w:val="00C86570"/>
    <w:rsid w:val="00C87766"/>
    <w:rsid w:val="00C91645"/>
    <w:rsid w:val="00C93D69"/>
    <w:rsid w:val="00C9506D"/>
    <w:rsid w:val="00C951DC"/>
    <w:rsid w:val="00C96A42"/>
    <w:rsid w:val="00CA01FE"/>
    <w:rsid w:val="00CA0B86"/>
    <w:rsid w:val="00CA2003"/>
    <w:rsid w:val="00CA4DD6"/>
    <w:rsid w:val="00CA4EF6"/>
    <w:rsid w:val="00CA669C"/>
    <w:rsid w:val="00CB0384"/>
    <w:rsid w:val="00CB038C"/>
    <w:rsid w:val="00CB130B"/>
    <w:rsid w:val="00CB31B4"/>
    <w:rsid w:val="00CB597B"/>
    <w:rsid w:val="00CC0EEF"/>
    <w:rsid w:val="00CC52F1"/>
    <w:rsid w:val="00CC5AA8"/>
    <w:rsid w:val="00CC5FCB"/>
    <w:rsid w:val="00CC62D9"/>
    <w:rsid w:val="00CC6335"/>
    <w:rsid w:val="00CC7E69"/>
    <w:rsid w:val="00CD0AEE"/>
    <w:rsid w:val="00CD119A"/>
    <w:rsid w:val="00CD245C"/>
    <w:rsid w:val="00CD25B5"/>
    <w:rsid w:val="00CD5A69"/>
    <w:rsid w:val="00CD690F"/>
    <w:rsid w:val="00CD6B55"/>
    <w:rsid w:val="00CD735F"/>
    <w:rsid w:val="00CE29D5"/>
    <w:rsid w:val="00CE2FE7"/>
    <w:rsid w:val="00CE3285"/>
    <w:rsid w:val="00CE38EC"/>
    <w:rsid w:val="00CE43E5"/>
    <w:rsid w:val="00CE4C04"/>
    <w:rsid w:val="00CE51FA"/>
    <w:rsid w:val="00CF0413"/>
    <w:rsid w:val="00CF20AD"/>
    <w:rsid w:val="00D00D22"/>
    <w:rsid w:val="00D02BB2"/>
    <w:rsid w:val="00D0448F"/>
    <w:rsid w:val="00D05B0B"/>
    <w:rsid w:val="00D06065"/>
    <w:rsid w:val="00D064E7"/>
    <w:rsid w:val="00D06E52"/>
    <w:rsid w:val="00D07CA7"/>
    <w:rsid w:val="00D118A7"/>
    <w:rsid w:val="00D11F4D"/>
    <w:rsid w:val="00D129AE"/>
    <w:rsid w:val="00D13538"/>
    <w:rsid w:val="00D13F1E"/>
    <w:rsid w:val="00D145DD"/>
    <w:rsid w:val="00D16126"/>
    <w:rsid w:val="00D17E48"/>
    <w:rsid w:val="00D22651"/>
    <w:rsid w:val="00D22C9B"/>
    <w:rsid w:val="00D23AFE"/>
    <w:rsid w:val="00D2557B"/>
    <w:rsid w:val="00D2692F"/>
    <w:rsid w:val="00D2699C"/>
    <w:rsid w:val="00D26FBC"/>
    <w:rsid w:val="00D31651"/>
    <w:rsid w:val="00D3393F"/>
    <w:rsid w:val="00D33A39"/>
    <w:rsid w:val="00D34750"/>
    <w:rsid w:val="00D34767"/>
    <w:rsid w:val="00D36D68"/>
    <w:rsid w:val="00D42342"/>
    <w:rsid w:val="00D429F4"/>
    <w:rsid w:val="00D431A4"/>
    <w:rsid w:val="00D4529E"/>
    <w:rsid w:val="00D456DB"/>
    <w:rsid w:val="00D45790"/>
    <w:rsid w:val="00D45985"/>
    <w:rsid w:val="00D45B7C"/>
    <w:rsid w:val="00D4614C"/>
    <w:rsid w:val="00D46F87"/>
    <w:rsid w:val="00D478C5"/>
    <w:rsid w:val="00D508C7"/>
    <w:rsid w:val="00D542F7"/>
    <w:rsid w:val="00D5627A"/>
    <w:rsid w:val="00D61F87"/>
    <w:rsid w:val="00D62364"/>
    <w:rsid w:val="00D62496"/>
    <w:rsid w:val="00D65DD8"/>
    <w:rsid w:val="00D66A8A"/>
    <w:rsid w:val="00D67D51"/>
    <w:rsid w:val="00D7069F"/>
    <w:rsid w:val="00D708A7"/>
    <w:rsid w:val="00D71F81"/>
    <w:rsid w:val="00D72E1F"/>
    <w:rsid w:val="00D73E50"/>
    <w:rsid w:val="00D77A01"/>
    <w:rsid w:val="00D77D98"/>
    <w:rsid w:val="00D830AD"/>
    <w:rsid w:val="00D84EF1"/>
    <w:rsid w:val="00D8523F"/>
    <w:rsid w:val="00D8620F"/>
    <w:rsid w:val="00D86C36"/>
    <w:rsid w:val="00D9065D"/>
    <w:rsid w:val="00D915C7"/>
    <w:rsid w:val="00D92E53"/>
    <w:rsid w:val="00D93B97"/>
    <w:rsid w:val="00D94F67"/>
    <w:rsid w:val="00D950C5"/>
    <w:rsid w:val="00D9635C"/>
    <w:rsid w:val="00DA08AD"/>
    <w:rsid w:val="00DA1204"/>
    <w:rsid w:val="00DA3651"/>
    <w:rsid w:val="00DA3F0F"/>
    <w:rsid w:val="00DA4093"/>
    <w:rsid w:val="00DA4B2E"/>
    <w:rsid w:val="00DA552A"/>
    <w:rsid w:val="00DA5CAB"/>
    <w:rsid w:val="00DA69BC"/>
    <w:rsid w:val="00DA7BD7"/>
    <w:rsid w:val="00DB0EF2"/>
    <w:rsid w:val="00DB147A"/>
    <w:rsid w:val="00DB159A"/>
    <w:rsid w:val="00DB2041"/>
    <w:rsid w:val="00DB2CF4"/>
    <w:rsid w:val="00DB4E93"/>
    <w:rsid w:val="00DC0BAC"/>
    <w:rsid w:val="00DC0CFE"/>
    <w:rsid w:val="00DC3B66"/>
    <w:rsid w:val="00DC4515"/>
    <w:rsid w:val="00DC5254"/>
    <w:rsid w:val="00DC5CA8"/>
    <w:rsid w:val="00DD084A"/>
    <w:rsid w:val="00DD0A85"/>
    <w:rsid w:val="00DD1673"/>
    <w:rsid w:val="00DD3FF3"/>
    <w:rsid w:val="00DD5142"/>
    <w:rsid w:val="00DD641F"/>
    <w:rsid w:val="00DE111E"/>
    <w:rsid w:val="00DE268C"/>
    <w:rsid w:val="00DE46D5"/>
    <w:rsid w:val="00DE6682"/>
    <w:rsid w:val="00DF1DA3"/>
    <w:rsid w:val="00DF361D"/>
    <w:rsid w:val="00DF4D8C"/>
    <w:rsid w:val="00DF4E63"/>
    <w:rsid w:val="00DF565C"/>
    <w:rsid w:val="00DF5E2B"/>
    <w:rsid w:val="00DF7777"/>
    <w:rsid w:val="00E01340"/>
    <w:rsid w:val="00E01914"/>
    <w:rsid w:val="00E026AA"/>
    <w:rsid w:val="00E031C0"/>
    <w:rsid w:val="00E0394E"/>
    <w:rsid w:val="00E04DDD"/>
    <w:rsid w:val="00E052E1"/>
    <w:rsid w:val="00E0708E"/>
    <w:rsid w:val="00E076AB"/>
    <w:rsid w:val="00E10CBB"/>
    <w:rsid w:val="00E10F3C"/>
    <w:rsid w:val="00E129EF"/>
    <w:rsid w:val="00E13784"/>
    <w:rsid w:val="00E14F4A"/>
    <w:rsid w:val="00E16D80"/>
    <w:rsid w:val="00E1714D"/>
    <w:rsid w:val="00E171A6"/>
    <w:rsid w:val="00E17E48"/>
    <w:rsid w:val="00E211D5"/>
    <w:rsid w:val="00E22BB6"/>
    <w:rsid w:val="00E23792"/>
    <w:rsid w:val="00E26050"/>
    <w:rsid w:val="00E26A2A"/>
    <w:rsid w:val="00E26E34"/>
    <w:rsid w:val="00E30BFB"/>
    <w:rsid w:val="00E35413"/>
    <w:rsid w:val="00E35763"/>
    <w:rsid w:val="00E4033D"/>
    <w:rsid w:val="00E413AA"/>
    <w:rsid w:val="00E42AE6"/>
    <w:rsid w:val="00E47F4F"/>
    <w:rsid w:val="00E47FCF"/>
    <w:rsid w:val="00E501C4"/>
    <w:rsid w:val="00E5097F"/>
    <w:rsid w:val="00E519F4"/>
    <w:rsid w:val="00E51BC3"/>
    <w:rsid w:val="00E52489"/>
    <w:rsid w:val="00E53E8E"/>
    <w:rsid w:val="00E5516A"/>
    <w:rsid w:val="00E55392"/>
    <w:rsid w:val="00E560D1"/>
    <w:rsid w:val="00E626FE"/>
    <w:rsid w:val="00E62E04"/>
    <w:rsid w:val="00E63529"/>
    <w:rsid w:val="00E70669"/>
    <w:rsid w:val="00E70D79"/>
    <w:rsid w:val="00E7476D"/>
    <w:rsid w:val="00E8083D"/>
    <w:rsid w:val="00E862B3"/>
    <w:rsid w:val="00E865DD"/>
    <w:rsid w:val="00E86F8A"/>
    <w:rsid w:val="00E87B4A"/>
    <w:rsid w:val="00E90EEC"/>
    <w:rsid w:val="00E92D1D"/>
    <w:rsid w:val="00E9478F"/>
    <w:rsid w:val="00E95D4D"/>
    <w:rsid w:val="00E97CDD"/>
    <w:rsid w:val="00EA02C9"/>
    <w:rsid w:val="00EA0CA7"/>
    <w:rsid w:val="00EA39D4"/>
    <w:rsid w:val="00EA44A1"/>
    <w:rsid w:val="00EA4D73"/>
    <w:rsid w:val="00EA5058"/>
    <w:rsid w:val="00EA7FEA"/>
    <w:rsid w:val="00EB0250"/>
    <w:rsid w:val="00EB139D"/>
    <w:rsid w:val="00EB2088"/>
    <w:rsid w:val="00EB2F4D"/>
    <w:rsid w:val="00EB2FFA"/>
    <w:rsid w:val="00EB3357"/>
    <w:rsid w:val="00EB4FE3"/>
    <w:rsid w:val="00EC599B"/>
    <w:rsid w:val="00EC6D8D"/>
    <w:rsid w:val="00EC717F"/>
    <w:rsid w:val="00ED1219"/>
    <w:rsid w:val="00ED5F6E"/>
    <w:rsid w:val="00ED6093"/>
    <w:rsid w:val="00EE126E"/>
    <w:rsid w:val="00EE44A9"/>
    <w:rsid w:val="00EE4D17"/>
    <w:rsid w:val="00EF096A"/>
    <w:rsid w:val="00EF1E64"/>
    <w:rsid w:val="00EF5766"/>
    <w:rsid w:val="00EF58CB"/>
    <w:rsid w:val="00EF709C"/>
    <w:rsid w:val="00EF7F30"/>
    <w:rsid w:val="00F01DFC"/>
    <w:rsid w:val="00F03916"/>
    <w:rsid w:val="00F04783"/>
    <w:rsid w:val="00F056B9"/>
    <w:rsid w:val="00F0687D"/>
    <w:rsid w:val="00F06E9F"/>
    <w:rsid w:val="00F070BE"/>
    <w:rsid w:val="00F07132"/>
    <w:rsid w:val="00F079A2"/>
    <w:rsid w:val="00F07AF3"/>
    <w:rsid w:val="00F07BC5"/>
    <w:rsid w:val="00F105CE"/>
    <w:rsid w:val="00F1066A"/>
    <w:rsid w:val="00F15561"/>
    <w:rsid w:val="00F1793A"/>
    <w:rsid w:val="00F21D3A"/>
    <w:rsid w:val="00F22C2D"/>
    <w:rsid w:val="00F23D7C"/>
    <w:rsid w:val="00F24E0B"/>
    <w:rsid w:val="00F2747F"/>
    <w:rsid w:val="00F27FC2"/>
    <w:rsid w:val="00F340C5"/>
    <w:rsid w:val="00F341B9"/>
    <w:rsid w:val="00F34DBB"/>
    <w:rsid w:val="00F35C65"/>
    <w:rsid w:val="00F36052"/>
    <w:rsid w:val="00F3657C"/>
    <w:rsid w:val="00F40F57"/>
    <w:rsid w:val="00F41C60"/>
    <w:rsid w:val="00F43463"/>
    <w:rsid w:val="00F456BB"/>
    <w:rsid w:val="00F45867"/>
    <w:rsid w:val="00F463B7"/>
    <w:rsid w:val="00F51B42"/>
    <w:rsid w:val="00F51C8C"/>
    <w:rsid w:val="00F531B9"/>
    <w:rsid w:val="00F53E44"/>
    <w:rsid w:val="00F54004"/>
    <w:rsid w:val="00F54835"/>
    <w:rsid w:val="00F55F65"/>
    <w:rsid w:val="00F570D9"/>
    <w:rsid w:val="00F57BA8"/>
    <w:rsid w:val="00F6069F"/>
    <w:rsid w:val="00F60C46"/>
    <w:rsid w:val="00F634AC"/>
    <w:rsid w:val="00F63619"/>
    <w:rsid w:val="00F63A16"/>
    <w:rsid w:val="00F670CA"/>
    <w:rsid w:val="00F67111"/>
    <w:rsid w:val="00F71063"/>
    <w:rsid w:val="00F71D92"/>
    <w:rsid w:val="00F728A8"/>
    <w:rsid w:val="00F74049"/>
    <w:rsid w:val="00F761B7"/>
    <w:rsid w:val="00F76DD2"/>
    <w:rsid w:val="00F778A1"/>
    <w:rsid w:val="00F822E3"/>
    <w:rsid w:val="00F84C6D"/>
    <w:rsid w:val="00F87301"/>
    <w:rsid w:val="00F91B1A"/>
    <w:rsid w:val="00F938DC"/>
    <w:rsid w:val="00F93FD8"/>
    <w:rsid w:val="00F956DE"/>
    <w:rsid w:val="00F9728D"/>
    <w:rsid w:val="00F97C42"/>
    <w:rsid w:val="00FA1837"/>
    <w:rsid w:val="00FA1ED2"/>
    <w:rsid w:val="00FA261C"/>
    <w:rsid w:val="00FA2871"/>
    <w:rsid w:val="00FA3596"/>
    <w:rsid w:val="00FA4430"/>
    <w:rsid w:val="00FB0BC7"/>
    <w:rsid w:val="00FB0F4E"/>
    <w:rsid w:val="00FB10E2"/>
    <w:rsid w:val="00FB3DAD"/>
    <w:rsid w:val="00FB417D"/>
    <w:rsid w:val="00FB5108"/>
    <w:rsid w:val="00FB5698"/>
    <w:rsid w:val="00FB6FF1"/>
    <w:rsid w:val="00FB74EB"/>
    <w:rsid w:val="00FB75FB"/>
    <w:rsid w:val="00FC0AB9"/>
    <w:rsid w:val="00FC233E"/>
    <w:rsid w:val="00FC6422"/>
    <w:rsid w:val="00FC67F6"/>
    <w:rsid w:val="00FC6952"/>
    <w:rsid w:val="00FC7A6B"/>
    <w:rsid w:val="00FD0F9B"/>
    <w:rsid w:val="00FD1374"/>
    <w:rsid w:val="00FD51FF"/>
    <w:rsid w:val="00FD6806"/>
    <w:rsid w:val="00FD6DB2"/>
    <w:rsid w:val="00FE2C49"/>
    <w:rsid w:val="00FE2C73"/>
    <w:rsid w:val="00FE466C"/>
    <w:rsid w:val="00FE5F8B"/>
    <w:rsid w:val="00FE6E2F"/>
    <w:rsid w:val="00FE6F9B"/>
    <w:rsid w:val="00FE721B"/>
    <w:rsid w:val="00FE793B"/>
    <w:rsid w:val="00FF0571"/>
    <w:rsid w:val="00FF059E"/>
    <w:rsid w:val="00FF1C5A"/>
    <w:rsid w:val="00FF5338"/>
    <w:rsid w:val="00FF648F"/>
    <w:rsid w:val="00FF6BE3"/>
    <w:rsid w:val="01744FBA"/>
    <w:rsid w:val="02A147E9"/>
    <w:rsid w:val="02C31095"/>
    <w:rsid w:val="031D1797"/>
    <w:rsid w:val="035E7E54"/>
    <w:rsid w:val="03BE7AAE"/>
    <w:rsid w:val="042D405A"/>
    <w:rsid w:val="04B836E6"/>
    <w:rsid w:val="05932A20"/>
    <w:rsid w:val="06085010"/>
    <w:rsid w:val="0808579C"/>
    <w:rsid w:val="0A122902"/>
    <w:rsid w:val="0A1E735B"/>
    <w:rsid w:val="0A475C55"/>
    <w:rsid w:val="0A8121B0"/>
    <w:rsid w:val="0B2654C1"/>
    <w:rsid w:val="0B5A630E"/>
    <w:rsid w:val="0BA64D16"/>
    <w:rsid w:val="0C772F6E"/>
    <w:rsid w:val="0C900FEB"/>
    <w:rsid w:val="0D171171"/>
    <w:rsid w:val="0D202B4A"/>
    <w:rsid w:val="0D671310"/>
    <w:rsid w:val="0DBF0C7F"/>
    <w:rsid w:val="0E024B87"/>
    <w:rsid w:val="0E471C50"/>
    <w:rsid w:val="0E644C2B"/>
    <w:rsid w:val="0E7633F3"/>
    <w:rsid w:val="0EEA79A9"/>
    <w:rsid w:val="100B7180"/>
    <w:rsid w:val="105C48D7"/>
    <w:rsid w:val="10A676FE"/>
    <w:rsid w:val="10F8696D"/>
    <w:rsid w:val="11592BC4"/>
    <w:rsid w:val="11B1178D"/>
    <w:rsid w:val="12D017E8"/>
    <w:rsid w:val="142034CA"/>
    <w:rsid w:val="14223844"/>
    <w:rsid w:val="157C02A2"/>
    <w:rsid w:val="16781D3E"/>
    <w:rsid w:val="16B73EAE"/>
    <w:rsid w:val="18565038"/>
    <w:rsid w:val="18E62689"/>
    <w:rsid w:val="197F5775"/>
    <w:rsid w:val="19CA28B1"/>
    <w:rsid w:val="19CE14C0"/>
    <w:rsid w:val="1A626F8D"/>
    <w:rsid w:val="1A81318E"/>
    <w:rsid w:val="1AA72BF2"/>
    <w:rsid w:val="1B586AD4"/>
    <w:rsid w:val="1C737171"/>
    <w:rsid w:val="1CF20A94"/>
    <w:rsid w:val="1DA9315C"/>
    <w:rsid w:val="1F0B04AB"/>
    <w:rsid w:val="1F136866"/>
    <w:rsid w:val="1F45692D"/>
    <w:rsid w:val="1F8D79BF"/>
    <w:rsid w:val="1F996FAD"/>
    <w:rsid w:val="1FAC1BF5"/>
    <w:rsid w:val="204618AD"/>
    <w:rsid w:val="205639A3"/>
    <w:rsid w:val="205D5544"/>
    <w:rsid w:val="218262CB"/>
    <w:rsid w:val="21E1443C"/>
    <w:rsid w:val="22665C33"/>
    <w:rsid w:val="22C30F5F"/>
    <w:rsid w:val="230D467C"/>
    <w:rsid w:val="232F19D7"/>
    <w:rsid w:val="23356CF3"/>
    <w:rsid w:val="23394419"/>
    <w:rsid w:val="23865A9B"/>
    <w:rsid w:val="240665B0"/>
    <w:rsid w:val="243B3235"/>
    <w:rsid w:val="24532842"/>
    <w:rsid w:val="249266C1"/>
    <w:rsid w:val="24AF1386"/>
    <w:rsid w:val="25D04E50"/>
    <w:rsid w:val="27CB7F20"/>
    <w:rsid w:val="28186EB6"/>
    <w:rsid w:val="28580B2F"/>
    <w:rsid w:val="2948280F"/>
    <w:rsid w:val="2999796A"/>
    <w:rsid w:val="29FD0277"/>
    <w:rsid w:val="2A21187E"/>
    <w:rsid w:val="2AAD0F01"/>
    <w:rsid w:val="2AE20D73"/>
    <w:rsid w:val="2B01262E"/>
    <w:rsid w:val="2B7679E1"/>
    <w:rsid w:val="2B955834"/>
    <w:rsid w:val="2C9B6041"/>
    <w:rsid w:val="2D92328E"/>
    <w:rsid w:val="2E6B420B"/>
    <w:rsid w:val="2F0D52C2"/>
    <w:rsid w:val="30216F06"/>
    <w:rsid w:val="30372ABE"/>
    <w:rsid w:val="306727B0"/>
    <w:rsid w:val="30A41597"/>
    <w:rsid w:val="30C84096"/>
    <w:rsid w:val="31127EDF"/>
    <w:rsid w:val="314F44B9"/>
    <w:rsid w:val="3162267E"/>
    <w:rsid w:val="31BC6B2B"/>
    <w:rsid w:val="32E44D4B"/>
    <w:rsid w:val="33347107"/>
    <w:rsid w:val="33394958"/>
    <w:rsid w:val="335109CF"/>
    <w:rsid w:val="341C1B03"/>
    <w:rsid w:val="34D353B6"/>
    <w:rsid w:val="35C5152B"/>
    <w:rsid w:val="36081206"/>
    <w:rsid w:val="36091F27"/>
    <w:rsid w:val="365A56A9"/>
    <w:rsid w:val="36960EB4"/>
    <w:rsid w:val="36D61574"/>
    <w:rsid w:val="36EB085F"/>
    <w:rsid w:val="36FF2ACD"/>
    <w:rsid w:val="37D70AD5"/>
    <w:rsid w:val="37EF3139"/>
    <w:rsid w:val="38392C84"/>
    <w:rsid w:val="393D0552"/>
    <w:rsid w:val="39E16ABA"/>
    <w:rsid w:val="3AC31755"/>
    <w:rsid w:val="3AF3320F"/>
    <w:rsid w:val="3B273268"/>
    <w:rsid w:val="3B415F11"/>
    <w:rsid w:val="3CB21484"/>
    <w:rsid w:val="3CD81175"/>
    <w:rsid w:val="3CE37474"/>
    <w:rsid w:val="3D767438"/>
    <w:rsid w:val="3E3D42C7"/>
    <w:rsid w:val="3F853513"/>
    <w:rsid w:val="404D5857"/>
    <w:rsid w:val="40FC3103"/>
    <w:rsid w:val="41664B56"/>
    <w:rsid w:val="419453CF"/>
    <w:rsid w:val="41EB5DCD"/>
    <w:rsid w:val="424422D5"/>
    <w:rsid w:val="42C55527"/>
    <w:rsid w:val="430F2F5F"/>
    <w:rsid w:val="438A31BB"/>
    <w:rsid w:val="44220635"/>
    <w:rsid w:val="45155EDD"/>
    <w:rsid w:val="454F1D39"/>
    <w:rsid w:val="4554734F"/>
    <w:rsid w:val="45997458"/>
    <w:rsid w:val="45BB50E5"/>
    <w:rsid w:val="463839A8"/>
    <w:rsid w:val="46E04A79"/>
    <w:rsid w:val="477508AD"/>
    <w:rsid w:val="489C4A8F"/>
    <w:rsid w:val="48B12D0A"/>
    <w:rsid w:val="48E54EE9"/>
    <w:rsid w:val="49204883"/>
    <w:rsid w:val="49732A40"/>
    <w:rsid w:val="4A334A5E"/>
    <w:rsid w:val="4A7933B4"/>
    <w:rsid w:val="4B3438C4"/>
    <w:rsid w:val="4BF661A3"/>
    <w:rsid w:val="4C2A2BB8"/>
    <w:rsid w:val="4C7042D7"/>
    <w:rsid w:val="4C9263D7"/>
    <w:rsid w:val="4CB80EC9"/>
    <w:rsid w:val="4E357E8B"/>
    <w:rsid w:val="4EA6257C"/>
    <w:rsid w:val="4F624D5E"/>
    <w:rsid w:val="4F6267DE"/>
    <w:rsid w:val="4F6B025A"/>
    <w:rsid w:val="50056F83"/>
    <w:rsid w:val="503E1024"/>
    <w:rsid w:val="50C32DE6"/>
    <w:rsid w:val="514B1819"/>
    <w:rsid w:val="51835FBF"/>
    <w:rsid w:val="52727066"/>
    <w:rsid w:val="52E43F6D"/>
    <w:rsid w:val="52E6154D"/>
    <w:rsid w:val="53302860"/>
    <w:rsid w:val="54D062C6"/>
    <w:rsid w:val="55AC70E1"/>
    <w:rsid w:val="578B7C17"/>
    <w:rsid w:val="58267451"/>
    <w:rsid w:val="588D4BFA"/>
    <w:rsid w:val="58D02D39"/>
    <w:rsid w:val="59103135"/>
    <w:rsid w:val="59397196"/>
    <w:rsid w:val="59EF456F"/>
    <w:rsid w:val="5A522F08"/>
    <w:rsid w:val="5AFF7905"/>
    <w:rsid w:val="5B321869"/>
    <w:rsid w:val="5B880079"/>
    <w:rsid w:val="5C10694A"/>
    <w:rsid w:val="5CEC2F75"/>
    <w:rsid w:val="5D9A6E07"/>
    <w:rsid w:val="5DAB1323"/>
    <w:rsid w:val="5DAE169B"/>
    <w:rsid w:val="5F5A0C98"/>
    <w:rsid w:val="604824DD"/>
    <w:rsid w:val="60884598"/>
    <w:rsid w:val="60A552FC"/>
    <w:rsid w:val="61001CE1"/>
    <w:rsid w:val="61584466"/>
    <w:rsid w:val="619828AA"/>
    <w:rsid w:val="62161D51"/>
    <w:rsid w:val="62D13935"/>
    <w:rsid w:val="62E35535"/>
    <w:rsid w:val="63622F1D"/>
    <w:rsid w:val="642F7C8C"/>
    <w:rsid w:val="64683C70"/>
    <w:rsid w:val="64BD71FB"/>
    <w:rsid w:val="65E676F8"/>
    <w:rsid w:val="6703252B"/>
    <w:rsid w:val="67A36E34"/>
    <w:rsid w:val="67F672B4"/>
    <w:rsid w:val="68432A5C"/>
    <w:rsid w:val="686775A1"/>
    <w:rsid w:val="68F54224"/>
    <w:rsid w:val="69375983"/>
    <w:rsid w:val="699E1DF0"/>
    <w:rsid w:val="69AE2459"/>
    <w:rsid w:val="6A805FA4"/>
    <w:rsid w:val="6A967919"/>
    <w:rsid w:val="6B3B2987"/>
    <w:rsid w:val="6C056328"/>
    <w:rsid w:val="6CA60EE9"/>
    <w:rsid w:val="6CEC6744"/>
    <w:rsid w:val="6D34002C"/>
    <w:rsid w:val="6E0D0572"/>
    <w:rsid w:val="6E2E2026"/>
    <w:rsid w:val="6EFB4D85"/>
    <w:rsid w:val="6F486B53"/>
    <w:rsid w:val="6F9B1553"/>
    <w:rsid w:val="6FF32154"/>
    <w:rsid w:val="70447E3C"/>
    <w:rsid w:val="718C67DA"/>
    <w:rsid w:val="71973284"/>
    <w:rsid w:val="727534CC"/>
    <w:rsid w:val="72BF542B"/>
    <w:rsid w:val="72BF7FC0"/>
    <w:rsid w:val="72FE4251"/>
    <w:rsid w:val="73B7714F"/>
    <w:rsid w:val="74864F0C"/>
    <w:rsid w:val="74B37B85"/>
    <w:rsid w:val="75214C19"/>
    <w:rsid w:val="75B35466"/>
    <w:rsid w:val="75DC4673"/>
    <w:rsid w:val="76A23E5B"/>
    <w:rsid w:val="76DD4F3F"/>
    <w:rsid w:val="771E03CA"/>
    <w:rsid w:val="77961E54"/>
    <w:rsid w:val="77FC2DAB"/>
    <w:rsid w:val="782F4F2E"/>
    <w:rsid w:val="78B849C6"/>
    <w:rsid w:val="78D235BF"/>
    <w:rsid w:val="790A24F7"/>
    <w:rsid w:val="79D24F60"/>
    <w:rsid w:val="7A2A282B"/>
    <w:rsid w:val="7A724429"/>
    <w:rsid w:val="7B6D3834"/>
    <w:rsid w:val="7BE67942"/>
    <w:rsid w:val="7BED75DA"/>
    <w:rsid w:val="7C000573"/>
    <w:rsid w:val="7C3074C7"/>
    <w:rsid w:val="7C445507"/>
    <w:rsid w:val="7C9E6941"/>
    <w:rsid w:val="7CCE1A2C"/>
    <w:rsid w:val="7CF702FD"/>
    <w:rsid w:val="7D055BE4"/>
    <w:rsid w:val="7D5316BF"/>
    <w:rsid w:val="7D642B67"/>
    <w:rsid w:val="7DEC2DEF"/>
    <w:rsid w:val="7E2B263C"/>
    <w:rsid w:val="7E5343EE"/>
    <w:rsid w:val="7EB21477"/>
    <w:rsid w:val="7EEE6612"/>
    <w:rsid w:val="7EF223E7"/>
    <w:rsid w:val="7F410732"/>
    <w:rsid w:val="7F423800"/>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9" w:semiHidden="0" w:name="heading 5"/>
    <w:lsdException w:qFormat="1" w:unhideWhenUsed="0" w:uiPriority="0" w:semiHidden="0" w:name="heading 6"/>
    <w:lsdException w:qFormat="1" w:unhideWhenUsed="0" w:uiPriority="9"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99" w:semiHidden="0" w:name="List"/>
    <w:lsdException w:qFormat="1" w:unhideWhenUsed="0" w:uiPriority="0" w:semiHidden="0" w:name="List Bullet"/>
    <w:lsdException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qFormat="1"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99" w:semiHidden="0" w:name="Body Text Indent"/>
    <w:lsdException w:unhideWhenUsed="0" w:uiPriority="0" w:semiHidden="0" w:name="List Continue"/>
    <w:lsdException w:qFormat="1"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99"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99"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99" w:semiHidden="0" w:name="Balloon Text"/>
    <w:lsdException w:qFormat="1" w:unhideWhenUsed="0" w:uiPriority="39" w:semiHidden="0" w:name="Table Grid"/>
    <w:lsdException w:uiPriority="0" w:name="Table Theme"/>
    <w:lsdException w:qFormat="1" w:unhideWhenUsed="0" w:uiPriority="99"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qFormat="1"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200" w:firstLineChars="200"/>
      <w:jc w:val="both"/>
    </w:pPr>
    <w:rPr>
      <w:rFonts w:ascii="Times New Roman" w:hAnsi="Times New Roman" w:eastAsia="宋体" w:cs="宋体"/>
      <w:kern w:val="2"/>
      <w:sz w:val="24"/>
      <w:szCs w:val="22"/>
      <w:lang w:val="en-US" w:eastAsia="zh-CN" w:bidi="ar-SA"/>
    </w:rPr>
  </w:style>
  <w:style w:type="paragraph" w:styleId="2">
    <w:name w:val="heading 1"/>
    <w:basedOn w:val="1"/>
    <w:next w:val="1"/>
    <w:link w:val="160"/>
    <w:qFormat/>
    <w:uiPriority w:val="0"/>
    <w:pPr>
      <w:numPr>
        <w:ilvl w:val="0"/>
        <w:numId w:val="1"/>
      </w:numPr>
      <w:spacing w:before="23"/>
      <w:ind w:left="431" w:right="323" w:hanging="431"/>
      <w:jc w:val="center"/>
      <w:outlineLvl w:val="0"/>
    </w:pPr>
    <w:rPr>
      <w:rFonts w:eastAsia="黑体" w:cs="Times New Roman"/>
      <w:sz w:val="44"/>
      <w:szCs w:val="44"/>
    </w:rPr>
  </w:style>
  <w:style w:type="paragraph" w:styleId="3">
    <w:name w:val="heading 2"/>
    <w:basedOn w:val="1"/>
    <w:next w:val="1"/>
    <w:link w:val="161"/>
    <w:qFormat/>
    <w:uiPriority w:val="0"/>
    <w:pPr>
      <w:numPr>
        <w:ilvl w:val="1"/>
        <w:numId w:val="1"/>
      </w:numPr>
      <w:tabs>
        <w:tab w:val="left" w:pos="420"/>
      </w:tabs>
      <w:spacing w:before="50" w:beforeLines="50"/>
      <w:ind w:left="0" w:firstLine="0"/>
      <w:outlineLvl w:val="1"/>
    </w:pPr>
    <w:rPr>
      <w:rFonts w:eastAsia="黑体" w:cs="Times New Roman"/>
      <w:sz w:val="32"/>
      <w:szCs w:val="32"/>
    </w:rPr>
  </w:style>
  <w:style w:type="paragraph" w:styleId="4">
    <w:name w:val="heading 3"/>
    <w:basedOn w:val="1"/>
    <w:next w:val="1"/>
    <w:link w:val="162"/>
    <w:qFormat/>
    <w:uiPriority w:val="0"/>
    <w:pPr>
      <w:numPr>
        <w:ilvl w:val="2"/>
        <w:numId w:val="1"/>
      </w:numPr>
      <w:spacing w:before="50" w:beforeLines="50"/>
      <w:outlineLvl w:val="2"/>
    </w:pPr>
    <w:rPr>
      <w:rFonts w:eastAsia="黑体" w:cs="黑体"/>
      <w:sz w:val="30"/>
      <w:szCs w:val="32"/>
    </w:rPr>
  </w:style>
  <w:style w:type="paragraph" w:styleId="5">
    <w:name w:val="heading 4"/>
    <w:basedOn w:val="1"/>
    <w:next w:val="1"/>
    <w:link w:val="163"/>
    <w:qFormat/>
    <w:uiPriority w:val="0"/>
    <w:pPr>
      <w:numPr>
        <w:ilvl w:val="3"/>
        <w:numId w:val="1"/>
      </w:numPr>
      <w:outlineLvl w:val="3"/>
    </w:pPr>
    <w:rPr>
      <w:rFonts w:ascii="宋体" w:hAnsi="宋体" w:eastAsia="黑体"/>
      <w:bCs/>
      <w:sz w:val="28"/>
      <w:szCs w:val="28"/>
    </w:rPr>
  </w:style>
  <w:style w:type="paragraph" w:styleId="6">
    <w:name w:val="heading 5"/>
    <w:basedOn w:val="1"/>
    <w:next w:val="1"/>
    <w:link w:val="164"/>
    <w:qFormat/>
    <w:uiPriority w:val="9"/>
    <w:pPr>
      <w:numPr>
        <w:ilvl w:val="4"/>
        <w:numId w:val="1"/>
      </w:numPr>
      <w:outlineLvl w:val="4"/>
    </w:pPr>
    <w:rPr>
      <w:rFonts w:ascii="宋体" w:hAnsi="宋体"/>
      <w:b/>
      <w:bCs/>
      <w:szCs w:val="24"/>
    </w:rPr>
  </w:style>
  <w:style w:type="paragraph" w:styleId="7">
    <w:name w:val="heading 6"/>
    <w:basedOn w:val="1"/>
    <w:next w:val="1"/>
    <w:link w:val="165"/>
    <w:qFormat/>
    <w:uiPriority w:val="0"/>
    <w:pPr>
      <w:keepNext/>
      <w:keepLines/>
      <w:numPr>
        <w:ilvl w:val="5"/>
        <w:numId w:val="1"/>
      </w:numPr>
      <w:spacing w:before="240" w:after="64" w:line="317" w:lineRule="auto"/>
      <w:outlineLvl w:val="5"/>
    </w:pPr>
    <w:rPr>
      <w:rFonts w:ascii="Arial" w:hAnsi="Arial" w:eastAsia="黑体"/>
      <w:b/>
    </w:rPr>
  </w:style>
  <w:style w:type="paragraph" w:styleId="8">
    <w:name w:val="heading 7"/>
    <w:basedOn w:val="1"/>
    <w:next w:val="1"/>
    <w:link w:val="166"/>
    <w:qFormat/>
    <w:uiPriority w:val="9"/>
    <w:pPr>
      <w:keepNext/>
      <w:keepLines/>
      <w:numPr>
        <w:ilvl w:val="6"/>
        <w:numId w:val="1"/>
      </w:numPr>
      <w:spacing w:before="240" w:after="64" w:line="317" w:lineRule="auto"/>
      <w:outlineLvl w:val="6"/>
    </w:pPr>
    <w:rPr>
      <w:b/>
    </w:rPr>
  </w:style>
  <w:style w:type="paragraph" w:styleId="9">
    <w:name w:val="heading 8"/>
    <w:basedOn w:val="1"/>
    <w:next w:val="1"/>
    <w:link w:val="412"/>
    <w:qFormat/>
    <w:uiPriority w:val="0"/>
    <w:pPr>
      <w:keepNext/>
      <w:keepLines/>
      <w:numPr>
        <w:ilvl w:val="7"/>
        <w:numId w:val="1"/>
      </w:numPr>
      <w:spacing w:before="240" w:after="64" w:line="317" w:lineRule="auto"/>
      <w:outlineLvl w:val="7"/>
    </w:pPr>
    <w:rPr>
      <w:rFonts w:ascii="Arial" w:hAnsi="Arial" w:eastAsia="黑体"/>
    </w:rPr>
  </w:style>
  <w:style w:type="paragraph" w:styleId="10">
    <w:name w:val="heading 9"/>
    <w:basedOn w:val="1"/>
    <w:next w:val="1"/>
    <w:link w:val="413"/>
    <w:qFormat/>
    <w:uiPriority w:val="0"/>
    <w:pPr>
      <w:keepNext/>
      <w:keepLines/>
      <w:numPr>
        <w:ilvl w:val="8"/>
        <w:numId w:val="1"/>
      </w:numPr>
      <w:spacing w:before="240" w:after="64" w:line="317" w:lineRule="auto"/>
      <w:outlineLvl w:val="8"/>
    </w:pPr>
    <w:rPr>
      <w:rFonts w:ascii="Arial" w:hAnsi="Arial" w:eastAsia="黑体"/>
      <w:sz w:val="21"/>
    </w:rPr>
  </w:style>
  <w:style w:type="character" w:default="1" w:styleId="56">
    <w:name w:val="Default Paragraph Font"/>
    <w:semiHidden/>
    <w:unhideWhenUsed/>
    <w:qFormat/>
    <w:uiPriority w:val="1"/>
  </w:style>
  <w:style w:type="table" w:default="1" w:styleId="53">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ind w:left="1440"/>
      <w:jc w:val="left"/>
    </w:pPr>
    <w:rPr>
      <w:rFonts w:asciiTheme="minorHAnsi" w:eastAsiaTheme="minorHAnsi"/>
      <w:sz w:val="18"/>
      <w:szCs w:val="18"/>
    </w:rPr>
  </w:style>
  <w:style w:type="paragraph" w:styleId="12">
    <w:name w:val="Note Heading"/>
    <w:basedOn w:val="1"/>
    <w:next w:val="1"/>
    <w:link w:val="342"/>
    <w:qFormat/>
    <w:uiPriority w:val="0"/>
    <w:pPr>
      <w:jc w:val="center"/>
    </w:pPr>
  </w:style>
  <w:style w:type="paragraph" w:styleId="13">
    <w:name w:val="Normal Indent"/>
    <w:basedOn w:val="1"/>
    <w:link w:val="208"/>
    <w:unhideWhenUsed/>
    <w:qFormat/>
    <w:uiPriority w:val="0"/>
    <w:pPr>
      <w:ind w:firstLine="420"/>
    </w:pPr>
    <w:rPr>
      <w:rFonts w:cs="Times New Roman"/>
      <w:kern w:val="0"/>
      <w:szCs w:val="21"/>
    </w:rPr>
  </w:style>
  <w:style w:type="paragraph" w:styleId="14">
    <w:name w:val="caption"/>
    <w:basedOn w:val="1"/>
    <w:next w:val="1"/>
    <w:link w:val="222"/>
    <w:unhideWhenUsed/>
    <w:qFormat/>
    <w:uiPriority w:val="0"/>
    <w:rPr>
      <w:rFonts w:ascii="等线 Light" w:hAnsi="等线 Light" w:eastAsia="黑体" w:cs="Times New Roman"/>
      <w:kern w:val="0"/>
      <w:sz w:val="20"/>
      <w:szCs w:val="20"/>
    </w:rPr>
  </w:style>
  <w:style w:type="paragraph" w:styleId="15">
    <w:name w:val="List Bullet"/>
    <w:basedOn w:val="1"/>
    <w:qFormat/>
    <w:uiPriority w:val="0"/>
    <w:pPr>
      <w:tabs>
        <w:tab w:val="left" w:pos="360"/>
        <w:tab w:val="left" w:pos="900"/>
      </w:tabs>
      <w:snapToGrid/>
      <w:spacing w:line="312" w:lineRule="atLeast"/>
      <w:ind w:left="360" w:hanging="360" w:firstLineChars="0"/>
      <w:textAlignment w:val="baseline"/>
    </w:pPr>
    <w:rPr>
      <w:rFonts w:cs="Times New Roman"/>
      <w:kern w:val="0"/>
      <w:sz w:val="21"/>
      <w:szCs w:val="20"/>
    </w:rPr>
  </w:style>
  <w:style w:type="paragraph" w:styleId="16">
    <w:name w:val="Document Map"/>
    <w:basedOn w:val="1"/>
    <w:link w:val="220"/>
    <w:unhideWhenUsed/>
    <w:qFormat/>
    <w:uiPriority w:val="99"/>
    <w:rPr>
      <w:rFonts w:ascii="宋体" w:cs="Times New Roman"/>
      <w:kern w:val="0"/>
      <w:sz w:val="18"/>
      <w:szCs w:val="18"/>
    </w:rPr>
  </w:style>
  <w:style w:type="paragraph" w:styleId="17">
    <w:name w:val="annotation text"/>
    <w:basedOn w:val="1"/>
    <w:link w:val="110"/>
    <w:qFormat/>
    <w:uiPriority w:val="0"/>
    <w:pPr>
      <w:jc w:val="left"/>
    </w:pPr>
  </w:style>
  <w:style w:type="paragraph" w:styleId="18">
    <w:name w:val="Body Text 3"/>
    <w:basedOn w:val="1"/>
    <w:link w:val="450"/>
    <w:qFormat/>
    <w:uiPriority w:val="0"/>
    <w:pPr>
      <w:adjustRightInd/>
      <w:snapToGrid/>
      <w:spacing w:after="120"/>
      <w:ind w:firstLine="0" w:firstLineChars="0"/>
    </w:pPr>
    <w:rPr>
      <w:rFonts w:cs="Times New Roman"/>
      <w:sz w:val="16"/>
      <w:szCs w:val="16"/>
    </w:rPr>
  </w:style>
  <w:style w:type="paragraph" w:styleId="19">
    <w:name w:val="Body Text"/>
    <w:basedOn w:val="1"/>
    <w:next w:val="20"/>
    <w:link w:val="189"/>
    <w:qFormat/>
    <w:uiPriority w:val="1"/>
    <w:rPr>
      <w:rFonts w:ascii="宋体" w:hAnsi="宋体"/>
      <w:szCs w:val="24"/>
    </w:rPr>
  </w:style>
  <w:style w:type="paragraph" w:customStyle="1" w:styleId="20">
    <w:name w:val="xl27"/>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kern w:val="0"/>
    </w:rPr>
  </w:style>
  <w:style w:type="paragraph" w:styleId="21">
    <w:name w:val="Body Text Indent"/>
    <w:basedOn w:val="1"/>
    <w:next w:val="22"/>
    <w:link w:val="153"/>
    <w:qFormat/>
    <w:uiPriority w:val="99"/>
    <w:pPr>
      <w:spacing w:after="120"/>
      <w:ind w:left="420" w:leftChars="200"/>
    </w:pPr>
  </w:style>
  <w:style w:type="paragraph" w:styleId="22">
    <w:name w:val="Body Text Indent 2"/>
    <w:basedOn w:val="1"/>
    <w:next w:val="23"/>
    <w:link w:val="232"/>
    <w:qFormat/>
    <w:uiPriority w:val="99"/>
    <w:pPr>
      <w:spacing w:after="120" w:line="480" w:lineRule="auto"/>
      <w:ind w:left="420" w:leftChars="200"/>
    </w:pPr>
  </w:style>
  <w:style w:type="paragraph" w:styleId="23">
    <w:name w:val="Body Text First Indent 2"/>
    <w:basedOn w:val="21"/>
    <w:next w:val="24"/>
    <w:link w:val="495"/>
    <w:qFormat/>
    <w:uiPriority w:val="0"/>
    <w:pPr>
      <w:ind w:firstLine="420"/>
    </w:pPr>
  </w:style>
  <w:style w:type="paragraph" w:styleId="24">
    <w:name w:val="Body Text First Indent"/>
    <w:basedOn w:val="19"/>
    <w:next w:val="1"/>
    <w:link w:val="500"/>
    <w:qFormat/>
    <w:uiPriority w:val="0"/>
    <w:pPr>
      <w:ind w:firstLine="420" w:firstLineChars="100"/>
    </w:pPr>
  </w:style>
  <w:style w:type="paragraph" w:styleId="25">
    <w:name w:val="List 2"/>
    <w:basedOn w:val="1"/>
    <w:qFormat/>
    <w:uiPriority w:val="0"/>
    <w:pPr>
      <w:adjustRightInd/>
      <w:snapToGrid/>
      <w:ind w:left="100" w:leftChars="200" w:hanging="200" w:hangingChars="200"/>
    </w:pPr>
    <w:rPr>
      <w:rFonts w:cs="Times New Roman"/>
      <w:sz w:val="21"/>
      <w:szCs w:val="24"/>
    </w:rPr>
  </w:style>
  <w:style w:type="paragraph" w:styleId="26">
    <w:name w:val="List Bullet 2"/>
    <w:basedOn w:val="1"/>
    <w:qFormat/>
    <w:uiPriority w:val="0"/>
    <w:pPr>
      <w:tabs>
        <w:tab w:val="left" w:pos="780"/>
      </w:tabs>
      <w:spacing w:line="560" w:lineRule="exact"/>
      <w:ind w:left="780" w:hanging="360" w:firstLineChars="0"/>
    </w:pPr>
    <w:rPr>
      <w:rFonts w:cs="Times New Roman"/>
      <w:szCs w:val="24"/>
    </w:rPr>
  </w:style>
  <w:style w:type="paragraph" w:styleId="27">
    <w:name w:val="toc 5"/>
    <w:basedOn w:val="1"/>
    <w:next w:val="1"/>
    <w:unhideWhenUsed/>
    <w:qFormat/>
    <w:uiPriority w:val="39"/>
    <w:pPr>
      <w:ind w:left="960"/>
      <w:jc w:val="left"/>
    </w:pPr>
    <w:rPr>
      <w:rFonts w:asciiTheme="minorHAnsi" w:eastAsiaTheme="minorHAnsi"/>
      <w:sz w:val="18"/>
      <w:szCs w:val="18"/>
    </w:rPr>
  </w:style>
  <w:style w:type="paragraph" w:styleId="28">
    <w:name w:val="toc 3"/>
    <w:basedOn w:val="1"/>
    <w:next w:val="1"/>
    <w:qFormat/>
    <w:uiPriority w:val="39"/>
    <w:pPr>
      <w:ind w:left="480"/>
      <w:jc w:val="left"/>
    </w:pPr>
    <w:rPr>
      <w:rFonts w:asciiTheme="minorHAnsi" w:eastAsiaTheme="minorHAnsi"/>
      <w:i/>
      <w:iCs/>
      <w:sz w:val="20"/>
      <w:szCs w:val="20"/>
    </w:rPr>
  </w:style>
  <w:style w:type="paragraph" w:styleId="29">
    <w:name w:val="Plain Text"/>
    <w:basedOn w:val="1"/>
    <w:link w:val="401"/>
    <w:qFormat/>
    <w:uiPriority w:val="0"/>
    <w:pPr>
      <w:adjustRightInd/>
      <w:snapToGrid/>
      <w:spacing w:line="240" w:lineRule="auto"/>
      <w:ind w:firstLine="0" w:firstLineChars="0"/>
    </w:pPr>
    <w:rPr>
      <w:rFonts w:ascii="宋体" w:hAnsi="Courier New" w:cs="Times New Roman"/>
      <w:sz w:val="21"/>
      <w:szCs w:val="20"/>
    </w:rPr>
  </w:style>
  <w:style w:type="paragraph" w:styleId="30">
    <w:name w:val="List Bullet 5"/>
    <w:basedOn w:val="1"/>
    <w:qFormat/>
    <w:uiPriority w:val="0"/>
    <w:pPr>
      <w:numPr>
        <w:ilvl w:val="0"/>
        <w:numId w:val="2"/>
      </w:numPr>
      <w:adjustRightInd/>
      <w:snapToGrid/>
      <w:spacing w:line="240" w:lineRule="auto"/>
    </w:pPr>
    <w:rPr>
      <w:rFonts w:cs="Times New Roman"/>
      <w:sz w:val="21"/>
      <w:szCs w:val="24"/>
    </w:rPr>
  </w:style>
  <w:style w:type="paragraph" w:styleId="31">
    <w:name w:val="List Number 4"/>
    <w:basedOn w:val="1"/>
    <w:qFormat/>
    <w:uiPriority w:val="0"/>
    <w:pPr>
      <w:numPr>
        <w:ilvl w:val="0"/>
        <w:numId w:val="3"/>
      </w:numPr>
      <w:adjustRightInd/>
      <w:snapToGrid/>
      <w:spacing w:before="25" w:beforeLines="25" w:after="25" w:afterLines="25" w:line="240" w:lineRule="auto"/>
    </w:pPr>
    <w:rPr>
      <w:rFonts w:cs="Times New Roman"/>
      <w:sz w:val="21"/>
      <w:szCs w:val="24"/>
    </w:rPr>
  </w:style>
  <w:style w:type="paragraph" w:styleId="32">
    <w:name w:val="toc 8"/>
    <w:basedOn w:val="1"/>
    <w:next w:val="1"/>
    <w:unhideWhenUsed/>
    <w:qFormat/>
    <w:uiPriority w:val="39"/>
    <w:pPr>
      <w:ind w:left="1680"/>
      <w:jc w:val="left"/>
    </w:pPr>
    <w:rPr>
      <w:rFonts w:asciiTheme="minorHAnsi" w:eastAsiaTheme="minorHAnsi"/>
      <w:sz w:val="18"/>
      <w:szCs w:val="18"/>
    </w:rPr>
  </w:style>
  <w:style w:type="paragraph" w:styleId="33">
    <w:name w:val="Date"/>
    <w:basedOn w:val="1"/>
    <w:next w:val="1"/>
    <w:link w:val="390"/>
    <w:qFormat/>
    <w:uiPriority w:val="0"/>
    <w:pPr>
      <w:adjustRightInd/>
      <w:snapToGrid/>
      <w:spacing w:line="240" w:lineRule="auto"/>
      <w:ind w:left="100" w:leftChars="2500" w:firstLine="0" w:firstLineChars="0"/>
      <w:jc w:val="left"/>
    </w:pPr>
    <w:rPr>
      <w:rFonts w:eastAsia="Times New Roman" w:cs="Times New Roman"/>
      <w:color w:val="000000"/>
      <w:kern w:val="0"/>
      <w:szCs w:val="24"/>
      <w:lang w:eastAsia="en-US" w:bidi="en-US"/>
    </w:rPr>
  </w:style>
  <w:style w:type="paragraph" w:styleId="34">
    <w:name w:val="Balloon Text"/>
    <w:basedOn w:val="1"/>
    <w:link w:val="109"/>
    <w:qFormat/>
    <w:uiPriority w:val="99"/>
    <w:rPr>
      <w:sz w:val="18"/>
      <w:szCs w:val="18"/>
    </w:rPr>
  </w:style>
  <w:style w:type="paragraph" w:styleId="35">
    <w:name w:val="footer"/>
    <w:basedOn w:val="1"/>
    <w:link w:val="127"/>
    <w:qFormat/>
    <w:uiPriority w:val="99"/>
    <w:pPr>
      <w:tabs>
        <w:tab w:val="center" w:pos="4153"/>
        <w:tab w:val="right" w:pos="8306"/>
      </w:tabs>
      <w:jc w:val="left"/>
    </w:pPr>
    <w:rPr>
      <w:sz w:val="18"/>
    </w:rPr>
  </w:style>
  <w:style w:type="paragraph" w:styleId="36">
    <w:name w:val="header"/>
    <w:basedOn w:val="1"/>
    <w:link w:val="135"/>
    <w:qFormat/>
    <w:uiPriority w:val="0"/>
    <w:pPr>
      <w:pBdr>
        <w:top w:val="none" w:color="auto" w:sz="0" w:space="1"/>
        <w:left w:val="none" w:color="auto" w:sz="0" w:space="4"/>
        <w:bottom w:val="none" w:color="auto" w:sz="0" w:space="1"/>
        <w:right w:val="none" w:color="auto" w:sz="0" w:space="4"/>
      </w:pBdr>
      <w:tabs>
        <w:tab w:val="center" w:pos="4153"/>
        <w:tab w:val="right" w:pos="8306"/>
      </w:tabs>
      <w:spacing w:line="240" w:lineRule="auto"/>
    </w:pPr>
    <w:rPr>
      <w:sz w:val="18"/>
    </w:rPr>
  </w:style>
  <w:style w:type="paragraph" w:styleId="37">
    <w:name w:val="toc 1"/>
    <w:basedOn w:val="1"/>
    <w:next w:val="1"/>
    <w:qFormat/>
    <w:uiPriority w:val="39"/>
    <w:pPr>
      <w:spacing w:before="120" w:after="120"/>
      <w:jc w:val="left"/>
    </w:pPr>
    <w:rPr>
      <w:rFonts w:asciiTheme="minorHAnsi" w:eastAsiaTheme="minorHAnsi"/>
      <w:b/>
      <w:bCs/>
      <w:caps/>
      <w:sz w:val="20"/>
      <w:szCs w:val="20"/>
    </w:rPr>
  </w:style>
  <w:style w:type="paragraph" w:styleId="38">
    <w:name w:val="toc 4"/>
    <w:basedOn w:val="1"/>
    <w:next w:val="1"/>
    <w:unhideWhenUsed/>
    <w:qFormat/>
    <w:uiPriority w:val="39"/>
    <w:pPr>
      <w:ind w:left="720"/>
      <w:jc w:val="left"/>
    </w:pPr>
    <w:rPr>
      <w:rFonts w:asciiTheme="minorHAnsi" w:eastAsiaTheme="minorHAnsi"/>
      <w:sz w:val="18"/>
      <w:szCs w:val="18"/>
    </w:rPr>
  </w:style>
  <w:style w:type="paragraph" w:styleId="39">
    <w:name w:val="index heading"/>
    <w:basedOn w:val="1"/>
    <w:next w:val="40"/>
    <w:qFormat/>
    <w:uiPriority w:val="0"/>
    <w:pPr>
      <w:adjustRightInd/>
      <w:snapToGrid/>
      <w:ind w:firstLine="0" w:firstLineChars="0"/>
    </w:pPr>
    <w:rPr>
      <w:rFonts w:ascii="Arial" w:hAnsi="Arial" w:cs="Arial"/>
      <w:b/>
      <w:bCs/>
      <w:sz w:val="21"/>
      <w:szCs w:val="24"/>
    </w:rPr>
  </w:style>
  <w:style w:type="paragraph" w:styleId="40">
    <w:name w:val="index 1"/>
    <w:basedOn w:val="1"/>
    <w:next w:val="1"/>
    <w:qFormat/>
    <w:uiPriority w:val="0"/>
    <w:pPr>
      <w:adjustRightInd/>
      <w:snapToGrid/>
      <w:ind w:firstLine="0" w:firstLineChars="0"/>
    </w:pPr>
    <w:rPr>
      <w:rFonts w:cs="Times New Roman"/>
      <w:sz w:val="21"/>
      <w:szCs w:val="24"/>
    </w:rPr>
  </w:style>
  <w:style w:type="paragraph" w:styleId="41">
    <w:name w:val="List"/>
    <w:basedOn w:val="1"/>
    <w:link w:val="199"/>
    <w:qFormat/>
    <w:uiPriority w:val="99"/>
    <w:pPr>
      <w:spacing w:line="240" w:lineRule="auto"/>
      <w:ind w:left="200" w:hanging="200" w:hangingChars="200"/>
    </w:pPr>
    <w:rPr>
      <w:sz w:val="21"/>
    </w:rPr>
  </w:style>
  <w:style w:type="paragraph" w:styleId="42">
    <w:name w:val="footnote text"/>
    <w:basedOn w:val="1"/>
    <w:link w:val="567"/>
    <w:qFormat/>
    <w:uiPriority w:val="0"/>
    <w:pPr>
      <w:adjustRightInd/>
      <w:ind w:firstLine="0" w:firstLineChars="0"/>
      <w:jc w:val="left"/>
    </w:pPr>
    <w:rPr>
      <w:rFonts w:cs="Times New Roman"/>
      <w:kern w:val="0"/>
      <w:sz w:val="18"/>
      <w:szCs w:val="18"/>
    </w:rPr>
  </w:style>
  <w:style w:type="paragraph" w:styleId="43">
    <w:name w:val="toc 6"/>
    <w:basedOn w:val="1"/>
    <w:next w:val="1"/>
    <w:unhideWhenUsed/>
    <w:qFormat/>
    <w:uiPriority w:val="39"/>
    <w:pPr>
      <w:ind w:left="1200"/>
      <w:jc w:val="left"/>
    </w:pPr>
    <w:rPr>
      <w:rFonts w:asciiTheme="minorHAnsi" w:eastAsiaTheme="minorHAnsi"/>
      <w:sz w:val="18"/>
      <w:szCs w:val="18"/>
    </w:rPr>
  </w:style>
  <w:style w:type="paragraph" w:styleId="44">
    <w:name w:val="Body Text Indent 3"/>
    <w:basedOn w:val="1"/>
    <w:link w:val="439"/>
    <w:qFormat/>
    <w:uiPriority w:val="0"/>
    <w:pPr>
      <w:adjustRightInd/>
      <w:snapToGrid/>
      <w:spacing w:after="120"/>
      <w:ind w:left="420" w:leftChars="200" w:firstLine="0" w:firstLineChars="0"/>
    </w:pPr>
    <w:rPr>
      <w:rFonts w:cs="Times New Roman"/>
      <w:sz w:val="16"/>
      <w:szCs w:val="16"/>
    </w:rPr>
  </w:style>
  <w:style w:type="paragraph" w:styleId="45">
    <w:name w:val="toc 2"/>
    <w:basedOn w:val="1"/>
    <w:next w:val="1"/>
    <w:qFormat/>
    <w:uiPriority w:val="39"/>
    <w:pPr>
      <w:ind w:left="240"/>
      <w:jc w:val="left"/>
    </w:pPr>
    <w:rPr>
      <w:rFonts w:asciiTheme="minorHAnsi" w:eastAsiaTheme="minorHAnsi"/>
      <w:smallCaps/>
      <w:sz w:val="20"/>
      <w:szCs w:val="20"/>
    </w:rPr>
  </w:style>
  <w:style w:type="paragraph" w:styleId="46">
    <w:name w:val="toc 9"/>
    <w:basedOn w:val="1"/>
    <w:next w:val="1"/>
    <w:unhideWhenUsed/>
    <w:qFormat/>
    <w:uiPriority w:val="39"/>
    <w:pPr>
      <w:ind w:left="1920"/>
      <w:jc w:val="left"/>
    </w:pPr>
    <w:rPr>
      <w:rFonts w:asciiTheme="minorHAnsi" w:eastAsiaTheme="minorHAnsi"/>
      <w:sz w:val="18"/>
      <w:szCs w:val="18"/>
    </w:rPr>
  </w:style>
  <w:style w:type="paragraph" w:styleId="47">
    <w:name w:val="Body Text 2"/>
    <w:basedOn w:val="1"/>
    <w:link w:val="440"/>
    <w:qFormat/>
    <w:uiPriority w:val="0"/>
    <w:pPr>
      <w:adjustRightInd/>
      <w:snapToGrid/>
      <w:spacing w:after="120" w:line="480" w:lineRule="auto"/>
      <w:ind w:firstLine="0" w:firstLineChars="0"/>
    </w:pPr>
    <w:rPr>
      <w:rFonts w:cs="Times New Roman"/>
      <w:sz w:val="21"/>
      <w:szCs w:val="24"/>
    </w:rPr>
  </w:style>
  <w:style w:type="paragraph" w:styleId="48">
    <w:name w:val="List Continue 2"/>
    <w:basedOn w:val="1"/>
    <w:qFormat/>
    <w:uiPriority w:val="0"/>
    <w:pPr>
      <w:adjustRightInd/>
      <w:snapToGrid/>
      <w:spacing w:after="120"/>
      <w:ind w:left="840" w:leftChars="400" w:firstLine="0" w:firstLineChars="0"/>
    </w:pPr>
    <w:rPr>
      <w:rFonts w:cs="Times New Roman"/>
      <w:sz w:val="18"/>
      <w:szCs w:val="20"/>
    </w:rPr>
  </w:style>
  <w:style w:type="paragraph" w:styleId="49">
    <w:name w:val="HTML Preformatted"/>
    <w:basedOn w:val="1"/>
    <w:link w:val="497"/>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ind w:firstLine="0" w:firstLineChars="0"/>
      <w:jc w:val="left"/>
    </w:pPr>
    <w:rPr>
      <w:rFonts w:ascii="黑体" w:hAnsi="Courier New" w:eastAsia="黑体" w:cs="黑体"/>
      <w:kern w:val="0"/>
      <w:sz w:val="20"/>
      <w:szCs w:val="20"/>
    </w:rPr>
  </w:style>
  <w:style w:type="paragraph" w:styleId="50">
    <w:name w:val="Normal (Web)"/>
    <w:basedOn w:val="1"/>
    <w:qFormat/>
    <w:uiPriority w:val="99"/>
    <w:pPr>
      <w:spacing w:before="100" w:beforeAutospacing="1" w:after="100" w:afterAutospacing="1"/>
    </w:pPr>
    <w:rPr>
      <w:rFonts w:cs="Times New Roman"/>
    </w:rPr>
  </w:style>
  <w:style w:type="paragraph" w:styleId="51">
    <w:name w:val="Title"/>
    <w:basedOn w:val="1"/>
    <w:next w:val="1"/>
    <w:link w:val="470"/>
    <w:qFormat/>
    <w:uiPriority w:val="0"/>
    <w:pPr>
      <w:jc w:val="center"/>
    </w:pPr>
    <w:rPr>
      <w:rFonts w:ascii="Microsoft JhengHei UI" w:hAnsi="Microsoft JhengHei UI" w:eastAsia="Microsoft JhengHei UI" w:cs="Microsoft JhengHei UI"/>
      <w:b/>
      <w:bCs/>
      <w:sz w:val="48"/>
      <w:szCs w:val="48"/>
    </w:rPr>
  </w:style>
  <w:style w:type="paragraph" w:styleId="52">
    <w:name w:val="annotation subject"/>
    <w:basedOn w:val="17"/>
    <w:next w:val="17"/>
    <w:link w:val="111"/>
    <w:qFormat/>
    <w:uiPriority w:val="99"/>
    <w:rPr>
      <w:b/>
      <w:bCs/>
    </w:rPr>
  </w:style>
  <w:style w:type="table" w:styleId="54">
    <w:name w:val="Table Grid"/>
    <w:basedOn w:val="53"/>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5">
    <w:name w:val="Light Shading Accent 1"/>
    <w:basedOn w:val="53"/>
    <w:qFormat/>
    <w:uiPriority w:val="60"/>
    <w:rPr>
      <w:rFonts w:ascii="等线" w:hAnsi="等线" w:eastAsia="等线"/>
      <w:color w:val="2F5496"/>
      <w:sz w:val="22"/>
      <w:szCs w:val="22"/>
    </w:rPr>
    <w:tblPr>
      <w:tblBorders>
        <w:top w:val="single" w:color="4472C4" w:sz="8" w:space="0"/>
        <w:bottom w:val="single" w:color="4472C4" w:sz="8" w:space="0"/>
      </w:tblBorders>
    </w:tblPr>
    <w:tblStylePr w:type="firstRow">
      <w:pPr>
        <w:spacing w:before="0" w:after="0" w:line="240" w:lineRule="auto"/>
      </w:pPr>
      <w:rPr>
        <w:b/>
        <w:bCs/>
      </w:rPr>
      <w:tblPr/>
      <w:tcPr>
        <w:tcBorders>
          <w:top w:val="single" w:color="4472C4" w:sz="8" w:space="0"/>
          <w:left w:val="nil"/>
          <w:bottom w:val="single" w:color="4472C4" w:sz="8" w:space="0"/>
          <w:right w:val="nil"/>
          <w:insideH w:val="nil"/>
          <w:insideV w:val="nil"/>
        </w:tcBorders>
      </w:tcPr>
    </w:tblStylePr>
    <w:tblStylePr w:type="lastRow">
      <w:pPr>
        <w:spacing w:before="0" w:after="0" w:line="240" w:lineRule="auto"/>
      </w:pPr>
      <w:rPr>
        <w:b/>
        <w:bCs/>
      </w:rPr>
      <w:tblPr/>
      <w:tcPr>
        <w:tcBorders>
          <w:top w:val="single" w:color="4472C4" w:sz="8" w:space="0"/>
          <w:left w:val="nil"/>
          <w:bottom w:val="single" w:color="4472C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character" w:styleId="57">
    <w:name w:val="Strong"/>
    <w:qFormat/>
    <w:uiPriority w:val="22"/>
    <w:rPr>
      <w:b/>
      <w:bCs/>
    </w:rPr>
  </w:style>
  <w:style w:type="character" w:styleId="58">
    <w:name w:val="page number"/>
    <w:qFormat/>
    <w:uiPriority w:val="0"/>
  </w:style>
  <w:style w:type="character" w:styleId="59">
    <w:name w:val="FollowedHyperlink"/>
    <w:unhideWhenUsed/>
    <w:qFormat/>
    <w:uiPriority w:val="99"/>
    <w:rPr>
      <w:color w:val="800080"/>
      <w:u w:val="single"/>
    </w:rPr>
  </w:style>
  <w:style w:type="character" w:styleId="60">
    <w:name w:val="Emphasis"/>
    <w:qFormat/>
    <w:uiPriority w:val="20"/>
    <w:rPr>
      <w:i/>
      <w:iCs/>
    </w:rPr>
  </w:style>
  <w:style w:type="character" w:styleId="61">
    <w:name w:val="Hyperlink"/>
    <w:unhideWhenUsed/>
    <w:qFormat/>
    <w:uiPriority w:val="99"/>
    <w:rPr>
      <w:color w:val="0000FF"/>
      <w:u w:val="single"/>
    </w:rPr>
  </w:style>
  <w:style w:type="character" w:styleId="62">
    <w:name w:val="annotation reference"/>
    <w:qFormat/>
    <w:uiPriority w:val="0"/>
    <w:rPr>
      <w:sz w:val="21"/>
      <w:szCs w:val="21"/>
    </w:rPr>
  </w:style>
  <w:style w:type="paragraph" w:customStyle="1" w:styleId="63">
    <w:name w:val="样式 正文文本缩进 + 行距: 1.5 倍行距"/>
    <w:basedOn w:val="1"/>
    <w:qFormat/>
    <w:uiPriority w:val="0"/>
    <w:pPr>
      <w:spacing w:after="120"/>
      <w:ind w:left="32" w:leftChars="32"/>
    </w:pPr>
  </w:style>
  <w:style w:type="paragraph" w:customStyle="1" w:styleId="64">
    <w:name w:val="0正文"/>
    <w:basedOn w:val="21"/>
    <w:link w:val="65"/>
    <w:qFormat/>
    <w:uiPriority w:val="0"/>
    <w:pPr>
      <w:ind w:firstLine="720"/>
    </w:pPr>
    <w:rPr>
      <w:rFonts w:cs="Times New Roman"/>
    </w:rPr>
  </w:style>
  <w:style w:type="character" w:customStyle="1" w:styleId="65">
    <w:name w:val="0正文 Char"/>
    <w:link w:val="64"/>
    <w:qFormat/>
    <w:uiPriority w:val="0"/>
    <w:rPr>
      <w:rFonts w:ascii="Times New Roman" w:hAnsi="Times New Roman" w:eastAsia="宋体" w:cs="Times New Roman"/>
      <w:sz w:val="24"/>
      <w:szCs w:val="22"/>
      <w:lang w:val="en-US" w:eastAsia="zh-CN" w:bidi="ar-SA"/>
    </w:rPr>
  </w:style>
  <w:style w:type="table" w:customStyle="1" w:styleId="66">
    <w:name w:val="Table Normal"/>
    <w:unhideWhenUsed/>
    <w:qFormat/>
    <w:uiPriority w:val="0"/>
    <w:tblPr>
      <w:tblCellMar>
        <w:top w:w="0" w:type="dxa"/>
        <w:left w:w="0" w:type="dxa"/>
        <w:bottom w:w="0" w:type="dxa"/>
        <w:right w:w="0" w:type="dxa"/>
      </w:tblCellMar>
    </w:tblPr>
  </w:style>
  <w:style w:type="paragraph" w:styleId="67">
    <w:name w:val="List Paragraph"/>
    <w:basedOn w:val="1"/>
    <w:link w:val="129"/>
    <w:qFormat/>
    <w:uiPriority w:val="34"/>
    <w:pPr>
      <w:ind w:firstLine="0"/>
    </w:pPr>
    <w:rPr>
      <w:rFonts w:ascii="宋体" w:hAnsi="宋体"/>
    </w:rPr>
  </w:style>
  <w:style w:type="paragraph" w:customStyle="1" w:styleId="68">
    <w:name w:val="Table Paragraph"/>
    <w:basedOn w:val="1"/>
    <w:qFormat/>
    <w:uiPriority w:val="1"/>
    <w:rPr>
      <w:rFonts w:ascii="宋体" w:hAnsi="宋体"/>
    </w:rPr>
  </w:style>
  <w:style w:type="paragraph" w:customStyle="1" w:styleId="69">
    <w:name w:val="②级"/>
    <w:basedOn w:val="51"/>
    <w:qFormat/>
    <w:uiPriority w:val="0"/>
    <w:pPr>
      <w:spacing w:line="415" w:lineRule="auto"/>
      <w:outlineLvl w:val="1"/>
    </w:pPr>
    <w:rPr>
      <w:sz w:val="32"/>
    </w:rPr>
  </w:style>
  <w:style w:type="paragraph" w:customStyle="1" w:styleId="70">
    <w:name w:val="表正文"/>
    <w:basedOn w:val="1"/>
    <w:qFormat/>
    <w:uiPriority w:val="0"/>
    <w:pPr>
      <w:spacing w:line="288" w:lineRule="auto"/>
      <w:ind w:left="22" w:leftChars="9" w:right="22" w:rightChars="9" w:firstLine="0" w:firstLineChars="0"/>
      <w:jc w:val="center"/>
    </w:pPr>
    <w:rPr>
      <w:rFonts w:cs="Times New Roman"/>
      <w:sz w:val="21"/>
      <w:lang w:eastAsia="en-US"/>
    </w:rPr>
  </w:style>
  <w:style w:type="paragraph" w:customStyle="1" w:styleId="71">
    <w:name w:val="小标题"/>
    <w:basedOn w:val="1"/>
    <w:qFormat/>
    <w:uiPriority w:val="0"/>
    <w:pPr>
      <w:autoSpaceDE w:val="0"/>
      <w:autoSpaceDN w:val="0"/>
      <w:spacing w:before="50" w:beforeLines="50"/>
      <w:jc w:val="left"/>
    </w:pPr>
    <w:rPr>
      <w:b/>
      <w:kern w:val="0"/>
    </w:rPr>
  </w:style>
  <w:style w:type="paragraph" w:customStyle="1" w:styleId="72">
    <w:name w:val="a表格内文字"/>
    <w:basedOn w:val="1"/>
    <w:qFormat/>
    <w:uiPriority w:val="0"/>
    <w:pPr>
      <w:jc w:val="center"/>
    </w:pPr>
    <w:rPr>
      <w:color w:val="000000"/>
      <w:sz w:val="21"/>
      <w:szCs w:val="21"/>
    </w:rPr>
  </w:style>
  <w:style w:type="paragraph" w:customStyle="1" w:styleId="73">
    <w:name w:val="Default"/>
    <w:next w:val="23"/>
    <w:qFormat/>
    <w:uiPriority w:val="0"/>
    <w:pPr>
      <w:widowControl w:val="0"/>
      <w:autoSpaceDE w:val="0"/>
      <w:autoSpaceDN w:val="0"/>
      <w:adjustRightInd w:val="0"/>
    </w:pPr>
    <w:rPr>
      <w:rFonts w:ascii="宋体-方正超大字符集" w:hAnsi="Calibri" w:eastAsia="宋体-方正超大字符集" w:cs="宋体-方正超大字符集"/>
      <w:color w:val="000000"/>
      <w:sz w:val="24"/>
      <w:szCs w:val="24"/>
      <w:lang w:val="en-US" w:eastAsia="zh-CN" w:bidi="ar-SA"/>
    </w:rPr>
  </w:style>
  <w:style w:type="paragraph" w:customStyle="1" w:styleId="74">
    <w:name w:val="WPSOffice手动目录 1"/>
    <w:qFormat/>
    <w:uiPriority w:val="0"/>
    <w:rPr>
      <w:rFonts w:ascii="Calibri" w:hAnsi="Calibri" w:eastAsia="宋体" w:cs="Times New Roman"/>
      <w:lang w:val="en-US" w:eastAsia="zh-CN" w:bidi="ar-SA"/>
    </w:rPr>
  </w:style>
  <w:style w:type="paragraph" w:customStyle="1" w:styleId="75">
    <w:name w:val="WPSOffice手动目录 3"/>
    <w:qFormat/>
    <w:uiPriority w:val="0"/>
    <w:pPr>
      <w:ind w:left="400" w:leftChars="400"/>
    </w:pPr>
    <w:rPr>
      <w:rFonts w:ascii="Calibri" w:hAnsi="Calibri" w:eastAsia="宋体" w:cs="Times New Roman"/>
      <w:lang w:val="en-US" w:eastAsia="zh-CN" w:bidi="ar-SA"/>
    </w:rPr>
  </w:style>
  <w:style w:type="paragraph" w:customStyle="1" w:styleId="76">
    <w:name w:val="WPSOffice手动目录 2"/>
    <w:qFormat/>
    <w:uiPriority w:val="0"/>
    <w:pPr>
      <w:ind w:left="200" w:leftChars="200"/>
    </w:pPr>
    <w:rPr>
      <w:rFonts w:ascii="Calibri" w:hAnsi="Calibri" w:eastAsia="宋体" w:cs="Times New Roman"/>
      <w:lang w:val="en-US" w:eastAsia="zh-CN" w:bidi="ar-SA"/>
    </w:rPr>
  </w:style>
  <w:style w:type="paragraph" w:customStyle="1" w:styleId="77">
    <w:name w:val="二级标题（）"/>
    <w:basedOn w:val="1"/>
    <w:qFormat/>
    <w:uiPriority w:val="0"/>
    <w:pPr>
      <w:outlineLvl w:val="1"/>
    </w:pPr>
    <w:rPr>
      <w:rFonts w:eastAsia="黑体" w:cs="Times New Roman"/>
      <w:color w:val="5B9BD5"/>
      <w:sz w:val="30"/>
      <w:szCs w:val="30"/>
    </w:rPr>
  </w:style>
  <w:style w:type="paragraph" w:customStyle="1" w:styleId="78">
    <w:name w:val="一级标题（）"/>
    <w:basedOn w:val="1"/>
    <w:qFormat/>
    <w:uiPriority w:val="0"/>
    <w:pPr>
      <w:jc w:val="center"/>
      <w:outlineLvl w:val="0"/>
    </w:pPr>
    <w:rPr>
      <w:rFonts w:eastAsia="黑体" w:cs="Times New Roman"/>
      <w:bCs/>
      <w:color w:val="5B9BD5"/>
      <w:sz w:val="36"/>
      <w:szCs w:val="28"/>
    </w:rPr>
  </w:style>
  <w:style w:type="paragraph" w:customStyle="1" w:styleId="79">
    <w:name w:val="报告书正文（林）"/>
    <w:basedOn w:val="1"/>
    <w:qFormat/>
    <w:uiPriority w:val="0"/>
    <w:pPr>
      <w:topLinePunct/>
      <w:textAlignment w:val="baseline"/>
    </w:pPr>
    <w:rPr>
      <w:color w:val="000000"/>
    </w:rPr>
  </w:style>
  <w:style w:type="paragraph" w:customStyle="1" w:styleId="80">
    <w:name w:val="标题111"/>
    <w:basedOn w:val="81"/>
    <w:qFormat/>
    <w:uiPriority w:val="0"/>
    <w:pPr>
      <w:ind w:firstLine="0" w:firstLineChars="0"/>
    </w:pPr>
  </w:style>
  <w:style w:type="paragraph" w:customStyle="1" w:styleId="81">
    <w:name w:val="标题1111"/>
    <w:basedOn w:val="82"/>
    <w:qFormat/>
    <w:uiPriority w:val="0"/>
    <w:pPr>
      <w:spacing w:before="163" w:after="326"/>
    </w:pPr>
    <w:rPr>
      <w:color w:val="0000FF"/>
    </w:rPr>
  </w:style>
  <w:style w:type="paragraph" w:customStyle="1" w:styleId="82">
    <w:name w:val="报告书标题1（林）"/>
    <w:basedOn w:val="2"/>
    <w:next w:val="1"/>
    <w:qFormat/>
    <w:uiPriority w:val="0"/>
    <w:pPr>
      <w:pageBreakBefore/>
      <w:numPr>
        <w:numId w:val="0"/>
      </w:numPr>
      <w:spacing w:before="50" w:beforeLines="50"/>
      <w:ind w:firstLine="200" w:firstLineChars="200"/>
      <w:textAlignment w:val="center"/>
    </w:pPr>
    <w:rPr>
      <w:kern w:val="32"/>
    </w:rPr>
  </w:style>
  <w:style w:type="paragraph" w:customStyle="1" w:styleId="83">
    <w:name w:val="标题333"/>
    <w:basedOn w:val="84"/>
    <w:qFormat/>
    <w:uiPriority w:val="0"/>
    <w:pPr>
      <w:numPr>
        <w:ilvl w:val="0"/>
        <w:numId w:val="0"/>
      </w:numPr>
      <w:tabs>
        <w:tab w:val="left" w:pos="420"/>
      </w:tabs>
      <w:spacing w:before="0" w:beforeLines="0" w:after="0" w:afterLines="0"/>
      <w:outlineLvl w:val="2"/>
    </w:pPr>
  </w:style>
  <w:style w:type="paragraph" w:customStyle="1" w:styleId="84">
    <w:name w:val="报告书标题2（林）"/>
    <w:basedOn w:val="3"/>
    <w:next w:val="1"/>
    <w:qFormat/>
    <w:uiPriority w:val="0"/>
    <w:pPr>
      <w:numPr>
        <w:numId w:val="4"/>
      </w:numPr>
      <w:spacing w:after="50" w:afterLines="50"/>
    </w:pPr>
    <w:rPr>
      <w:sz w:val="28"/>
      <w:szCs w:val="28"/>
    </w:rPr>
  </w:style>
  <w:style w:type="paragraph" w:customStyle="1" w:styleId="85">
    <w:name w:val="表格标题（）"/>
    <w:basedOn w:val="1"/>
    <w:qFormat/>
    <w:uiPriority w:val="0"/>
    <w:pPr>
      <w:jc w:val="center"/>
    </w:pPr>
    <w:rPr>
      <w:rFonts w:eastAsia="黑体" w:cs="Times New Roman"/>
      <w:color w:val="5B9BD5"/>
      <w:lang w:val="zh-CN" w:bidi="he-IL"/>
    </w:rPr>
  </w:style>
  <w:style w:type="paragraph" w:customStyle="1" w:styleId="86">
    <w:name w:val="表格中文字"/>
    <w:basedOn w:val="1"/>
    <w:qFormat/>
    <w:uiPriority w:val="0"/>
    <w:pPr>
      <w:spacing w:line="240" w:lineRule="auto"/>
      <w:ind w:firstLine="0" w:firstLineChars="0"/>
      <w:jc w:val="center"/>
    </w:pPr>
    <w:rPr>
      <w:sz w:val="21"/>
    </w:rPr>
  </w:style>
  <w:style w:type="paragraph" w:customStyle="1" w:styleId="87">
    <w:name w:val="表格标题"/>
    <w:link w:val="125"/>
    <w:qFormat/>
    <w:uiPriority w:val="0"/>
    <w:pPr>
      <w:numPr>
        <w:ilvl w:val="4"/>
        <w:numId w:val="5"/>
      </w:numPr>
      <w:adjustRightInd w:val="0"/>
      <w:snapToGrid w:val="0"/>
      <w:spacing w:before="50" w:beforeLines="50"/>
      <w:jc w:val="center"/>
    </w:pPr>
    <w:rPr>
      <w:rFonts w:ascii="Times New Roman" w:hAnsi="Times New Roman" w:eastAsia="宋体" w:cs="Times New Roman"/>
      <w:b/>
      <w:kern w:val="2"/>
      <w:sz w:val="24"/>
      <w:szCs w:val="28"/>
      <w:lang w:val="en-US" w:eastAsia="zh-CN" w:bidi="ar-SA"/>
    </w:rPr>
  </w:style>
  <w:style w:type="paragraph" w:customStyle="1" w:styleId="88">
    <w:name w:val="表格内文字"/>
    <w:basedOn w:val="89"/>
    <w:qFormat/>
    <w:uiPriority w:val="0"/>
    <w:pPr>
      <w:spacing w:line="240" w:lineRule="auto"/>
    </w:pPr>
    <w:rPr>
      <w:b w:val="0"/>
      <w:sz w:val="21"/>
    </w:rPr>
  </w:style>
  <w:style w:type="paragraph" w:customStyle="1" w:styleId="89">
    <w:name w:val="表头"/>
    <w:basedOn w:val="1"/>
    <w:qFormat/>
    <w:uiPriority w:val="0"/>
    <w:pPr>
      <w:ind w:firstLine="0" w:firstLineChars="0"/>
      <w:jc w:val="center"/>
    </w:pPr>
    <w:rPr>
      <w:b/>
    </w:rPr>
  </w:style>
  <w:style w:type="paragraph" w:customStyle="1" w:styleId="90">
    <w:name w:val="表格的字"/>
    <w:basedOn w:val="1"/>
    <w:qFormat/>
    <w:uiPriority w:val="0"/>
    <w:pPr>
      <w:spacing w:line="240" w:lineRule="auto"/>
      <w:ind w:firstLine="0" w:firstLineChars="0"/>
      <w:jc w:val="center"/>
    </w:pPr>
    <w:rPr>
      <w:sz w:val="21"/>
    </w:rPr>
  </w:style>
  <w:style w:type="paragraph" w:customStyle="1" w:styleId="91">
    <w:name w:val="11111表土"/>
    <w:basedOn w:val="1"/>
    <w:qFormat/>
    <w:uiPriority w:val="0"/>
    <w:pPr>
      <w:widowControl/>
      <w:spacing w:line="240" w:lineRule="auto"/>
      <w:ind w:firstLine="0" w:firstLineChars="0"/>
      <w:jc w:val="center"/>
    </w:pPr>
    <w:rPr>
      <w:rFonts w:eastAsia="黑体"/>
      <w:kern w:val="0"/>
    </w:rPr>
  </w:style>
  <w:style w:type="paragraph" w:customStyle="1" w:styleId="92">
    <w:name w:val="111表格的格式"/>
    <w:basedOn w:val="93"/>
    <w:qFormat/>
    <w:uiPriority w:val="0"/>
  </w:style>
  <w:style w:type="paragraph" w:customStyle="1" w:styleId="93">
    <w:name w:val="规范表格文"/>
    <w:basedOn w:val="19"/>
    <w:qFormat/>
    <w:uiPriority w:val="0"/>
    <w:pPr>
      <w:spacing w:line="240" w:lineRule="auto"/>
      <w:ind w:firstLine="0" w:firstLineChars="0"/>
      <w:jc w:val="center"/>
    </w:pPr>
    <w:rPr>
      <w:sz w:val="21"/>
    </w:rPr>
  </w:style>
  <w:style w:type="paragraph" w:customStyle="1" w:styleId="94">
    <w:name w:val="111正文的格式"/>
    <w:basedOn w:val="1"/>
    <w:qFormat/>
    <w:uiPriority w:val="0"/>
    <w:rPr>
      <w:bCs/>
      <w:kern w:val="0"/>
    </w:rPr>
  </w:style>
  <w:style w:type="paragraph" w:customStyle="1" w:styleId="95">
    <w:name w:val="Table Text"/>
    <w:basedOn w:val="1"/>
    <w:semiHidden/>
    <w:qFormat/>
    <w:uiPriority w:val="0"/>
    <w:rPr>
      <w:rFonts w:ascii="宋体" w:hAnsi="宋体"/>
      <w:szCs w:val="24"/>
      <w:lang w:eastAsia="en-US"/>
    </w:rPr>
  </w:style>
  <w:style w:type="paragraph" w:customStyle="1" w:styleId="96">
    <w:name w:val="图 居中"/>
    <w:basedOn w:val="1"/>
    <w:qFormat/>
    <w:uiPriority w:val="0"/>
    <w:pPr>
      <w:spacing w:line="240" w:lineRule="auto"/>
      <w:ind w:firstLine="0" w:firstLineChars="0"/>
      <w:jc w:val="center"/>
    </w:pPr>
  </w:style>
  <w:style w:type="paragraph" w:customStyle="1" w:styleId="97">
    <w:name w:val="图，单倍行距"/>
    <w:qFormat/>
    <w:uiPriority w:val="0"/>
    <w:pPr>
      <w:jc w:val="center"/>
    </w:pPr>
    <w:rPr>
      <w:rFonts w:ascii="Calibri" w:hAnsi="Calibri" w:eastAsia="宋体" w:cs="Times New Roman"/>
      <w:bCs/>
      <w:kern w:val="2"/>
      <w:sz w:val="24"/>
      <w:szCs w:val="32"/>
      <w:lang w:val="en-US" w:eastAsia="zh-CN" w:bidi="ar-SA"/>
    </w:rPr>
  </w:style>
  <w:style w:type="paragraph" w:customStyle="1" w:styleId="98">
    <w:name w:val="图"/>
    <w:link w:val="99"/>
    <w:qFormat/>
    <w:uiPriority w:val="0"/>
    <w:pPr>
      <w:spacing w:line="360" w:lineRule="auto"/>
      <w:jc w:val="center"/>
    </w:pPr>
    <w:rPr>
      <w:rFonts w:ascii="Calibri" w:hAnsi="Calibri" w:eastAsia="宋体" w:cs="Times New Roman"/>
      <w:kern w:val="2"/>
      <w:sz w:val="24"/>
      <w:szCs w:val="24"/>
      <w:lang w:val="en-US" w:eastAsia="zh-CN" w:bidi="ar-SA"/>
    </w:rPr>
  </w:style>
  <w:style w:type="character" w:customStyle="1" w:styleId="99">
    <w:name w:val="图 Char"/>
    <w:link w:val="98"/>
    <w:qFormat/>
    <w:uiPriority w:val="0"/>
    <w:rPr>
      <w:rFonts w:ascii="Times New Roman" w:hAnsi="Times New Roman" w:eastAsia="宋体" w:cs="Times New Roman"/>
      <w:kern w:val="2"/>
      <w:sz w:val="24"/>
      <w:szCs w:val="24"/>
      <w:lang w:val="en-US" w:eastAsia="zh-CN" w:bidi="ar-SA"/>
    </w:rPr>
  </w:style>
  <w:style w:type="paragraph" w:customStyle="1" w:styleId="100">
    <w:name w:val="图件"/>
    <w:basedOn w:val="1"/>
    <w:link w:val="150"/>
    <w:qFormat/>
    <w:uiPriority w:val="0"/>
    <w:pPr>
      <w:widowControl/>
      <w:ind w:firstLine="0" w:firstLineChars="0"/>
      <w:jc w:val="center"/>
    </w:pPr>
    <w:rPr>
      <w:b/>
      <w:bCs/>
      <w:color w:val="000000"/>
      <w:szCs w:val="20"/>
    </w:rPr>
  </w:style>
  <w:style w:type="character" w:customStyle="1" w:styleId="101">
    <w:name w:val="表名 Char"/>
    <w:qFormat/>
    <w:uiPriority w:val="0"/>
    <w:rPr>
      <w:rFonts w:eastAsia="宋体"/>
      <w:b/>
      <w:bCs/>
      <w:kern w:val="2"/>
      <w:sz w:val="24"/>
      <w:szCs w:val="32"/>
      <w:lang w:val="en-US" w:eastAsia="zh-CN" w:bidi="ar-SA"/>
    </w:rPr>
  </w:style>
  <w:style w:type="paragraph" w:customStyle="1" w:styleId="102">
    <w:name w:val="样式 样式 表格底下标注 + 首行缩进:  2 字符 + 首行缩进:  2 字符"/>
    <w:basedOn w:val="103"/>
    <w:qFormat/>
    <w:uiPriority w:val="0"/>
    <w:pPr>
      <w:spacing w:before="30" w:beforeLines="30"/>
    </w:pPr>
    <w:rPr>
      <w:bCs w:val="0"/>
    </w:rPr>
  </w:style>
  <w:style w:type="paragraph" w:customStyle="1" w:styleId="103">
    <w:name w:val="样式 表格底下标注 + 首行缩进:  2 字符"/>
    <w:basedOn w:val="104"/>
    <w:qFormat/>
    <w:uiPriority w:val="0"/>
    <w:rPr>
      <w:rFonts w:cs="宋体"/>
      <w:b w:val="0"/>
      <w:szCs w:val="20"/>
    </w:rPr>
  </w:style>
  <w:style w:type="paragraph" w:customStyle="1" w:styleId="104">
    <w:name w:val="表格底下标注"/>
    <w:qFormat/>
    <w:uiPriority w:val="0"/>
    <w:pPr>
      <w:spacing w:line="360" w:lineRule="auto"/>
      <w:ind w:firstLine="200" w:firstLineChars="200"/>
    </w:pPr>
    <w:rPr>
      <w:rFonts w:ascii="Calibri" w:hAnsi="Calibri" w:eastAsia="宋体" w:cs="Times New Roman"/>
      <w:b/>
      <w:bCs/>
      <w:kern w:val="2"/>
      <w:sz w:val="18"/>
      <w:szCs w:val="32"/>
      <w:lang w:val="en-US" w:eastAsia="zh-CN" w:bidi="ar-SA"/>
    </w:rPr>
  </w:style>
  <w:style w:type="paragraph" w:customStyle="1" w:styleId="105">
    <w:name w:val="表格内容"/>
    <w:link w:val="126"/>
    <w:qFormat/>
    <w:uiPriority w:val="0"/>
    <w:pPr>
      <w:adjustRightInd w:val="0"/>
      <w:snapToGrid w:val="0"/>
      <w:spacing w:before="30" w:after="30"/>
    </w:pPr>
    <w:rPr>
      <w:rFonts w:ascii="Times New Roman" w:hAnsi="Times New Roman" w:eastAsia="宋体" w:cs="宋体"/>
      <w:kern w:val="2"/>
      <w:sz w:val="21"/>
      <w:szCs w:val="28"/>
      <w:lang w:val="en-US" w:eastAsia="zh-CN" w:bidi="ar-SA"/>
    </w:rPr>
  </w:style>
  <w:style w:type="paragraph" w:customStyle="1" w:styleId="106">
    <w:name w:val="正文(首行缩进)"/>
    <w:basedOn w:val="1"/>
    <w:qFormat/>
    <w:uiPriority w:val="0"/>
    <w:pPr>
      <w:ind w:firstLine="420"/>
    </w:pPr>
    <w:rPr>
      <w:kern w:val="24"/>
    </w:rPr>
  </w:style>
  <w:style w:type="character" w:customStyle="1" w:styleId="107">
    <w:name w:val="font31"/>
    <w:qFormat/>
    <w:uiPriority w:val="0"/>
    <w:rPr>
      <w:rFonts w:hint="default" w:ascii="Times New Roman" w:hAnsi="Times New Roman" w:cs="Times New Roman"/>
      <w:color w:val="000000"/>
      <w:sz w:val="24"/>
      <w:szCs w:val="24"/>
      <w:u w:val="none"/>
    </w:rPr>
  </w:style>
  <w:style w:type="character" w:customStyle="1" w:styleId="108">
    <w:name w:val="font01"/>
    <w:qFormat/>
    <w:uiPriority w:val="0"/>
    <w:rPr>
      <w:rFonts w:hint="eastAsia" w:ascii="宋体" w:hAnsi="宋体" w:eastAsia="宋体" w:cs="宋体"/>
      <w:color w:val="000000"/>
      <w:sz w:val="24"/>
      <w:szCs w:val="24"/>
      <w:u w:val="none"/>
    </w:rPr>
  </w:style>
  <w:style w:type="character" w:customStyle="1" w:styleId="109">
    <w:name w:val="批注框文本 字符1"/>
    <w:link w:val="34"/>
    <w:qFormat/>
    <w:uiPriority w:val="0"/>
    <w:rPr>
      <w:rFonts w:ascii="宋体" w:hAnsi="宋体" w:cs="宋体"/>
      <w:sz w:val="18"/>
      <w:szCs w:val="18"/>
    </w:rPr>
  </w:style>
  <w:style w:type="character" w:customStyle="1" w:styleId="110">
    <w:name w:val="批注文字 字符1"/>
    <w:link w:val="17"/>
    <w:qFormat/>
    <w:uiPriority w:val="99"/>
    <w:rPr>
      <w:rFonts w:ascii="宋体" w:hAnsi="宋体" w:cs="宋体"/>
      <w:sz w:val="22"/>
      <w:szCs w:val="22"/>
    </w:rPr>
  </w:style>
  <w:style w:type="character" w:customStyle="1" w:styleId="111">
    <w:name w:val="批注主题 字符1"/>
    <w:link w:val="52"/>
    <w:qFormat/>
    <w:uiPriority w:val="0"/>
    <w:rPr>
      <w:rFonts w:ascii="宋体" w:hAnsi="宋体" w:cs="宋体"/>
      <w:b/>
      <w:bCs/>
      <w:sz w:val="22"/>
      <w:szCs w:val="22"/>
    </w:rPr>
  </w:style>
  <w:style w:type="paragraph" w:customStyle="1" w:styleId="112">
    <w:name w:val="修订1"/>
    <w:hidden/>
    <w:unhideWhenUsed/>
    <w:qFormat/>
    <w:uiPriority w:val="99"/>
    <w:rPr>
      <w:rFonts w:ascii="宋体" w:hAnsi="宋体" w:eastAsia="宋体" w:cs="宋体"/>
      <w:sz w:val="22"/>
      <w:szCs w:val="22"/>
      <w:lang w:val="en-US" w:eastAsia="zh-CN" w:bidi="ar-SA"/>
    </w:rPr>
  </w:style>
  <w:style w:type="character" w:customStyle="1" w:styleId="113">
    <w:name w:val="未处理的提及1"/>
    <w:semiHidden/>
    <w:unhideWhenUsed/>
    <w:qFormat/>
    <w:uiPriority w:val="99"/>
    <w:rPr>
      <w:color w:val="605E5C"/>
      <w:shd w:val="clear" w:color="auto" w:fill="E1DFDD"/>
    </w:rPr>
  </w:style>
  <w:style w:type="paragraph" w:customStyle="1" w:styleId="114">
    <w:name w:val="一级标题"/>
    <w:link w:val="115"/>
    <w:qFormat/>
    <w:uiPriority w:val="0"/>
    <w:pPr>
      <w:numPr>
        <w:ilvl w:val="0"/>
        <w:numId w:val="5"/>
      </w:numPr>
      <w:adjustRightInd w:val="0"/>
      <w:snapToGrid w:val="0"/>
      <w:spacing w:before="240" w:after="240" w:line="360" w:lineRule="auto"/>
      <w:jc w:val="center"/>
      <w:outlineLvl w:val="0"/>
    </w:pPr>
    <w:rPr>
      <w:rFonts w:ascii="宋体" w:hAnsi="宋体" w:eastAsia="宋体" w:cs="Arial"/>
      <w:b/>
      <w:kern w:val="2"/>
      <w:sz w:val="32"/>
      <w:szCs w:val="28"/>
      <w:lang w:val="en-US" w:eastAsia="zh-CN" w:bidi="ar-SA"/>
    </w:rPr>
  </w:style>
  <w:style w:type="character" w:customStyle="1" w:styleId="115">
    <w:name w:val="一级标题 Char"/>
    <w:link w:val="114"/>
    <w:qFormat/>
    <w:uiPriority w:val="0"/>
    <w:rPr>
      <w:rFonts w:ascii="宋体" w:hAnsi="宋体" w:cs="Arial"/>
      <w:b/>
      <w:kern w:val="2"/>
      <w:sz w:val="32"/>
      <w:szCs w:val="28"/>
    </w:rPr>
  </w:style>
  <w:style w:type="paragraph" w:customStyle="1" w:styleId="116">
    <w:name w:val="二级标题"/>
    <w:link w:val="117"/>
    <w:qFormat/>
    <w:uiPriority w:val="0"/>
    <w:pPr>
      <w:numPr>
        <w:ilvl w:val="1"/>
        <w:numId w:val="5"/>
      </w:numPr>
      <w:adjustRightInd w:val="0"/>
      <w:snapToGrid w:val="0"/>
      <w:spacing w:before="120" w:after="120" w:line="360" w:lineRule="auto"/>
      <w:outlineLvl w:val="1"/>
    </w:pPr>
    <w:rPr>
      <w:rFonts w:ascii="Times New Roman" w:hAnsi="Times New Roman" w:eastAsia="宋体" w:cs="Times New Roman"/>
      <w:b/>
      <w:kern w:val="2"/>
      <w:sz w:val="30"/>
      <w:szCs w:val="30"/>
      <w:lang w:val="en-US" w:eastAsia="zh-CN" w:bidi="ar-SA"/>
    </w:rPr>
  </w:style>
  <w:style w:type="character" w:customStyle="1" w:styleId="117">
    <w:name w:val="二级标题 Char"/>
    <w:link w:val="116"/>
    <w:qFormat/>
    <w:uiPriority w:val="0"/>
    <w:rPr>
      <w:rFonts w:ascii="Times New Roman" w:hAnsi="Times New Roman"/>
      <w:b/>
      <w:kern w:val="2"/>
      <w:sz w:val="30"/>
      <w:szCs w:val="30"/>
    </w:rPr>
  </w:style>
  <w:style w:type="paragraph" w:customStyle="1" w:styleId="118">
    <w:name w:val="四级标题"/>
    <w:link w:val="119"/>
    <w:qFormat/>
    <w:uiPriority w:val="0"/>
    <w:pPr>
      <w:numPr>
        <w:ilvl w:val="3"/>
        <w:numId w:val="5"/>
      </w:numPr>
      <w:adjustRightInd w:val="0"/>
      <w:snapToGrid w:val="0"/>
      <w:spacing w:before="60" w:after="60" w:line="360" w:lineRule="auto"/>
      <w:outlineLvl w:val="3"/>
    </w:pPr>
    <w:rPr>
      <w:rFonts w:ascii="Times New Roman" w:hAnsi="Times New Roman" w:eastAsia="宋体" w:cs="Times New Roman"/>
      <w:b/>
      <w:kern w:val="2"/>
      <w:sz w:val="24"/>
      <w:szCs w:val="28"/>
      <w:lang w:val="en-US" w:eastAsia="zh-CN" w:bidi="ar-SA"/>
    </w:rPr>
  </w:style>
  <w:style w:type="character" w:customStyle="1" w:styleId="119">
    <w:name w:val="四级标题 Char"/>
    <w:link w:val="118"/>
    <w:qFormat/>
    <w:uiPriority w:val="0"/>
    <w:rPr>
      <w:rFonts w:ascii="Times New Roman" w:hAnsi="Times New Roman"/>
      <w:b/>
      <w:kern w:val="2"/>
      <w:sz w:val="24"/>
      <w:szCs w:val="28"/>
    </w:rPr>
  </w:style>
  <w:style w:type="paragraph" w:customStyle="1" w:styleId="120">
    <w:name w:val="三级标题"/>
    <w:next w:val="1"/>
    <w:link w:val="121"/>
    <w:qFormat/>
    <w:uiPriority w:val="0"/>
    <w:pPr>
      <w:numPr>
        <w:ilvl w:val="2"/>
        <w:numId w:val="5"/>
      </w:numPr>
      <w:adjustRightInd w:val="0"/>
      <w:snapToGrid w:val="0"/>
      <w:spacing w:before="60" w:after="60" w:line="360" w:lineRule="auto"/>
      <w:outlineLvl w:val="2"/>
    </w:pPr>
    <w:rPr>
      <w:rFonts w:ascii="Times New Roman" w:hAnsi="Times New Roman" w:eastAsia="宋体" w:cs="Times New Roman"/>
      <w:b/>
      <w:color w:val="000000"/>
      <w:kern w:val="2"/>
      <w:sz w:val="28"/>
      <w:szCs w:val="28"/>
      <w:lang w:val="en-US" w:eastAsia="zh-CN" w:bidi="ar-SA"/>
    </w:rPr>
  </w:style>
  <w:style w:type="character" w:customStyle="1" w:styleId="121">
    <w:name w:val="三级标题 Char"/>
    <w:link w:val="120"/>
    <w:qFormat/>
    <w:uiPriority w:val="0"/>
    <w:rPr>
      <w:rFonts w:ascii="Times New Roman" w:hAnsi="Times New Roman"/>
      <w:b/>
      <w:color w:val="000000"/>
      <w:kern w:val="2"/>
      <w:sz w:val="28"/>
      <w:szCs w:val="28"/>
    </w:rPr>
  </w:style>
  <w:style w:type="paragraph" w:customStyle="1" w:styleId="122">
    <w:name w:val="图件标题"/>
    <w:qFormat/>
    <w:uiPriority w:val="0"/>
    <w:pPr>
      <w:numPr>
        <w:ilvl w:val="5"/>
        <w:numId w:val="5"/>
      </w:numPr>
      <w:adjustRightInd w:val="0"/>
      <w:snapToGrid w:val="0"/>
      <w:spacing w:before="40" w:after="100"/>
      <w:jc w:val="center"/>
    </w:pPr>
    <w:rPr>
      <w:rFonts w:ascii="Times New Roman" w:hAnsi="Times New Roman" w:eastAsia="宋体" w:cs="Times New Roman"/>
      <w:b/>
      <w:kern w:val="2"/>
      <w:sz w:val="24"/>
      <w:szCs w:val="28"/>
      <w:lang w:val="en-US" w:eastAsia="zh-CN" w:bidi="ar-SA"/>
    </w:rPr>
  </w:style>
  <w:style w:type="paragraph" w:customStyle="1" w:styleId="123">
    <w:name w:val="正文自动编号"/>
    <w:qFormat/>
    <w:uiPriority w:val="0"/>
    <w:pPr>
      <w:numPr>
        <w:ilvl w:val="0"/>
        <w:numId w:val="6"/>
      </w:numPr>
      <w:tabs>
        <w:tab w:val="left" w:pos="0"/>
        <w:tab w:val="left" w:pos="1134"/>
      </w:tabs>
      <w:adjustRightInd w:val="0"/>
      <w:snapToGrid w:val="0"/>
      <w:spacing w:line="360" w:lineRule="auto"/>
      <w:ind w:firstLine="200" w:firstLineChars="200"/>
    </w:pPr>
    <w:rPr>
      <w:rFonts w:ascii="Times New Roman" w:hAnsi="Times New Roman" w:eastAsia="宋体" w:cs="Times New Roman"/>
      <w:kern w:val="2"/>
      <w:sz w:val="24"/>
      <w:szCs w:val="22"/>
      <w:lang w:val="en-US" w:eastAsia="zh-CN" w:bidi="ar-SA"/>
    </w:rPr>
  </w:style>
  <w:style w:type="paragraph" w:customStyle="1" w:styleId="124">
    <w:name w:val="正文上"/>
    <w:basedOn w:val="1"/>
    <w:qFormat/>
    <w:uiPriority w:val="0"/>
    <w:pPr>
      <w:spacing w:before="120" w:beforeLines="50"/>
      <w:ind w:firstLine="480"/>
    </w:pPr>
    <w:rPr>
      <w:rFonts w:cs="Times New Roman"/>
    </w:rPr>
  </w:style>
  <w:style w:type="character" w:customStyle="1" w:styleId="125">
    <w:name w:val="标题4 Char1"/>
    <w:link w:val="87"/>
    <w:qFormat/>
    <w:uiPriority w:val="0"/>
    <w:rPr>
      <w:rFonts w:ascii="Times New Roman" w:hAnsi="Times New Roman"/>
      <w:b/>
      <w:kern w:val="2"/>
      <w:sz w:val="24"/>
      <w:szCs w:val="28"/>
    </w:rPr>
  </w:style>
  <w:style w:type="character" w:customStyle="1" w:styleId="126">
    <w:name w:val="表格内容 Char Char"/>
    <w:link w:val="105"/>
    <w:qFormat/>
    <w:uiPriority w:val="0"/>
    <w:rPr>
      <w:rFonts w:ascii="Times New Roman" w:hAnsi="Times New Roman" w:cs="宋体"/>
      <w:kern w:val="2"/>
      <w:sz w:val="21"/>
      <w:szCs w:val="28"/>
    </w:rPr>
  </w:style>
  <w:style w:type="character" w:customStyle="1" w:styleId="127">
    <w:name w:val="页脚 字符"/>
    <w:link w:val="35"/>
    <w:qFormat/>
    <w:uiPriority w:val="99"/>
    <w:rPr>
      <w:rFonts w:ascii="Times New Roman" w:hAnsi="Times New Roman" w:cs="宋体"/>
      <w:kern w:val="2"/>
      <w:sz w:val="18"/>
      <w:szCs w:val="22"/>
    </w:rPr>
  </w:style>
  <w:style w:type="table" w:customStyle="1" w:styleId="128">
    <w:name w:val="表格样式11"/>
    <w:basedOn w:val="53"/>
    <w:qFormat/>
    <w:uiPriority w:val="0"/>
    <w:pPr>
      <w:spacing w:line="240" w:lineRule="atLeast"/>
      <w:jc w:val="center"/>
    </w:pPr>
    <w:rPr>
      <w:rFonts w:ascii="Times New Roman" w:hAnsi="Times New Roman" w:eastAsia="Times New Roman"/>
      <w:sz w:val="21"/>
      <w:szCs w:val="21"/>
    </w:rPr>
    <w:tblPr>
      <w:tblBorders>
        <w:top w:val="single" w:color="auto" w:sz="12" w:space="0"/>
        <w:bottom w:val="single" w:color="auto" w:sz="12" w:space="0"/>
        <w:insideH w:val="single" w:color="auto" w:sz="6" w:space="0"/>
        <w:insideV w:val="single" w:color="auto" w:sz="6" w:space="0"/>
      </w:tblBorders>
    </w:tblPr>
    <w:tcPr>
      <w:vAlign w:val="center"/>
    </w:tcPr>
  </w:style>
  <w:style w:type="character" w:customStyle="1" w:styleId="129">
    <w:name w:val="列表段落 字符"/>
    <w:link w:val="67"/>
    <w:qFormat/>
    <w:uiPriority w:val="34"/>
    <w:rPr>
      <w:rFonts w:ascii="宋体" w:hAnsi="宋体" w:cs="宋体"/>
      <w:kern w:val="2"/>
      <w:sz w:val="24"/>
      <w:szCs w:val="22"/>
    </w:rPr>
  </w:style>
  <w:style w:type="paragraph" w:customStyle="1" w:styleId="130">
    <w:name w:val="5段落"/>
    <w:basedOn w:val="1"/>
    <w:link w:val="131"/>
    <w:qFormat/>
    <w:uiPriority w:val="0"/>
    <w:pPr>
      <w:adjustRightInd/>
      <w:snapToGrid/>
      <w:ind w:firstLine="480"/>
    </w:pPr>
    <w:rPr>
      <w:rFonts w:cs="Times New Roman"/>
      <w:color w:val="000000"/>
      <w:szCs w:val="24"/>
    </w:rPr>
  </w:style>
  <w:style w:type="character" w:customStyle="1" w:styleId="131">
    <w:name w:val="5段落 Char"/>
    <w:link w:val="130"/>
    <w:qFormat/>
    <w:uiPriority w:val="0"/>
    <w:rPr>
      <w:rFonts w:ascii="Times New Roman" w:hAnsi="Times New Roman"/>
      <w:color w:val="000000"/>
      <w:kern w:val="2"/>
      <w:sz w:val="24"/>
      <w:szCs w:val="24"/>
    </w:rPr>
  </w:style>
  <w:style w:type="paragraph" w:customStyle="1" w:styleId="132">
    <w:name w:val="6"/>
    <w:basedOn w:val="1"/>
    <w:next w:val="67"/>
    <w:qFormat/>
    <w:uiPriority w:val="34"/>
    <w:pPr>
      <w:adjustRightInd/>
      <w:snapToGrid/>
      <w:spacing w:line="240" w:lineRule="auto"/>
      <w:ind w:firstLine="420"/>
    </w:pPr>
    <w:rPr>
      <w:rFonts w:cs="Times New Roman"/>
      <w:sz w:val="21"/>
      <w:szCs w:val="24"/>
    </w:rPr>
  </w:style>
  <w:style w:type="character" w:customStyle="1" w:styleId="133">
    <w:name w:val="表格 Char Char Char Char"/>
    <w:link w:val="134"/>
    <w:qFormat/>
    <w:uiPriority w:val="0"/>
    <w:rPr>
      <w:rFonts w:ascii="Times New Roman" w:hAnsi="Times New Roman"/>
      <w:kern w:val="2"/>
      <w:sz w:val="15"/>
      <w:szCs w:val="21"/>
    </w:rPr>
  </w:style>
  <w:style w:type="paragraph" w:customStyle="1" w:styleId="134">
    <w:name w:val="表格"/>
    <w:basedOn w:val="1"/>
    <w:link w:val="133"/>
    <w:qFormat/>
    <w:uiPriority w:val="0"/>
    <w:pPr>
      <w:widowControl/>
      <w:spacing w:line="240" w:lineRule="auto"/>
      <w:jc w:val="center"/>
    </w:pPr>
    <w:rPr>
      <w:rFonts w:cs="Times New Roman"/>
      <w:sz w:val="15"/>
      <w:szCs w:val="21"/>
    </w:rPr>
  </w:style>
  <w:style w:type="character" w:customStyle="1" w:styleId="135">
    <w:name w:val="页眉 字符"/>
    <w:link w:val="36"/>
    <w:qFormat/>
    <w:uiPriority w:val="0"/>
    <w:rPr>
      <w:rFonts w:ascii="Times New Roman" w:hAnsi="Times New Roman" w:cs="宋体"/>
      <w:kern w:val="2"/>
      <w:sz w:val="18"/>
      <w:szCs w:val="22"/>
    </w:rPr>
  </w:style>
  <w:style w:type="paragraph" w:customStyle="1" w:styleId="136">
    <w:name w:val="1级标题"/>
    <w:basedOn w:val="1"/>
    <w:next w:val="1"/>
    <w:link w:val="138"/>
    <w:qFormat/>
    <w:uiPriority w:val="0"/>
    <w:pPr>
      <w:numPr>
        <w:ilvl w:val="0"/>
        <w:numId w:val="7"/>
      </w:numPr>
      <w:adjustRightInd/>
      <w:snapToGrid/>
      <w:spacing w:before="120" w:after="120" w:line="240" w:lineRule="auto"/>
      <w:ind w:firstLineChars="0"/>
      <w:jc w:val="center"/>
      <w:outlineLvl w:val="0"/>
    </w:pPr>
    <w:rPr>
      <w:rFonts w:ascii="黑体" w:hAnsi="黑体" w:eastAsia="黑体" w:cs="Times New Roman"/>
      <w:b/>
      <w:sz w:val="32"/>
      <w:szCs w:val="32"/>
    </w:rPr>
  </w:style>
  <w:style w:type="paragraph" w:customStyle="1" w:styleId="137">
    <w:name w:val="2级标题"/>
    <w:basedOn w:val="1"/>
    <w:next w:val="1"/>
    <w:link w:val="140"/>
    <w:qFormat/>
    <w:uiPriority w:val="0"/>
    <w:pPr>
      <w:numPr>
        <w:ilvl w:val="1"/>
        <w:numId w:val="7"/>
      </w:numPr>
      <w:tabs>
        <w:tab w:val="left" w:pos="1369"/>
      </w:tabs>
      <w:adjustRightInd/>
      <w:snapToGrid/>
      <w:spacing w:before="120" w:after="120" w:line="240" w:lineRule="auto"/>
      <w:ind w:firstLineChars="0"/>
      <w:outlineLvl w:val="1"/>
    </w:pPr>
    <w:rPr>
      <w:rFonts w:eastAsia="黑体" w:cs="Times New Roman"/>
      <w:b/>
      <w:sz w:val="30"/>
      <w:szCs w:val="30"/>
    </w:rPr>
  </w:style>
  <w:style w:type="character" w:customStyle="1" w:styleId="138">
    <w:name w:val="1级标题 Char"/>
    <w:link w:val="136"/>
    <w:qFormat/>
    <w:uiPriority w:val="0"/>
    <w:rPr>
      <w:rFonts w:ascii="黑体" w:hAnsi="黑体" w:eastAsia="黑体"/>
      <w:b/>
      <w:kern w:val="2"/>
      <w:sz w:val="32"/>
      <w:szCs w:val="32"/>
    </w:rPr>
  </w:style>
  <w:style w:type="paragraph" w:customStyle="1" w:styleId="139">
    <w:name w:val="3级标题"/>
    <w:basedOn w:val="1"/>
    <w:next w:val="1"/>
    <w:link w:val="142"/>
    <w:qFormat/>
    <w:uiPriority w:val="0"/>
    <w:pPr>
      <w:numPr>
        <w:ilvl w:val="2"/>
        <w:numId w:val="7"/>
      </w:numPr>
      <w:tabs>
        <w:tab w:val="left" w:pos="1369"/>
      </w:tabs>
      <w:adjustRightInd/>
      <w:snapToGrid/>
      <w:spacing w:before="120" w:after="120"/>
      <w:ind w:firstLineChars="0"/>
      <w:jc w:val="left"/>
      <w:outlineLvl w:val="2"/>
    </w:pPr>
    <w:rPr>
      <w:rFonts w:cs="Times New Roman"/>
      <w:b/>
      <w:sz w:val="28"/>
      <w:szCs w:val="28"/>
    </w:rPr>
  </w:style>
  <w:style w:type="character" w:customStyle="1" w:styleId="140">
    <w:name w:val="2级标题 Char"/>
    <w:link w:val="137"/>
    <w:qFormat/>
    <w:uiPriority w:val="0"/>
    <w:rPr>
      <w:rFonts w:ascii="Times New Roman" w:hAnsi="Times New Roman" w:eastAsia="黑体"/>
      <w:b/>
      <w:kern w:val="2"/>
      <w:sz w:val="30"/>
      <w:szCs w:val="30"/>
    </w:rPr>
  </w:style>
  <w:style w:type="paragraph" w:customStyle="1" w:styleId="141">
    <w:name w:val="4级标题"/>
    <w:basedOn w:val="1"/>
    <w:next w:val="1"/>
    <w:link w:val="238"/>
    <w:qFormat/>
    <w:uiPriority w:val="0"/>
    <w:pPr>
      <w:numPr>
        <w:ilvl w:val="3"/>
        <w:numId w:val="7"/>
      </w:numPr>
      <w:tabs>
        <w:tab w:val="left" w:pos="1369"/>
      </w:tabs>
      <w:adjustRightInd/>
      <w:snapToGrid/>
      <w:spacing w:before="120" w:after="120"/>
      <w:ind w:firstLineChars="0"/>
      <w:outlineLvl w:val="3"/>
    </w:pPr>
    <w:rPr>
      <w:rFonts w:cs="Times New Roman"/>
      <w:b/>
      <w:szCs w:val="24"/>
    </w:rPr>
  </w:style>
  <w:style w:type="character" w:customStyle="1" w:styleId="142">
    <w:name w:val="3级标题 Char"/>
    <w:link w:val="139"/>
    <w:qFormat/>
    <w:uiPriority w:val="0"/>
    <w:rPr>
      <w:rFonts w:ascii="Times New Roman" w:hAnsi="Times New Roman"/>
      <w:b/>
      <w:kern w:val="2"/>
      <w:sz w:val="28"/>
      <w:szCs w:val="28"/>
    </w:rPr>
  </w:style>
  <w:style w:type="paragraph" w:customStyle="1" w:styleId="143">
    <w:name w:val="6标题-表头"/>
    <w:basedOn w:val="1"/>
    <w:next w:val="1"/>
    <w:link w:val="224"/>
    <w:qFormat/>
    <w:uiPriority w:val="0"/>
    <w:pPr>
      <w:numPr>
        <w:ilvl w:val="4"/>
        <w:numId w:val="7"/>
      </w:numPr>
      <w:tabs>
        <w:tab w:val="left" w:pos="1369"/>
      </w:tabs>
      <w:adjustRightInd/>
      <w:snapToGrid/>
      <w:ind w:firstLineChars="0"/>
      <w:jc w:val="center"/>
    </w:pPr>
    <w:rPr>
      <w:rFonts w:cs="Times New Roman"/>
      <w:b/>
      <w:szCs w:val="24"/>
    </w:rPr>
  </w:style>
  <w:style w:type="paragraph" w:customStyle="1" w:styleId="144">
    <w:name w:val="7标题-图名"/>
    <w:basedOn w:val="1"/>
    <w:next w:val="1"/>
    <w:link w:val="175"/>
    <w:qFormat/>
    <w:uiPriority w:val="0"/>
    <w:pPr>
      <w:numPr>
        <w:ilvl w:val="5"/>
        <w:numId w:val="7"/>
      </w:numPr>
      <w:adjustRightInd/>
      <w:snapToGrid/>
      <w:ind w:firstLineChars="0"/>
      <w:jc w:val="center"/>
    </w:pPr>
    <w:rPr>
      <w:rFonts w:cs="Times New Roman"/>
      <w:b/>
      <w:color w:val="000000"/>
    </w:rPr>
  </w:style>
  <w:style w:type="paragraph" w:customStyle="1" w:styleId="145">
    <w:name w:val="2"/>
    <w:basedOn w:val="1"/>
    <w:next w:val="67"/>
    <w:qFormat/>
    <w:uiPriority w:val="34"/>
    <w:pPr>
      <w:adjustRightInd/>
      <w:snapToGrid/>
      <w:spacing w:line="240" w:lineRule="auto"/>
      <w:ind w:firstLine="420"/>
    </w:pPr>
    <w:rPr>
      <w:rFonts w:cs="Times New Roman"/>
      <w:sz w:val="21"/>
      <w:szCs w:val="24"/>
    </w:rPr>
  </w:style>
  <w:style w:type="paragraph" w:customStyle="1" w:styleId="146">
    <w:name w:val="1"/>
    <w:basedOn w:val="1"/>
    <w:next w:val="67"/>
    <w:qFormat/>
    <w:uiPriority w:val="34"/>
    <w:pPr>
      <w:adjustRightInd/>
      <w:snapToGrid/>
      <w:spacing w:line="240" w:lineRule="auto"/>
      <w:ind w:firstLine="420"/>
    </w:pPr>
    <w:rPr>
      <w:rFonts w:cs="Times New Roman"/>
      <w:sz w:val="21"/>
      <w:szCs w:val="24"/>
    </w:rPr>
  </w:style>
  <w:style w:type="table" w:customStyle="1" w:styleId="147">
    <w:name w:val="常用"/>
    <w:basedOn w:val="53"/>
    <w:qFormat/>
    <w:uiPriority w:val="99"/>
    <w:pPr>
      <w:adjustRightInd w:val="0"/>
      <w:snapToGrid w:val="0"/>
      <w:jc w:val="center"/>
    </w:pPr>
    <w:rPr>
      <w:rFonts w:ascii="Times New Roman" w:hAnsi="Times New Roman"/>
      <w:snapToGrid w:val="0"/>
      <w:sz w:val="21"/>
      <w:szCs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148">
    <w:name w:val="font71"/>
    <w:qFormat/>
    <w:uiPriority w:val="0"/>
    <w:rPr>
      <w:rFonts w:hint="eastAsia" w:ascii="宋体" w:hAnsi="宋体" w:eastAsia="宋体" w:cs="宋体"/>
      <w:color w:val="000000"/>
      <w:sz w:val="21"/>
      <w:szCs w:val="21"/>
      <w:u w:val="none"/>
    </w:rPr>
  </w:style>
  <w:style w:type="table" w:customStyle="1" w:styleId="149">
    <w:name w:val="常用1"/>
    <w:basedOn w:val="53"/>
    <w:qFormat/>
    <w:uiPriority w:val="99"/>
    <w:pPr>
      <w:adjustRightInd w:val="0"/>
      <w:snapToGrid w:val="0"/>
      <w:jc w:val="center"/>
    </w:pPr>
    <w:rPr>
      <w:rFonts w:ascii="Times New Roman" w:hAnsi="Times New Roman"/>
      <w:snapToGrid w:val="0"/>
      <w:sz w:val="21"/>
      <w:szCs w:val="21"/>
    </w:r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style>
  <w:style w:type="character" w:customStyle="1" w:styleId="150">
    <w:name w:val="图件 Char"/>
    <w:link w:val="100"/>
    <w:qFormat/>
    <w:uiPriority w:val="0"/>
    <w:rPr>
      <w:rFonts w:ascii="Times New Roman" w:hAnsi="Times New Roman" w:cs="宋体"/>
      <w:b/>
      <w:bCs/>
      <w:color w:val="000000"/>
      <w:kern w:val="2"/>
      <w:sz w:val="24"/>
    </w:rPr>
  </w:style>
  <w:style w:type="paragraph" w:customStyle="1" w:styleId="151">
    <w:name w:val="font0"/>
    <w:basedOn w:val="1"/>
    <w:qFormat/>
    <w:uiPriority w:val="0"/>
    <w:pPr>
      <w:widowControl/>
      <w:adjustRightInd/>
      <w:snapToGrid/>
      <w:spacing w:before="100" w:beforeLines="25" w:beforeAutospacing="1" w:after="100" w:afterLines="25" w:afterAutospacing="1" w:line="240" w:lineRule="auto"/>
      <w:ind w:firstLine="0" w:firstLineChars="0"/>
      <w:jc w:val="left"/>
    </w:pPr>
    <w:rPr>
      <w:rFonts w:hint="eastAsia" w:ascii="宋体" w:hAnsi="宋体" w:cs="Arial Unicode MS"/>
      <w:kern w:val="0"/>
      <w:szCs w:val="24"/>
    </w:rPr>
  </w:style>
  <w:style w:type="table" w:customStyle="1" w:styleId="152">
    <w:name w:val="表格框31"/>
    <w:basedOn w:val="53"/>
    <w:qFormat/>
    <w:locked/>
    <w:uiPriority w:val="0"/>
    <w:pPr>
      <w:adjustRightInd w:val="0"/>
      <w:snapToGrid w:val="0"/>
      <w:jc w:val="center"/>
    </w:pPr>
    <w:tblPr>
      <w:jc w:val="center"/>
      <w:tblBorders>
        <w:top w:val="single" w:color="000000" w:sz="12" w:space="0"/>
        <w:bottom w:val="single" w:color="000000" w:sz="12" w:space="0"/>
        <w:insideH w:val="single" w:color="000000" w:sz="4" w:space="0"/>
        <w:insideV w:val="single" w:color="000000" w:sz="4" w:space="0"/>
      </w:tblBorders>
      <w:tblCellMar>
        <w:left w:w="0" w:type="dxa"/>
        <w:right w:w="0" w:type="dxa"/>
      </w:tblCellMar>
    </w:tblPr>
    <w:trPr>
      <w:cantSplit/>
      <w:tblHeader/>
      <w:jc w:val="center"/>
    </w:trPr>
    <w:tcPr>
      <w:vAlign w:val="center"/>
    </w:tcPr>
  </w:style>
  <w:style w:type="character" w:customStyle="1" w:styleId="153">
    <w:name w:val="正文文本缩进 字符1"/>
    <w:link w:val="21"/>
    <w:qFormat/>
    <w:uiPriority w:val="99"/>
    <w:rPr>
      <w:rFonts w:ascii="Times New Roman" w:hAnsi="Times New Roman" w:cs="宋体"/>
      <w:kern w:val="2"/>
      <w:sz w:val="24"/>
      <w:szCs w:val="22"/>
    </w:rPr>
  </w:style>
  <w:style w:type="character" w:customStyle="1" w:styleId="154">
    <w:name w:val="正文文本缩进 字符"/>
    <w:qFormat/>
    <w:uiPriority w:val="99"/>
    <w:rPr>
      <w:rFonts w:ascii="Times New Roman" w:hAnsi="Times New Roman"/>
      <w:kern w:val="2"/>
      <w:sz w:val="24"/>
      <w:szCs w:val="22"/>
    </w:rPr>
  </w:style>
  <w:style w:type="character" w:customStyle="1" w:styleId="155">
    <w:name w:val="批注文字 字符"/>
    <w:qFormat/>
    <w:uiPriority w:val="99"/>
    <w:rPr>
      <w:rFonts w:ascii="Times New Roman" w:hAnsi="Times New Roman"/>
      <w:kern w:val="2"/>
      <w:sz w:val="24"/>
      <w:szCs w:val="22"/>
    </w:rPr>
  </w:style>
  <w:style w:type="character" w:customStyle="1" w:styleId="156">
    <w:name w:val="批注主题 字符"/>
    <w:qFormat/>
    <w:uiPriority w:val="99"/>
    <w:rPr>
      <w:rFonts w:ascii="Times New Roman" w:hAnsi="Times New Roman"/>
      <w:b/>
      <w:bCs/>
      <w:kern w:val="2"/>
      <w:sz w:val="24"/>
      <w:szCs w:val="22"/>
    </w:rPr>
  </w:style>
  <w:style w:type="table" w:customStyle="1" w:styleId="157">
    <w:name w:val="表格样式1"/>
    <w:basedOn w:val="53"/>
    <w:qFormat/>
    <w:uiPriority w:val="0"/>
    <w:pPr>
      <w:widowControl w:val="0"/>
      <w:jc w:val="center"/>
    </w:pPr>
    <w:rPr>
      <w:rFonts w:ascii="Times New Roman" w:hAnsi="Times New Roman"/>
      <w:sz w:val="21"/>
      <w:szCs w:val="21"/>
    </w:rPr>
    <w:tblPr>
      <w:tblBorders>
        <w:top w:val="single" w:color="auto" w:sz="12" w:space="0"/>
        <w:bottom w:val="single" w:color="auto" w:sz="12" w:space="0"/>
        <w:insideH w:val="single" w:color="auto" w:sz="6" w:space="0"/>
        <w:insideV w:val="single" w:color="auto" w:sz="6" w:space="0"/>
      </w:tblBorders>
    </w:tblPr>
    <w:tcPr>
      <w:tcMar>
        <w:left w:w="57" w:type="dxa"/>
        <w:right w:w="57" w:type="dxa"/>
      </w:tcMar>
      <w:vAlign w:val="center"/>
    </w:tcPr>
  </w:style>
  <w:style w:type="paragraph" w:customStyle="1" w:styleId="158">
    <w:name w:val="标题-表头"/>
    <w:basedOn w:val="1"/>
    <w:next w:val="1"/>
    <w:link w:val="270"/>
    <w:qFormat/>
    <w:uiPriority w:val="0"/>
    <w:pPr>
      <w:tabs>
        <w:tab w:val="left" w:pos="1369"/>
      </w:tabs>
      <w:adjustRightInd/>
      <w:snapToGrid/>
      <w:ind w:firstLine="0" w:firstLineChars="0"/>
      <w:jc w:val="center"/>
    </w:pPr>
    <w:rPr>
      <w:rFonts w:ascii="Calibri" w:hAnsi="Calibri" w:cs="Times New Roman"/>
      <w:b/>
      <w:szCs w:val="24"/>
    </w:rPr>
  </w:style>
  <w:style w:type="paragraph" w:customStyle="1" w:styleId="159">
    <w:name w:val="标题-图名"/>
    <w:basedOn w:val="1"/>
    <w:next w:val="1"/>
    <w:qFormat/>
    <w:uiPriority w:val="0"/>
    <w:pPr>
      <w:adjustRightInd/>
      <w:snapToGrid/>
      <w:ind w:firstLine="0" w:firstLineChars="0"/>
      <w:jc w:val="center"/>
    </w:pPr>
    <w:rPr>
      <w:rFonts w:cs="Times New Roman"/>
      <w:b/>
      <w:color w:val="000000"/>
    </w:rPr>
  </w:style>
  <w:style w:type="character" w:customStyle="1" w:styleId="160">
    <w:name w:val="标题 1 字符"/>
    <w:link w:val="2"/>
    <w:qFormat/>
    <w:uiPriority w:val="0"/>
    <w:rPr>
      <w:rFonts w:ascii="Times New Roman" w:hAnsi="Times New Roman" w:eastAsia="黑体"/>
      <w:kern w:val="2"/>
      <w:sz w:val="44"/>
      <w:szCs w:val="44"/>
    </w:rPr>
  </w:style>
  <w:style w:type="character" w:customStyle="1" w:styleId="161">
    <w:name w:val="标题 2 字符"/>
    <w:link w:val="3"/>
    <w:qFormat/>
    <w:uiPriority w:val="0"/>
    <w:rPr>
      <w:rFonts w:ascii="Times New Roman" w:hAnsi="Times New Roman" w:eastAsia="黑体"/>
      <w:kern w:val="2"/>
      <w:sz w:val="32"/>
      <w:szCs w:val="32"/>
    </w:rPr>
  </w:style>
  <w:style w:type="character" w:customStyle="1" w:styleId="162">
    <w:name w:val="标题 3 字符"/>
    <w:link w:val="4"/>
    <w:qFormat/>
    <w:uiPriority w:val="0"/>
    <w:rPr>
      <w:rFonts w:ascii="Times New Roman" w:hAnsi="Times New Roman" w:eastAsia="黑体" w:cs="黑体"/>
      <w:kern w:val="2"/>
      <w:sz w:val="30"/>
      <w:szCs w:val="32"/>
    </w:rPr>
  </w:style>
  <w:style w:type="character" w:customStyle="1" w:styleId="163">
    <w:name w:val="标题 4 字符"/>
    <w:link w:val="5"/>
    <w:qFormat/>
    <w:uiPriority w:val="9"/>
    <w:rPr>
      <w:rFonts w:ascii="宋体" w:hAnsi="宋体" w:eastAsia="黑体" w:cs="宋体"/>
      <w:bCs/>
      <w:kern w:val="2"/>
      <w:sz w:val="28"/>
      <w:szCs w:val="28"/>
    </w:rPr>
  </w:style>
  <w:style w:type="character" w:customStyle="1" w:styleId="164">
    <w:name w:val="标题 5 字符"/>
    <w:link w:val="6"/>
    <w:qFormat/>
    <w:uiPriority w:val="9"/>
    <w:rPr>
      <w:rFonts w:ascii="宋体" w:hAnsi="宋体" w:cs="宋体"/>
      <w:b/>
      <w:bCs/>
      <w:kern w:val="2"/>
      <w:sz w:val="24"/>
      <w:szCs w:val="24"/>
    </w:rPr>
  </w:style>
  <w:style w:type="character" w:customStyle="1" w:styleId="165">
    <w:name w:val="标题 6 字符"/>
    <w:link w:val="7"/>
    <w:qFormat/>
    <w:uiPriority w:val="0"/>
    <w:rPr>
      <w:rFonts w:ascii="Arial" w:hAnsi="Arial" w:eastAsia="黑体" w:cs="宋体"/>
      <w:b/>
      <w:kern w:val="2"/>
      <w:sz w:val="24"/>
      <w:szCs w:val="22"/>
    </w:rPr>
  </w:style>
  <w:style w:type="character" w:customStyle="1" w:styleId="166">
    <w:name w:val="标题 7 字符"/>
    <w:link w:val="8"/>
    <w:qFormat/>
    <w:uiPriority w:val="9"/>
    <w:rPr>
      <w:rFonts w:ascii="Times New Roman" w:hAnsi="Times New Roman" w:cs="宋体"/>
      <w:b/>
      <w:kern w:val="2"/>
      <w:sz w:val="24"/>
      <w:szCs w:val="22"/>
    </w:rPr>
  </w:style>
  <w:style w:type="character" w:customStyle="1" w:styleId="167">
    <w:name w:val="表格标题 字符"/>
    <w:qFormat/>
    <w:uiPriority w:val="0"/>
    <w:rPr>
      <w:rFonts w:ascii="Times New Roman" w:hAnsi="Times New Roman"/>
      <w:b/>
      <w:kern w:val="2"/>
      <w:sz w:val="24"/>
      <w:szCs w:val="28"/>
    </w:rPr>
  </w:style>
  <w:style w:type="paragraph" w:customStyle="1" w:styleId="168">
    <w:name w:val="段落"/>
    <w:basedOn w:val="1"/>
    <w:link w:val="169"/>
    <w:qFormat/>
    <w:uiPriority w:val="0"/>
    <w:pPr>
      <w:adjustRightInd/>
    </w:pPr>
    <w:rPr>
      <w:rFonts w:cs="Times New Roman"/>
      <w:color w:val="000000"/>
      <w:szCs w:val="24"/>
    </w:rPr>
  </w:style>
  <w:style w:type="character" w:customStyle="1" w:styleId="169">
    <w:name w:val="段落 Char"/>
    <w:link w:val="168"/>
    <w:qFormat/>
    <w:uiPriority w:val="0"/>
    <w:rPr>
      <w:rFonts w:ascii="Times New Roman" w:hAnsi="Times New Roman"/>
      <w:color w:val="000000"/>
      <w:kern w:val="2"/>
      <w:sz w:val="24"/>
      <w:szCs w:val="24"/>
    </w:rPr>
  </w:style>
  <w:style w:type="paragraph" w:customStyle="1" w:styleId="170">
    <w:name w:val="7表格标题"/>
    <w:basedOn w:val="1"/>
    <w:next w:val="1"/>
    <w:link w:val="171"/>
    <w:semiHidden/>
    <w:qFormat/>
    <w:uiPriority w:val="0"/>
    <w:pPr>
      <w:numPr>
        <w:ilvl w:val="4"/>
        <w:numId w:val="8"/>
      </w:numPr>
      <w:adjustRightInd/>
      <w:ind w:firstLineChars="0"/>
      <w:jc w:val="center"/>
    </w:pPr>
    <w:rPr>
      <w:rFonts w:cs="Times New Roman"/>
      <w:b/>
      <w:szCs w:val="28"/>
    </w:rPr>
  </w:style>
  <w:style w:type="character" w:customStyle="1" w:styleId="171">
    <w:name w:val="7表格标题 Char"/>
    <w:link w:val="170"/>
    <w:semiHidden/>
    <w:qFormat/>
    <w:uiPriority w:val="0"/>
    <w:rPr>
      <w:rFonts w:ascii="Times New Roman" w:hAnsi="Times New Roman"/>
      <w:b/>
      <w:kern w:val="2"/>
      <w:sz w:val="24"/>
      <w:szCs w:val="28"/>
    </w:rPr>
  </w:style>
  <w:style w:type="paragraph" w:customStyle="1" w:styleId="172">
    <w:name w:val="8图件标题"/>
    <w:basedOn w:val="170"/>
    <w:next w:val="1"/>
    <w:semiHidden/>
    <w:qFormat/>
    <w:uiPriority w:val="0"/>
    <w:pPr>
      <w:numPr>
        <w:ilvl w:val="5"/>
      </w:numPr>
      <w:ind w:left="2520" w:hanging="420"/>
    </w:pPr>
  </w:style>
  <w:style w:type="paragraph" w:customStyle="1" w:styleId="173">
    <w:name w:val="TOC 标题1"/>
    <w:basedOn w:val="2"/>
    <w:next w:val="1"/>
    <w:qFormat/>
    <w:uiPriority w:val="39"/>
    <w:pPr>
      <w:keepNext/>
      <w:keepLines/>
      <w:numPr>
        <w:numId w:val="0"/>
      </w:numPr>
      <w:spacing w:before="340" w:after="330" w:line="578" w:lineRule="auto"/>
      <w:ind w:right="0" w:firstLine="200" w:firstLineChars="200"/>
      <w:jc w:val="both"/>
      <w:outlineLvl w:val="9"/>
    </w:pPr>
    <w:rPr>
      <w:rFonts w:eastAsia="宋体"/>
      <w:b/>
      <w:bCs/>
      <w:kern w:val="44"/>
    </w:rPr>
  </w:style>
  <w:style w:type="paragraph" w:customStyle="1" w:styleId="174">
    <w:name w:val="段落编号"/>
    <w:basedOn w:val="1"/>
    <w:qFormat/>
    <w:uiPriority w:val="0"/>
    <w:pPr>
      <w:ind w:firstLine="0" w:firstLineChars="0"/>
    </w:pPr>
    <w:rPr>
      <w:rFonts w:cs="Times New Roman"/>
      <w:kern w:val="0"/>
      <w:szCs w:val="21"/>
    </w:rPr>
  </w:style>
  <w:style w:type="character" w:customStyle="1" w:styleId="175">
    <w:name w:val="7标题-图名 Char"/>
    <w:link w:val="144"/>
    <w:qFormat/>
    <w:uiPriority w:val="0"/>
    <w:rPr>
      <w:rFonts w:ascii="Times New Roman" w:hAnsi="Times New Roman"/>
      <w:b/>
      <w:color w:val="000000"/>
      <w:kern w:val="2"/>
      <w:sz w:val="24"/>
      <w:szCs w:val="22"/>
    </w:rPr>
  </w:style>
  <w:style w:type="paragraph" w:customStyle="1" w:styleId="176">
    <w:name w:val="图表标题"/>
    <w:basedOn w:val="1"/>
    <w:next w:val="1"/>
    <w:qFormat/>
    <w:uiPriority w:val="0"/>
    <w:pPr>
      <w:ind w:firstLine="300" w:firstLineChars="0"/>
      <w:jc w:val="center"/>
      <w:outlineLvl w:val="4"/>
    </w:pPr>
    <w:rPr>
      <w:rFonts w:cs="Times New Roman"/>
      <w:b/>
      <w:kern w:val="0"/>
      <w:szCs w:val="21"/>
    </w:rPr>
  </w:style>
  <w:style w:type="paragraph" w:customStyle="1" w:styleId="177">
    <w:name w:val="表格格式"/>
    <w:basedOn w:val="1"/>
    <w:next w:val="1"/>
    <w:link w:val="218"/>
    <w:qFormat/>
    <w:uiPriority w:val="0"/>
    <w:pPr>
      <w:spacing w:line="240" w:lineRule="auto"/>
      <w:ind w:firstLine="0" w:firstLineChars="0"/>
      <w:jc w:val="left"/>
    </w:pPr>
    <w:rPr>
      <w:rFonts w:eastAsia="等线" w:cs="Times New Roman"/>
      <w:snapToGrid w:val="0"/>
      <w:kern w:val="0"/>
      <w:sz w:val="21"/>
      <w:szCs w:val="21"/>
    </w:rPr>
  </w:style>
  <w:style w:type="paragraph" w:customStyle="1" w:styleId="178">
    <w:name w:val="标注格式"/>
    <w:basedOn w:val="1"/>
    <w:next w:val="1"/>
    <w:qFormat/>
    <w:uiPriority w:val="0"/>
    <w:pPr>
      <w:spacing w:line="240" w:lineRule="auto"/>
      <w:ind w:firstLine="480" w:firstLineChars="0"/>
    </w:pPr>
    <w:rPr>
      <w:rFonts w:cs="Times New Roman"/>
      <w:b/>
      <w:kern w:val="0"/>
      <w:sz w:val="18"/>
      <w:szCs w:val="18"/>
    </w:rPr>
  </w:style>
  <w:style w:type="paragraph" w:customStyle="1" w:styleId="179">
    <w:name w:val="页眉页脚"/>
    <w:basedOn w:val="1"/>
    <w:next w:val="1"/>
    <w:qFormat/>
    <w:uiPriority w:val="0"/>
    <w:pPr>
      <w:pBdr>
        <w:bottom w:val="single" w:color="auto" w:sz="6" w:space="1"/>
      </w:pBdr>
      <w:spacing w:line="240" w:lineRule="auto"/>
      <w:ind w:firstLine="0" w:firstLineChars="0"/>
      <w:jc w:val="left"/>
    </w:pPr>
    <w:rPr>
      <w:rFonts w:cs="Times New Roman"/>
      <w:kern w:val="0"/>
      <w:sz w:val="18"/>
      <w:szCs w:val="21"/>
    </w:rPr>
  </w:style>
  <w:style w:type="paragraph" w:customStyle="1" w:styleId="180">
    <w:name w:val="引用格式"/>
    <w:basedOn w:val="1"/>
    <w:next w:val="1"/>
    <w:qFormat/>
    <w:uiPriority w:val="0"/>
    <w:pPr>
      <w:ind w:firstLine="420"/>
    </w:pPr>
    <w:rPr>
      <w:rFonts w:eastAsia="楷体" w:cs="Times New Roman"/>
      <w:kern w:val="0"/>
      <w:szCs w:val="21"/>
    </w:rPr>
  </w:style>
  <w:style w:type="character" w:customStyle="1" w:styleId="181">
    <w:name w:val="页脚 Char"/>
    <w:qFormat/>
    <w:uiPriority w:val="0"/>
    <w:rPr>
      <w:rFonts w:ascii="Times New Roman" w:hAnsi="Times New Roman" w:eastAsia="宋体" w:cs="Times New Roman"/>
      <w:sz w:val="18"/>
      <w:szCs w:val="18"/>
    </w:rPr>
  </w:style>
  <w:style w:type="paragraph" w:customStyle="1" w:styleId="182">
    <w:name w:val="正文文本 31"/>
    <w:basedOn w:val="1"/>
    <w:qFormat/>
    <w:uiPriority w:val="0"/>
    <w:pPr>
      <w:snapToGrid/>
      <w:spacing w:line="360" w:lineRule="atLeast"/>
      <w:ind w:firstLine="0" w:firstLineChars="0"/>
      <w:jc w:val="center"/>
      <w:textAlignment w:val="baseline"/>
    </w:pPr>
    <w:rPr>
      <w:rFonts w:ascii="仿宋体" w:hAnsi="宋体" w:eastAsia="仿宋体" w:cs="Times New Roman"/>
      <w:kern w:val="0"/>
      <w:szCs w:val="20"/>
    </w:rPr>
  </w:style>
  <w:style w:type="paragraph" w:customStyle="1" w:styleId="183">
    <w:name w:val="普通(网站)1"/>
    <w:basedOn w:val="1"/>
    <w:qFormat/>
    <w:uiPriority w:val="0"/>
    <w:pPr>
      <w:widowControl/>
      <w:adjustRightInd/>
      <w:snapToGrid/>
      <w:spacing w:before="100" w:beforeAutospacing="1" w:after="100" w:afterAutospacing="1" w:line="240" w:lineRule="auto"/>
      <w:ind w:firstLine="0" w:firstLineChars="0"/>
      <w:jc w:val="left"/>
    </w:pPr>
    <w:rPr>
      <w:rFonts w:hint="eastAsia" w:ascii="宋体" w:hAnsi="宋体" w:cs="Times New Roman"/>
      <w:szCs w:val="20"/>
    </w:rPr>
  </w:style>
  <w:style w:type="table" w:customStyle="1" w:styleId="184">
    <w:name w:val="论文表格"/>
    <w:basedOn w:val="53"/>
    <w:qFormat/>
    <w:uiPriority w:val="99"/>
    <w:rPr>
      <w:rFonts w:ascii="等线" w:hAnsi="等线" w:eastAsia="等线"/>
      <w:kern w:val="2"/>
      <w:sz w:val="21"/>
      <w:szCs w:val="21"/>
    </w:rPr>
    <w:tblPr>
      <w:tblBorders>
        <w:top w:val="single" w:color="auto" w:sz="12" w:space="0"/>
        <w:bottom w:val="single" w:color="auto" w:sz="12" w:space="0"/>
      </w:tblBorders>
    </w:tblPr>
    <w:tcPr>
      <w:vAlign w:val="center"/>
    </w:tcPr>
    <w:tblStylePr w:type="firstRow">
      <w:pPr>
        <w:wordWrap/>
        <w:adjustRightInd w:val="0"/>
        <w:snapToGrid w:val="0"/>
        <w:spacing w:before="0" w:beforeLines="0" w:beforeAutospacing="0" w:after="0" w:afterLines="0" w:afterAutospacing="0" w:line="240" w:lineRule="auto"/>
        <w:ind w:left="0" w:leftChars="0" w:right="0" w:rightChars="0" w:firstLine="0" w:firstLineChars="0"/>
        <w:contextualSpacing w:val="0"/>
        <w:jc w:val="center"/>
        <w:outlineLvl w:val="9"/>
      </w:pPr>
      <w:rPr>
        <w:rFonts w:ascii="Times New Roman" w:hAnsi="Times New Roman" w:eastAsia="宋体"/>
        <w:b w:val="0"/>
        <w:i w:val="0"/>
        <w:caps w:val="0"/>
        <w:smallCaps w:val="0"/>
        <w:strike w:val="0"/>
        <w:dstrike w:val="0"/>
        <w:vanish w:val="0"/>
        <w:color w:val="auto"/>
        <w:sz w:val="21"/>
        <w:vertAlign w:val="baseline"/>
      </w:rPr>
      <w:tblPr>
        <w:jc w:val="center"/>
      </w:tblPr>
      <w:trPr>
        <w:tblHeader/>
        <w:jc w:val="center"/>
      </w:trPr>
      <w:tcPr>
        <w:tcBorders>
          <w:top w:val="single" w:color="auto" w:sz="12" w:space="0"/>
          <w:left w:val="nil"/>
          <w:bottom w:val="single" w:color="auto" w:sz="4" w:space="0"/>
          <w:right w:val="nil"/>
          <w:insideH w:val="nil"/>
          <w:insideV w:val="nil"/>
          <w:tl2br w:val="nil"/>
          <w:tr2bl w:val="nil"/>
        </w:tcBorders>
        <w:vAlign w:val="center"/>
      </w:tcPr>
    </w:tblStylePr>
  </w:style>
  <w:style w:type="character" w:customStyle="1" w:styleId="185">
    <w:name w:val="表格内容 Char"/>
    <w:qFormat/>
    <w:uiPriority w:val="0"/>
    <w:rPr>
      <w:kern w:val="2"/>
      <w:sz w:val="21"/>
      <w:szCs w:val="21"/>
      <w:lang w:val="en-US" w:eastAsia="zh-CN" w:bidi="ar-SA"/>
    </w:rPr>
  </w:style>
  <w:style w:type="paragraph" w:customStyle="1" w:styleId="186">
    <w:name w:val="SSEC表字居中 20150323"/>
    <w:link w:val="187"/>
    <w:qFormat/>
    <w:uiPriority w:val="0"/>
    <w:pPr>
      <w:adjustRightInd w:val="0"/>
      <w:snapToGrid w:val="0"/>
      <w:jc w:val="center"/>
      <w:textAlignment w:val="center"/>
    </w:pPr>
    <w:rPr>
      <w:rFonts w:ascii="宋体" w:hAnsi="Times New Roman" w:eastAsia="宋体" w:cs="Times New Roman"/>
      <w:kern w:val="2"/>
      <w:sz w:val="21"/>
      <w:szCs w:val="21"/>
      <w:lang w:val="en-US" w:eastAsia="zh-CN" w:bidi="ar-SA"/>
    </w:rPr>
  </w:style>
  <w:style w:type="character" w:customStyle="1" w:styleId="187">
    <w:name w:val="SSEC表字居中 20150323 Char"/>
    <w:link w:val="186"/>
    <w:qFormat/>
    <w:uiPriority w:val="0"/>
    <w:rPr>
      <w:rFonts w:ascii="宋体" w:hAnsi="Times New Roman"/>
      <w:kern w:val="2"/>
      <w:sz w:val="21"/>
      <w:szCs w:val="21"/>
    </w:rPr>
  </w:style>
  <w:style w:type="paragraph" w:customStyle="1" w:styleId="188">
    <w:name w:val="报告正文"/>
    <w:basedOn w:val="1"/>
    <w:link w:val="723"/>
    <w:qFormat/>
    <w:uiPriority w:val="0"/>
    <w:pPr>
      <w:adjustRightInd/>
      <w:snapToGrid/>
      <w:spacing w:line="400" w:lineRule="exact"/>
      <w:ind w:firstLine="482" w:firstLineChars="0"/>
    </w:pPr>
    <w:rPr>
      <w:rFonts w:cs="Times New Roman"/>
      <w:szCs w:val="20"/>
    </w:rPr>
  </w:style>
  <w:style w:type="character" w:customStyle="1" w:styleId="189">
    <w:name w:val="正文文本 字符"/>
    <w:link w:val="19"/>
    <w:qFormat/>
    <w:uiPriority w:val="0"/>
    <w:rPr>
      <w:rFonts w:ascii="宋体" w:hAnsi="宋体" w:cs="宋体"/>
      <w:kern w:val="2"/>
      <w:sz w:val="24"/>
      <w:szCs w:val="24"/>
    </w:rPr>
  </w:style>
  <w:style w:type="paragraph" w:customStyle="1" w:styleId="190">
    <w:name w:val="正文格式"/>
    <w:next w:val="1"/>
    <w:link w:val="191"/>
    <w:qFormat/>
    <w:uiPriority w:val="0"/>
    <w:pPr>
      <w:spacing w:before="120" w:beforeLines="50" w:line="440" w:lineRule="exact"/>
      <w:ind w:firstLine="560" w:firstLineChars="200"/>
    </w:pPr>
    <w:rPr>
      <w:rFonts w:ascii="Times New Roman" w:hAnsi="Times New Roman" w:eastAsia="方正仿宋_GB2312" w:cs="Times New Roman"/>
      <w:kern w:val="2"/>
      <w:sz w:val="28"/>
      <w:szCs w:val="28"/>
      <w:lang w:val="en-US" w:eastAsia="zh-CN" w:bidi="ar-SA"/>
    </w:rPr>
  </w:style>
  <w:style w:type="character" w:customStyle="1" w:styleId="191">
    <w:name w:val="正文格式 Char"/>
    <w:link w:val="190"/>
    <w:qFormat/>
    <w:uiPriority w:val="0"/>
    <w:rPr>
      <w:rFonts w:ascii="Times New Roman" w:hAnsi="Times New Roman" w:eastAsia="方正仿宋_GB2312"/>
      <w:kern w:val="2"/>
      <w:sz w:val="28"/>
      <w:szCs w:val="28"/>
    </w:rPr>
  </w:style>
  <w:style w:type="paragraph" w:customStyle="1" w:styleId="192">
    <w:name w:val="表格内字体"/>
    <w:basedOn w:val="190"/>
    <w:next w:val="190"/>
    <w:qFormat/>
    <w:uiPriority w:val="0"/>
    <w:pPr>
      <w:spacing w:before="0" w:beforeLines="0" w:line="240" w:lineRule="auto"/>
      <w:ind w:firstLine="0" w:firstLineChars="0"/>
      <w:jc w:val="center"/>
    </w:pPr>
    <w:rPr>
      <w:rFonts w:eastAsia="宋体"/>
      <w:kern w:val="0"/>
      <w:sz w:val="21"/>
      <w:szCs w:val="24"/>
      <w:lang w:val="zh-CN"/>
    </w:rPr>
  </w:style>
  <w:style w:type="paragraph" w:customStyle="1" w:styleId="193">
    <w:name w:val="T标题1级"/>
    <w:basedOn w:val="2"/>
    <w:next w:val="1"/>
    <w:qFormat/>
    <w:uiPriority w:val="0"/>
    <w:pPr>
      <w:keepNext/>
      <w:widowControl/>
      <w:numPr>
        <w:numId w:val="9"/>
      </w:numPr>
      <w:tabs>
        <w:tab w:val="center" w:pos="500"/>
      </w:tabs>
      <w:overflowPunct w:val="0"/>
      <w:snapToGrid/>
      <w:spacing w:before="156" w:beforeLines="50" w:after="156" w:afterLines="50"/>
      <w:ind w:right="0" w:firstLine="0" w:firstLineChars="0"/>
      <w:jc w:val="both"/>
      <w:textAlignment w:val="center"/>
    </w:pPr>
    <w:rPr>
      <w:rFonts w:eastAsia="方正仿宋_GB2312"/>
      <w:b/>
      <w:kern w:val="44"/>
      <w:sz w:val="28"/>
      <w:szCs w:val="28"/>
    </w:rPr>
  </w:style>
  <w:style w:type="paragraph" w:customStyle="1" w:styleId="194">
    <w:name w:val="T标题2级"/>
    <w:basedOn w:val="3"/>
    <w:next w:val="4"/>
    <w:qFormat/>
    <w:uiPriority w:val="0"/>
    <w:pPr>
      <w:keepNext/>
      <w:keepLines/>
      <w:widowControl/>
      <w:numPr>
        <w:numId w:val="9"/>
      </w:numPr>
      <w:tabs>
        <w:tab w:val="center" w:pos="500"/>
        <w:tab w:val="clear" w:pos="420"/>
      </w:tabs>
      <w:overflowPunct w:val="0"/>
      <w:adjustRightInd/>
      <w:snapToGrid/>
      <w:spacing w:before="120" w:after="120" w:afterLines="50"/>
      <w:ind w:firstLine="0" w:firstLineChars="0"/>
      <w:contextualSpacing/>
      <w:jc w:val="left"/>
      <w:textAlignment w:val="center"/>
    </w:pPr>
    <w:rPr>
      <w:rFonts w:eastAsia="方正仿宋_GB2312"/>
      <w:b/>
      <w:kern w:val="0"/>
      <w:sz w:val="24"/>
      <w:szCs w:val="24"/>
      <w:lang w:val="zh-CN"/>
    </w:rPr>
  </w:style>
  <w:style w:type="paragraph" w:customStyle="1" w:styleId="195">
    <w:name w:val="T标题5级"/>
    <w:basedOn w:val="6"/>
    <w:next w:val="1"/>
    <w:qFormat/>
    <w:uiPriority w:val="0"/>
    <w:pPr>
      <w:keepNext/>
      <w:keepLines/>
      <w:widowControl/>
      <w:numPr>
        <w:numId w:val="9"/>
      </w:numPr>
      <w:overflowPunct w:val="0"/>
      <w:autoSpaceDE w:val="0"/>
      <w:autoSpaceDN w:val="0"/>
      <w:snapToGrid/>
      <w:ind w:firstLine="0" w:firstLineChars="0"/>
      <w:jc w:val="left"/>
      <w:textAlignment w:val="baseline"/>
    </w:pPr>
    <w:rPr>
      <w:rFonts w:ascii="Times New Roman" w:hAnsi="Times New Roman" w:eastAsia="方正仿宋_GB2312" w:cs="Times New Roman"/>
      <w:b w:val="0"/>
      <w:bCs w:val="0"/>
      <w:kern w:val="0"/>
    </w:rPr>
  </w:style>
  <w:style w:type="paragraph" w:customStyle="1" w:styleId="196">
    <w:name w:val="p0"/>
    <w:basedOn w:val="1"/>
    <w:qFormat/>
    <w:uiPriority w:val="0"/>
    <w:pPr>
      <w:widowControl/>
      <w:adjustRightInd/>
      <w:snapToGrid/>
      <w:spacing w:line="240" w:lineRule="auto"/>
      <w:ind w:firstLine="0" w:firstLineChars="0"/>
    </w:pPr>
    <w:rPr>
      <w:rFonts w:cs="Times New Roman"/>
      <w:kern w:val="0"/>
      <w:sz w:val="21"/>
      <w:szCs w:val="20"/>
    </w:rPr>
  </w:style>
  <w:style w:type="paragraph" w:customStyle="1" w:styleId="197">
    <w:name w:val="样式1"/>
    <w:basedOn w:val="1"/>
    <w:link w:val="198"/>
    <w:qFormat/>
    <w:uiPriority w:val="0"/>
    <w:pPr>
      <w:adjustRightInd/>
      <w:snapToGrid/>
      <w:spacing w:line="240" w:lineRule="auto"/>
      <w:ind w:firstLine="0" w:firstLineChars="0"/>
    </w:pPr>
    <w:rPr>
      <w:rFonts w:cs="Times New Roman"/>
      <w:sz w:val="21"/>
      <w:szCs w:val="20"/>
    </w:rPr>
  </w:style>
  <w:style w:type="character" w:customStyle="1" w:styleId="198">
    <w:name w:val="样式1 Char"/>
    <w:link w:val="197"/>
    <w:qFormat/>
    <w:uiPriority w:val="0"/>
    <w:rPr>
      <w:rFonts w:ascii="Times New Roman" w:hAnsi="Times New Roman"/>
      <w:kern w:val="2"/>
      <w:sz w:val="21"/>
    </w:rPr>
  </w:style>
  <w:style w:type="character" w:customStyle="1" w:styleId="199">
    <w:name w:val="列表 字符"/>
    <w:link w:val="41"/>
    <w:qFormat/>
    <w:locked/>
    <w:uiPriority w:val="99"/>
    <w:rPr>
      <w:rFonts w:ascii="Times New Roman" w:hAnsi="Times New Roman" w:cs="宋体"/>
      <w:kern w:val="2"/>
      <w:sz w:val="21"/>
      <w:szCs w:val="22"/>
    </w:rPr>
  </w:style>
  <w:style w:type="paragraph" w:customStyle="1" w:styleId="200">
    <w:name w:val="能力-表格正文"/>
    <w:basedOn w:val="1"/>
    <w:qFormat/>
    <w:uiPriority w:val="0"/>
    <w:pPr>
      <w:adjustRightInd/>
      <w:snapToGrid/>
      <w:spacing w:line="240" w:lineRule="auto"/>
      <w:ind w:firstLine="0" w:firstLineChars="0"/>
      <w:jc w:val="center"/>
    </w:pPr>
    <w:rPr>
      <w:rFonts w:cs="Times New Roman"/>
      <w:sz w:val="21"/>
    </w:rPr>
  </w:style>
  <w:style w:type="table" w:customStyle="1" w:styleId="201">
    <w:name w:val="网格型浅色1"/>
    <w:basedOn w:val="53"/>
    <w:qFormat/>
    <w:uiPriority w:val="40"/>
    <w:rPr>
      <w:rFonts w:ascii="等线" w:hAnsi="等线" w:eastAsia="等线"/>
      <w:kern w:val="2"/>
      <w:sz w:val="21"/>
      <w:szCs w:val="21"/>
    </w:rPr>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paragraph" w:customStyle="1" w:styleId="202">
    <w:name w:val="4"/>
    <w:basedOn w:val="1"/>
    <w:next w:val="13"/>
    <w:qFormat/>
    <w:uiPriority w:val="99"/>
    <w:pPr>
      <w:adjustRightInd/>
      <w:snapToGrid/>
      <w:spacing w:line="240" w:lineRule="auto"/>
      <w:ind w:firstLine="420" w:firstLineChars="0"/>
    </w:pPr>
    <w:rPr>
      <w:rFonts w:cs="Times New Roman"/>
      <w:sz w:val="21"/>
      <w:szCs w:val="20"/>
    </w:rPr>
  </w:style>
  <w:style w:type="character" w:customStyle="1" w:styleId="203">
    <w:name w:val="能力-标题4 Char"/>
    <w:link w:val="204"/>
    <w:qFormat/>
    <w:uiPriority w:val="99"/>
    <w:rPr>
      <w:b/>
      <w:sz w:val="24"/>
      <w:szCs w:val="22"/>
    </w:rPr>
  </w:style>
  <w:style w:type="paragraph" w:customStyle="1" w:styleId="204">
    <w:name w:val="能力-标题4"/>
    <w:next w:val="1"/>
    <w:link w:val="203"/>
    <w:qFormat/>
    <w:uiPriority w:val="99"/>
    <w:pPr>
      <w:numPr>
        <w:ilvl w:val="3"/>
        <w:numId w:val="10"/>
      </w:numPr>
      <w:spacing w:line="360" w:lineRule="auto"/>
      <w:outlineLvl w:val="3"/>
    </w:pPr>
    <w:rPr>
      <w:rFonts w:ascii="Calibri" w:hAnsi="Calibri" w:eastAsia="宋体" w:cs="Times New Roman"/>
      <w:b/>
      <w:sz w:val="24"/>
      <w:szCs w:val="22"/>
      <w:lang w:val="en-US" w:eastAsia="zh-CN" w:bidi="ar-SA"/>
    </w:rPr>
  </w:style>
  <w:style w:type="paragraph" w:customStyle="1" w:styleId="205">
    <w:name w:val="能力-标题1"/>
    <w:next w:val="1"/>
    <w:qFormat/>
    <w:uiPriority w:val="99"/>
    <w:pPr>
      <w:numPr>
        <w:ilvl w:val="0"/>
        <w:numId w:val="10"/>
      </w:numPr>
      <w:spacing w:line="360" w:lineRule="auto"/>
      <w:jc w:val="center"/>
      <w:outlineLvl w:val="0"/>
    </w:pPr>
    <w:rPr>
      <w:rFonts w:ascii="Times New Roman" w:hAnsi="Times New Roman" w:eastAsia="宋体" w:cs="Times New Roman"/>
      <w:b/>
      <w:kern w:val="2"/>
      <w:sz w:val="28"/>
      <w:szCs w:val="22"/>
      <w:lang w:val="en-US" w:eastAsia="zh-CN" w:bidi="ar-SA"/>
    </w:rPr>
  </w:style>
  <w:style w:type="paragraph" w:customStyle="1" w:styleId="206">
    <w:name w:val="能力-标题2"/>
    <w:next w:val="1"/>
    <w:qFormat/>
    <w:uiPriority w:val="99"/>
    <w:pPr>
      <w:numPr>
        <w:ilvl w:val="1"/>
        <w:numId w:val="10"/>
      </w:numPr>
      <w:spacing w:line="360" w:lineRule="auto"/>
      <w:jc w:val="center"/>
      <w:outlineLvl w:val="1"/>
    </w:pPr>
    <w:rPr>
      <w:rFonts w:ascii="Times New Roman" w:hAnsi="Times New Roman" w:eastAsia="宋体" w:cs="Times New Roman"/>
      <w:b/>
      <w:kern w:val="2"/>
      <w:sz w:val="24"/>
      <w:szCs w:val="22"/>
      <w:lang w:val="en-US" w:eastAsia="zh-CN" w:bidi="ar-SA"/>
    </w:rPr>
  </w:style>
  <w:style w:type="paragraph" w:customStyle="1" w:styleId="207">
    <w:name w:val="能力-标题3"/>
    <w:next w:val="1"/>
    <w:link w:val="230"/>
    <w:qFormat/>
    <w:uiPriority w:val="0"/>
    <w:pPr>
      <w:numPr>
        <w:ilvl w:val="2"/>
        <w:numId w:val="10"/>
      </w:numPr>
      <w:spacing w:line="360" w:lineRule="auto"/>
      <w:outlineLvl w:val="2"/>
    </w:pPr>
    <w:rPr>
      <w:rFonts w:ascii="Times New Roman" w:hAnsi="Times New Roman" w:eastAsia="宋体" w:cs="Times New Roman"/>
      <w:b/>
      <w:kern w:val="2"/>
      <w:sz w:val="24"/>
      <w:szCs w:val="22"/>
      <w:lang w:val="en-US" w:eastAsia="zh-CN" w:bidi="ar-SA"/>
    </w:rPr>
  </w:style>
  <w:style w:type="character" w:customStyle="1" w:styleId="208">
    <w:name w:val="正文缩进 字符"/>
    <w:link w:val="13"/>
    <w:qFormat/>
    <w:uiPriority w:val="0"/>
    <w:rPr>
      <w:rFonts w:ascii="Times New Roman" w:hAnsi="Times New Roman"/>
      <w:sz w:val="24"/>
      <w:szCs w:val="21"/>
    </w:rPr>
  </w:style>
  <w:style w:type="paragraph" w:customStyle="1" w:styleId="209">
    <w:name w:val="B图表标题"/>
    <w:basedOn w:val="1"/>
    <w:link w:val="210"/>
    <w:qFormat/>
    <w:uiPriority w:val="0"/>
    <w:pPr>
      <w:spacing w:line="240" w:lineRule="auto"/>
      <w:ind w:firstLine="0" w:firstLineChars="0"/>
      <w:jc w:val="center"/>
    </w:pPr>
    <w:rPr>
      <w:rFonts w:ascii="宋体" w:hAnsi="宋体" w:cs="Times New Roman"/>
      <w:b/>
      <w:szCs w:val="24"/>
    </w:rPr>
  </w:style>
  <w:style w:type="character" w:customStyle="1" w:styleId="210">
    <w:name w:val="B图表标题 Char"/>
    <w:link w:val="209"/>
    <w:qFormat/>
    <w:uiPriority w:val="0"/>
    <w:rPr>
      <w:rFonts w:ascii="宋体" w:hAnsi="宋体"/>
      <w:b/>
      <w:kern w:val="2"/>
      <w:sz w:val="24"/>
      <w:szCs w:val="24"/>
    </w:rPr>
  </w:style>
  <w:style w:type="paragraph" w:customStyle="1" w:styleId="211">
    <w:name w:val="能力-正文"/>
    <w:basedOn w:val="1"/>
    <w:qFormat/>
    <w:uiPriority w:val="99"/>
    <w:pPr>
      <w:adjustRightInd/>
      <w:snapToGrid/>
    </w:pPr>
    <w:rPr>
      <w:rFonts w:cs="Times New Roman"/>
    </w:rPr>
  </w:style>
  <w:style w:type="character" w:customStyle="1" w:styleId="212">
    <w:name w:val="font61"/>
    <w:qFormat/>
    <w:uiPriority w:val="0"/>
    <w:rPr>
      <w:rFonts w:hint="eastAsia" w:ascii="宋体" w:hAnsi="宋体" w:eastAsia="宋体" w:cs="宋体"/>
      <w:color w:val="000000"/>
      <w:sz w:val="21"/>
      <w:szCs w:val="21"/>
      <w:u w:val="none"/>
      <w:vertAlign w:val="superscript"/>
    </w:rPr>
  </w:style>
  <w:style w:type="character" w:customStyle="1" w:styleId="213">
    <w:name w:val="font41"/>
    <w:qFormat/>
    <w:uiPriority w:val="0"/>
    <w:rPr>
      <w:rFonts w:hint="eastAsia" w:ascii="宋体" w:hAnsi="宋体" w:eastAsia="宋体" w:cs="宋体"/>
      <w:color w:val="000000"/>
      <w:sz w:val="21"/>
      <w:szCs w:val="21"/>
      <w:u w:val="none"/>
    </w:rPr>
  </w:style>
  <w:style w:type="character" w:customStyle="1" w:styleId="214">
    <w:name w:val="font21"/>
    <w:qFormat/>
    <w:uiPriority w:val="0"/>
    <w:rPr>
      <w:rFonts w:hint="eastAsia" w:ascii="宋体" w:hAnsi="宋体" w:eastAsia="宋体" w:cs="宋体"/>
      <w:color w:val="000000"/>
      <w:sz w:val="21"/>
      <w:szCs w:val="21"/>
      <w:u w:val="none"/>
    </w:rPr>
  </w:style>
  <w:style w:type="character" w:customStyle="1" w:styleId="215">
    <w:name w:val="font51"/>
    <w:qFormat/>
    <w:uiPriority w:val="0"/>
    <w:rPr>
      <w:rFonts w:hint="default" w:ascii="Times New Roman" w:hAnsi="Times New Roman" w:cs="Times New Roman"/>
      <w:color w:val="000000"/>
      <w:sz w:val="21"/>
      <w:szCs w:val="21"/>
      <w:u w:val="none"/>
      <w:vertAlign w:val="superscript"/>
    </w:rPr>
  </w:style>
  <w:style w:type="paragraph" w:customStyle="1" w:styleId="216">
    <w:name w:val="5级正文"/>
    <w:basedOn w:val="1"/>
    <w:qFormat/>
    <w:uiPriority w:val="0"/>
    <w:pPr>
      <w:adjustRightInd/>
      <w:snapToGrid/>
      <w:jc w:val="left"/>
    </w:pPr>
    <w:rPr>
      <w:rFonts w:ascii="宋体" w:hAnsi="宋体" w:cs="Times New Roman"/>
      <w:szCs w:val="24"/>
    </w:rPr>
  </w:style>
  <w:style w:type="character" w:customStyle="1" w:styleId="217">
    <w:name w:val="批注框文本 字符"/>
    <w:semiHidden/>
    <w:qFormat/>
    <w:uiPriority w:val="99"/>
    <w:rPr>
      <w:rFonts w:ascii="Times New Roman" w:hAnsi="Times New Roman" w:cs="Times New Roman"/>
      <w:sz w:val="18"/>
      <w:szCs w:val="18"/>
    </w:rPr>
  </w:style>
  <w:style w:type="character" w:customStyle="1" w:styleId="218">
    <w:name w:val="表格格式 Char"/>
    <w:link w:val="177"/>
    <w:qFormat/>
    <w:uiPriority w:val="0"/>
    <w:rPr>
      <w:rFonts w:ascii="Times New Roman" w:hAnsi="Times New Roman" w:eastAsia="等线"/>
      <w:snapToGrid w:val="0"/>
      <w:sz w:val="21"/>
      <w:szCs w:val="21"/>
    </w:rPr>
  </w:style>
  <w:style w:type="character" w:styleId="219">
    <w:name w:val="Placeholder Text"/>
    <w:semiHidden/>
    <w:qFormat/>
    <w:uiPriority w:val="99"/>
    <w:rPr>
      <w:color w:val="808080"/>
    </w:rPr>
  </w:style>
  <w:style w:type="character" w:customStyle="1" w:styleId="220">
    <w:name w:val="文档结构图 字符"/>
    <w:link w:val="16"/>
    <w:qFormat/>
    <w:uiPriority w:val="99"/>
    <w:rPr>
      <w:rFonts w:ascii="宋体" w:hAnsi="Times New Roman"/>
      <w:sz w:val="18"/>
      <w:szCs w:val="18"/>
    </w:rPr>
  </w:style>
  <w:style w:type="paragraph" w:customStyle="1" w:styleId="221">
    <w:name w:val="04 四级标题"/>
    <w:next w:val="1"/>
    <w:semiHidden/>
    <w:qFormat/>
    <w:uiPriority w:val="0"/>
    <w:pPr>
      <w:numPr>
        <w:ilvl w:val="0"/>
        <w:numId w:val="11"/>
      </w:numPr>
      <w:spacing w:before="120" w:line="520" w:lineRule="exact"/>
    </w:pPr>
    <w:rPr>
      <w:rFonts w:ascii="宋体" w:hAnsi="宋体" w:eastAsia="宋体" w:cs="Times New Roman"/>
      <w:b/>
      <w:spacing w:val="-2"/>
      <w:kern w:val="2"/>
      <w:sz w:val="24"/>
      <w:szCs w:val="24"/>
      <w:lang w:val="en-US" w:eastAsia="zh-CN" w:bidi="ar-SA"/>
    </w:rPr>
  </w:style>
  <w:style w:type="character" w:customStyle="1" w:styleId="222">
    <w:name w:val="题注 字符"/>
    <w:link w:val="14"/>
    <w:qFormat/>
    <w:uiPriority w:val="0"/>
    <w:rPr>
      <w:rFonts w:ascii="等线 Light" w:hAnsi="等线 Light" w:eastAsia="黑体"/>
    </w:rPr>
  </w:style>
  <w:style w:type="paragraph" w:customStyle="1" w:styleId="223">
    <w:name w:val="报告书表格2"/>
    <w:basedOn w:val="1"/>
    <w:qFormat/>
    <w:uiPriority w:val="0"/>
    <w:pPr>
      <w:spacing w:before="60" w:after="120" w:line="240" w:lineRule="atLeast"/>
      <w:ind w:firstLine="567" w:firstLineChars="0"/>
      <w:jc w:val="center"/>
      <w:textAlignment w:val="baseline"/>
    </w:pPr>
    <w:rPr>
      <w:rFonts w:cs="Times New Roman"/>
      <w:kern w:val="0"/>
      <w:sz w:val="28"/>
      <w:szCs w:val="20"/>
    </w:rPr>
  </w:style>
  <w:style w:type="character" w:customStyle="1" w:styleId="224">
    <w:name w:val="6标题-表头 Char"/>
    <w:link w:val="143"/>
    <w:qFormat/>
    <w:uiPriority w:val="0"/>
    <w:rPr>
      <w:rFonts w:ascii="Times New Roman" w:hAnsi="Times New Roman"/>
      <w:b/>
      <w:kern w:val="2"/>
      <w:sz w:val="24"/>
      <w:szCs w:val="24"/>
    </w:rPr>
  </w:style>
  <w:style w:type="character" w:customStyle="1" w:styleId="225">
    <w:name w:val="正文文本 (2) + 间距 0 pt"/>
    <w:qFormat/>
    <w:uiPriority w:val="99"/>
    <w:rPr>
      <w:rFonts w:ascii="黑体" w:eastAsia="黑体" w:cs="黑体"/>
      <w:spacing w:val="0"/>
      <w:sz w:val="13"/>
      <w:szCs w:val="13"/>
      <w:u w:val="none"/>
    </w:rPr>
  </w:style>
  <w:style w:type="character" w:customStyle="1" w:styleId="226">
    <w:name w:val="正文文本 (2)_"/>
    <w:link w:val="227"/>
    <w:qFormat/>
    <w:uiPriority w:val="99"/>
    <w:rPr>
      <w:rFonts w:ascii="黑体" w:eastAsia="黑体" w:cs="黑体"/>
      <w:spacing w:val="10"/>
      <w:sz w:val="13"/>
      <w:szCs w:val="13"/>
      <w:shd w:val="clear" w:color="auto" w:fill="FFFFFF"/>
    </w:rPr>
  </w:style>
  <w:style w:type="paragraph" w:customStyle="1" w:styleId="227">
    <w:name w:val="正文文本 (2)1"/>
    <w:basedOn w:val="1"/>
    <w:link w:val="226"/>
    <w:qFormat/>
    <w:uiPriority w:val="99"/>
    <w:pPr>
      <w:shd w:val="clear" w:color="auto" w:fill="FFFFFF"/>
      <w:adjustRightInd/>
      <w:snapToGrid/>
      <w:spacing w:line="168" w:lineRule="exact"/>
      <w:ind w:firstLine="0" w:firstLineChars="0"/>
      <w:jc w:val="distribute"/>
    </w:pPr>
    <w:rPr>
      <w:rFonts w:ascii="黑体" w:hAnsi="Calibri" w:eastAsia="黑体" w:cs="黑体"/>
      <w:spacing w:val="10"/>
      <w:kern w:val="0"/>
      <w:sz w:val="13"/>
      <w:szCs w:val="13"/>
    </w:rPr>
  </w:style>
  <w:style w:type="character" w:customStyle="1" w:styleId="228">
    <w:name w:val="正文文本 (2) + 间距 2 pt"/>
    <w:qFormat/>
    <w:uiPriority w:val="99"/>
    <w:rPr>
      <w:rFonts w:ascii="黑体" w:eastAsia="黑体" w:cs="黑体"/>
      <w:spacing w:val="40"/>
      <w:sz w:val="13"/>
      <w:szCs w:val="13"/>
      <w:shd w:val="clear" w:color="auto" w:fill="FFFFFF"/>
    </w:rPr>
  </w:style>
  <w:style w:type="character" w:customStyle="1" w:styleId="229">
    <w:name w:val="正文文本 (2) + 间距 0 pt1"/>
    <w:qFormat/>
    <w:uiPriority w:val="99"/>
    <w:rPr>
      <w:rFonts w:ascii="黑体" w:eastAsia="黑体" w:cs="黑体"/>
      <w:spacing w:val="-10"/>
      <w:sz w:val="13"/>
      <w:szCs w:val="13"/>
      <w:shd w:val="clear" w:color="auto" w:fill="FFFFFF"/>
    </w:rPr>
  </w:style>
  <w:style w:type="character" w:customStyle="1" w:styleId="230">
    <w:name w:val="能力-标题3 Char"/>
    <w:link w:val="207"/>
    <w:qFormat/>
    <w:uiPriority w:val="0"/>
    <w:rPr>
      <w:rFonts w:ascii="Times New Roman" w:hAnsi="Times New Roman"/>
      <w:b/>
      <w:kern w:val="2"/>
      <w:sz w:val="24"/>
      <w:szCs w:val="22"/>
    </w:rPr>
  </w:style>
  <w:style w:type="character" w:customStyle="1" w:styleId="231">
    <w:name w:val="正文缩进 字符1"/>
    <w:qFormat/>
    <w:uiPriority w:val="0"/>
  </w:style>
  <w:style w:type="character" w:customStyle="1" w:styleId="232">
    <w:name w:val="正文文本缩进 2 字符"/>
    <w:link w:val="22"/>
    <w:qFormat/>
    <w:uiPriority w:val="99"/>
    <w:rPr>
      <w:rFonts w:ascii="Times New Roman" w:hAnsi="Times New Roman" w:cs="宋体"/>
      <w:kern w:val="2"/>
      <w:sz w:val="24"/>
      <w:szCs w:val="22"/>
    </w:rPr>
  </w:style>
  <w:style w:type="paragraph" w:customStyle="1" w:styleId="233">
    <w:name w:val="6级表名图名"/>
    <w:basedOn w:val="1"/>
    <w:qFormat/>
    <w:uiPriority w:val="99"/>
    <w:pPr>
      <w:adjustRightInd/>
      <w:snapToGrid/>
      <w:ind w:firstLine="480"/>
      <w:jc w:val="center"/>
    </w:pPr>
    <w:rPr>
      <w:rFonts w:ascii="宋体" w:hAnsi="宋体" w:cs="Times New Roman"/>
      <w:sz w:val="21"/>
      <w:szCs w:val="24"/>
    </w:rPr>
  </w:style>
  <w:style w:type="character" w:customStyle="1" w:styleId="234">
    <w:name w:val="表格文字 Char"/>
    <w:link w:val="235"/>
    <w:qFormat/>
    <w:uiPriority w:val="0"/>
    <w:rPr>
      <w:sz w:val="21"/>
      <w:szCs w:val="24"/>
    </w:rPr>
  </w:style>
  <w:style w:type="paragraph" w:customStyle="1" w:styleId="235">
    <w:name w:val="表格文字"/>
    <w:basedOn w:val="1"/>
    <w:link w:val="234"/>
    <w:qFormat/>
    <w:uiPriority w:val="0"/>
    <w:pPr>
      <w:spacing w:line="240" w:lineRule="auto"/>
      <w:ind w:firstLine="0" w:firstLineChars="0"/>
      <w:jc w:val="center"/>
      <w:textAlignment w:val="baseline"/>
    </w:pPr>
    <w:rPr>
      <w:rFonts w:ascii="Calibri" w:hAnsi="Calibri" w:cs="Times New Roman"/>
      <w:kern w:val="0"/>
      <w:sz w:val="21"/>
      <w:szCs w:val="24"/>
    </w:rPr>
  </w:style>
  <w:style w:type="paragraph" w:customStyle="1" w:styleId="236">
    <w:name w:val="9表格内容"/>
    <w:basedOn w:val="1"/>
    <w:next w:val="1"/>
    <w:link w:val="237"/>
    <w:qFormat/>
    <w:uiPriority w:val="0"/>
    <w:pPr>
      <w:jc w:val="center"/>
    </w:pPr>
    <w:rPr>
      <w:rFonts w:cs="Times New Roman"/>
      <w:szCs w:val="28"/>
    </w:rPr>
  </w:style>
  <w:style w:type="character" w:customStyle="1" w:styleId="237">
    <w:name w:val="9表格内容 Char"/>
    <w:link w:val="236"/>
    <w:qFormat/>
    <w:uiPriority w:val="0"/>
    <w:rPr>
      <w:rFonts w:ascii="Times New Roman" w:hAnsi="Times New Roman"/>
      <w:kern w:val="2"/>
      <w:sz w:val="24"/>
      <w:szCs w:val="28"/>
    </w:rPr>
  </w:style>
  <w:style w:type="character" w:customStyle="1" w:styleId="238">
    <w:name w:val="4级标题 Char"/>
    <w:link w:val="141"/>
    <w:qFormat/>
    <w:uiPriority w:val="0"/>
    <w:rPr>
      <w:rFonts w:ascii="Times New Roman" w:hAnsi="Times New Roman"/>
      <w:b/>
      <w:kern w:val="2"/>
      <w:sz w:val="24"/>
      <w:szCs w:val="24"/>
    </w:rPr>
  </w:style>
  <w:style w:type="paragraph" w:customStyle="1" w:styleId="239">
    <w:name w:val="xu-正文"/>
    <w:basedOn w:val="1"/>
    <w:link w:val="240"/>
    <w:qFormat/>
    <w:uiPriority w:val="0"/>
    <w:pPr>
      <w:widowControl/>
    </w:pPr>
    <w:rPr>
      <w:rFonts w:eastAsia="方正仿宋_GB2312" w:cs="Times New Roman"/>
      <w:kern w:val="0"/>
    </w:rPr>
  </w:style>
  <w:style w:type="character" w:customStyle="1" w:styleId="240">
    <w:name w:val="xu-正文 Char"/>
    <w:link w:val="239"/>
    <w:qFormat/>
    <w:uiPriority w:val="0"/>
    <w:rPr>
      <w:rFonts w:ascii="Times New Roman" w:hAnsi="Times New Roman" w:eastAsia="方正仿宋_GB2312"/>
      <w:sz w:val="24"/>
      <w:szCs w:val="22"/>
    </w:rPr>
  </w:style>
  <w:style w:type="paragraph" w:customStyle="1" w:styleId="241">
    <w:name w:val="xyb表格"/>
    <w:next w:val="1"/>
    <w:qFormat/>
    <w:uiPriority w:val="0"/>
    <w:pPr>
      <w:jc w:val="center"/>
    </w:pPr>
    <w:rPr>
      <w:rFonts w:ascii="Calibri" w:hAnsi="Calibri" w:eastAsia="宋体" w:cs="Times New Roman"/>
      <w:color w:val="000000"/>
      <w:kern w:val="2"/>
      <w:sz w:val="21"/>
      <w:szCs w:val="24"/>
      <w:lang w:val="en-US" w:eastAsia="zh-CN" w:bidi="ar-SA"/>
    </w:rPr>
  </w:style>
  <w:style w:type="character" w:customStyle="1" w:styleId="242">
    <w:name w:val="xc正文 Char"/>
    <w:link w:val="243"/>
    <w:qFormat/>
    <w:uiPriority w:val="0"/>
    <w:rPr>
      <w:kern w:val="2"/>
      <w:sz w:val="24"/>
      <w:szCs w:val="24"/>
    </w:rPr>
  </w:style>
  <w:style w:type="paragraph" w:customStyle="1" w:styleId="243">
    <w:name w:val="xc正文"/>
    <w:basedOn w:val="1"/>
    <w:link w:val="242"/>
    <w:qFormat/>
    <w:uiPriority w:val="0"/>
    <w:pPr>
      <w:adjustRightInd/>
      <w:snapToGrid/>
      <w:ind w:firstLine="480"/>
      <w:jc w:val="left"/>
    </w:pPr>
    <w:rPr>
      <w:rFonts w:ascii="Calibri" w:hAnsi="Calibri" w:cs="Times New Roman"/>
      <w:szCs w:val="24"/>
    </w:rPr>
  </w:style>
  <w:style w:type="paragraph" w:customStyle="1" w:styleId="244">
    <w:name w:val="msonormal"/>
    <w:basedOn w:val="1"/>
    <w:qFormat/>
    <w:uiPriority w:val="0"/>
    <w:pPr>
      <w:widowControl/>
      <w:adjustRightInd/>
      <w:snapToGrid/>
      <w:spacing w:before="100" w:beforeAutospacing="1" w:after="100" w:afterAutospacing="1" w:line="240" w:lineRule="auto"/>
      <w:ind w:firstLine="0" w:firstLineChars="0"/>
      <w:jc w:val="left"/>
    </w:pPr>
    <w:rPr>
      <w:rFonts w:ascii="宋体" w:hAnsi="宋体"/>
      <w:kern w:val="0"/>
      <w:szCs w:val="24"/>
    </w:rPr>
  </w:style>
  <w:style w:type="table" w:customStyle="1" w:styleId="245">
    <w:name w:val="表格样式"/>
    <w:basedOn w:val="53"/>
    <w:qFormat/>
    <w:uiPriority w:val="0"/>
    <w:pPr>
      <w:adjustRightInd w:val="0"/>
      <w:snapToGrid w:val="0"/>
      <w:spacing w:before="30" w:after="30"/>
      <w:jc w:val="center"/>
    </w:pPr>
    <w:rPr>
      <w:rFonts w:ascii="Times New Roman" w:hAnsi="Times New Roman"/>
      <w:sz w:val="21"/>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table" w:customStyle="1" w:styleId="246">
    <w:name w:val="表格框21"/>
    <w:basedOn w:val="53"/>
    <w:qFormat/>
    <w:locked/>
    <w:uiPriority w:val="0"/>
    <w:pPr>
      <w:adjustRightInd w:val="0"/>
      <w:snapToGrid w:val="0"/>
      <w:jc w:val="center"/>
    </w:pPr>
    <w:tblPr>
      <w:jc w:val="center"/>
      <w:tblBorders>
        <w:top w:val="single" w:color="000000" w:sz="12" w:space="0"/>
        <w:bottom w:val="single" w:color="000000" w:sz="12" w:space="0"/>
        <w:insideH w:val="single" w:color="000000" w:sz="4" w:space="0"/>
        <w:insideV w:val="single" w:color="000000" w:sz="4" w:space="0"/>
      </w:tblBorders>
      <w:tblCellMar>
        <w:left w:w="0" w:type="dxa"/>
        <w:right w:w="0" w:type="dxa"/>
      </w:tblCellMar>
    </w:tblPr>
    <w:trPr>
      <w:cantSplit/>
      <w:tblHeader/>
      <w:jc w:val="center"/>
    </w:trPr>
    <w:tcPr>
      <w:vAlign w:val="center"/>
    </w:tcPr>
  </w:style>
  <w:style w:type="table" w:customStyle="1" w:styleId="247">
    <w:name w:val="表格框3"/>
    <w:basedOn w:val="53"/>
    <w:qFormat/>
    <w:locked/>
    <w:uiPriority w:val="0"/>
    <w:pPr>
      <w:adjustRightInd w:val="0"/>
      <w:snapToGrid w:val="0"/>
      <w:jc w:val="center"/>
    </w:pPr>
    <w:tblPr>
      <w:jc w:val="center"/>
      <w:tblBorders>
        <w:top w:val="single" w:color="000000" w:sz="12" w:space="0"/>
        <w:bottom w:val="single" w:color="000000" w:sz="12" w:space="0"/>
        <w:insideH w:val="single" w:color="000000" w:sz="4" w:space="0"/>
        <w:insideV w:val="single" w:color="000000" w:sz="4" w:space="0"/>
      </w:tblBorders>
      <w:tblCellMar>
        <w:left w:w="0" w:type="dxa"/>
        <w:right w:w="0" w:type="dxa"/>
      </w:tblCellMar>
    </w:tblPr>
    <w:trPr>
      <w:cantSplit/>
      <w:tblHeader/>
      <w:jc w:val="center"/>
    </w:trPr>
    <w:tcPr>
      <w:vAlign w:val="center"/>
    </w:tcPr>
  </w:style>
  <w:style w:type="paragraph" w:customStyle="1" w:styleId="248">
    <w:name w:val="6表格"/>
    <w:basedOn w:val="1"/>
    <w:qFormat/>
    <w:uiPriority w:val="0"/>
    <w:pPr>
      <w:adjustRightInd/>
      <w:snapToGrid/>
      <w:spacing w:line="240" w:lineRule="auto"/>
      <w:ind w:firstLine="0" w:firstLineChars="0"/>
      <w:jc w:val="center"/>
    </w:pPr>
    <w:rPr>
      <w:rFonts w:cs="Times New Roman"/>
      <w:sz w:val="21"/>
      <w:szCs w:val="24"/>
    </w:rPr>
  </w:style>
  <w:style w:type="paragraph" w:customStyle="1" w:styleId="249">
    <w:name w:val="az"/>
    <w:basedOn w:val="1"/>
    <w:qFormat/>
    <w:uiPriority w:val="0"/>
    <w:pPr>
      <w:topLinePunct/>
      <w:adjustRightInd/>
      <w:ind w:firstLine="480"/>
    </w:pPr>
    <w:rPr>
      <w:rFonts w:cs="Times New Roman"/>
      <w:szCs w:val="24"/>
    </w:rPr>
  </w:style>
  <w:style w:type="paragraph" w:customStyle="1" w:styleId="250">
    <w:name w:val="样式 首行缩进:  2 字符"/>
    <w:basedOn w:val="1"/>
    <w:link w:val="251"/>
    <w:qFormat/>
    <w:uiPriority w:val="0"/>
    <w:pPr>
      <w:adjustRightInd/>
      <w:spacing w:line="300" w:lineRule="auto"/>
    </w:pPr>
    <w:rPr>
      <w:rFonts w:ascii="宋体" w:cs="Times New Roman"/>
      <w:sz w:val="28"/>
      <w:szCs w:val="20"/>
      <w:lang w:val="zh-CN"/>
    </w:rPr>
  </w:style>
  <w:style w:type="character" w:customStyle="1" w:styleId="251">
    <w:name w:val="样式 首行缩进:  2 字符 Char"/>
    <w:link w:val="250"/>
    <w:qFormat/>
    <w:uiPriority w:val="0"/>
    <w:rPr>
      <w:rFonts w:ascii="宋体" w:hAnsi="Times New Roman"/>
      <w:kern w:val="2"/>
      <w:sz w:val="28"/>
      <w:lang w:val="zh-CN" w:eastAsia="zh-CN"/>
    </w:rPr>
  </w:style>
  <w:style w:type="paragraph" w:customStyle="1" w:styleId="252">
    <w:name w:val="7表格(治)"/>
    <w:link w:val="253"/>
    <w:qFormat/>
    <w:uiPriority w:val="0"/>
    <w:pPr>
      <w:jc w:val="center"/>
    </w:pPr>
    <w:rPr>
      <w:rFonts w:ascii="Times New Roman" w:hAnsi="Times New Roman" w:eastAsia="宋体" w:cs="Times New Roman"/>
      <w:sz w:val="21"/>
      <w:lang w:val="en-US" w:eastAsia="zh-CN" w:bidi="ar-SA"/>
    </w:rPr>
  </w:style>
  <w:style w:type="character" w:customStyle="1" w:styleId="253">
    <w:name w:val="7表格(治) Char"/>
    <w:link w:val="252"/>
    <w:qFormat/>
    <w:uiPriority w:val="0"/>
    <w:rPr>
      <w:rFonts w:ascii="Times New Roman" w:hAnsi="Times New Roman"/>
      <w:sz w:val="21"/>
    </w:rPr>
  </w:style>
  <w:style w:type="character" w:customStyle="1" w:styleId="254">
    <w:name w:val="font81"/>
    <w:qFormat/>
    <w:uiPriority w:val="0"/>
    <w:rPr>
      <w:rFonts w:hint="default" w:ascii="Times New Roman" w:hAnsi="Times New Roman" w:cs="Times New Roman"/>
      <w:color w:val="000000"/>
      <w:sz w:val="22"/>
      <w:szCs w:val="22"/>
      <w:u w:val="none"/>
      <w:vertAlign w:val="superscript"/>
    </w:rPr>
  </w:style>
  <w:style w:type="character" w:customStyle="1" w:styleId="255">
    <w:name w:val="font11"/>
    <w:qFormat/>
    <w:uiPriority w:val="0"/>
    <w:rPr>
      <w:rFonts w:hint="eastAsia" w:ascii="宋体" w:hAnsi="宋体" w:eastAsia="宋体" w:cs="宋体"/>
      <w:color w:val="000000"/>
      <w:sz w:val="22"/>
      <w:szCs w:val="22"/>
      <w:u w:val="none"/>
    </w:rPr>
  </w:style>
  <w:style w:type="character" w:customStyle="1" w:styleId="256">
    <w:name w:val="font91"/>
    <w:qFormat/>
    <w:uiPriority w:val="0"/>
    <w:rPr>
      <w:rFonts w:hint="default" w:ascii="Times New Roman" w:hAnsi="Times New Roman" w:cs="Times New Roman"/>
      <w:color w:val="000000"/>
      <w:sz w:val="22"/>
      <w:szCs w:val="22"/>
      <w:u w:val="none"/>
      <w:vertAlign w:val="superscript"/>
    </w:rPr>
  </w:style>
  <w:style w:type="paragraph" w:customStyle="1" w:styleId="257">
    <w:name w:val="A正文"/>
    <w:basedOn w:val="1"/>
    <w:link w:val="258"/>
    <w:qFormat/>
    <w:uiPriority w:val="0"/>
    <w:pPr>
      <w:ind w:firstLine="480"/>
    </w:pPr>
    <w:rPr>
      <w:szCs w:val="24"/>
    </w:rPr>
  </w:style>
  <w:style w:type="character" w:customStyle="1" w:styleId="258">
    <w:name w:val="A正文 Char"/>
    <w:link w:val="257"/>
    <w:qFormat/>
    <w:uiPriority w:val="0"/>
    <w:rPr>
      <w:rFonts w:ascii="Times New Roman" w:hAnsi="Times New Roman" w:cs="宋体"/>
      <w:kern w:val="2"/>
      <w:sz w:val="24"/>
      <w:szCs w:val="24"/>
    </w:rPr>
  </w:style>
  <w:style w:type="paragraph" w:customStyle="1" w:styleId="259">
    <w:name w:val="t表格文字居中"/>
    <w:basedOn w:val="1"/>
    <w:link w:val="260"/>
    <w:qFormat/>
    <w:uiPriority w:val="0"/>
    <w:pPr>
      <w:widowControl/>
      <w:tabs>
        <w:tab w:val="left" w:pos="1771"/>
        <w:tab w:val="left" w:pos="2608"/>
      </w:tabs>
      <w:suppressAutoHyphens/>
      <w:spacing w:line="240" w:lineRule="auto"/>
      <w:ind w:firstLine="0" w:firstLineChars="0"/>
      <w:jc w:val="center"/>
    </w:pPr>
    <w:rPr>
      <w:rFonts w:cs="Times New Roman"/>
      <w:color w:val="000000"/>
      <w:sz w:val="21"/>
      <w:szCs w:val="21"/>
      <w:lang w:val="zh-CN" w:eastAsia="en-US"/>
    </w:rPr>
  </w:style>
  <w:style w:type="character" w:customStyle="1" w:styleId="260">
    <w:name w:val="t表格文字居中 Char"/>
    <w:link w:val="259"/>
    <w:qFormat/>
    <w:uiPriority w:val="0"/>
    <w:rPr>
      <w:rFonts w:ascii="Times New Roman" w:hAnsi="Times New Roman"/>
      <w:color w:val="000000"/>
      <w:kern w:val="2"/>
      <w:sz w:val="21"/>
      <w:szCs w:val="21"/>
      <w:lang w:val="zh-CN" w:eastAsia="en-US"/>
    </w:rPr>
  </w:style>
  <w:style w:type="paragraph" w:customStyle="1" w:styleId="261">
    <w:name w:val="题注-表"/>
    <w:basedOn w:val="14"/>
    <w:next w:val="1"/>
    <w:link w:val="262"/>
    <w:qFormat/>
    <w:uiPriority w:val="0"/>
    <w:pPr>
      <w:spacing w:line="240" w:lineRule="auto"/>
      <w:ind w:firstLine="0" w:firstLineChars="0"/>
      <w:jc w:val="center"/>
    </w:pPr>
    <w:rPr>
      <w:rFonts w:ascii="Times New Roman" w:hAnsi="Times New Roman" w:eastAsia="宋体" w:cs="Cambria"/>
      <w:kern w:val="2"/>
      <w:sz w:val="24"/>
      <w:szCs w:val="24"/>
    </w:rPr>
  </w:style>
  <w:style w:type="character" w:customStyle="1" w:styleId="262">
    <w:name w:val="题注-表 Char"/>
    <w:link w:val="261"/>
    <w:qFormat/>
    <w:uiPriority w:val="0"/>
    <w:rPr>
      <w:rFonts w:ascii="Times New Roman" w:hAnsi="Times New Roman" w:cs="Cambria"/>
      <w:kern w:val="2"/>
      <w:sz w:val="24"/>
      <w:szCs w:val="24"/>
    </w:rPr>
  </w:style>
  <w:style w:type="character" w:customStyle="1" w:styleId="263">
    <w:name w:val="F加粗文字"/>
    <w:qFormat/>
    <w:uiPriority w:val="0"/>
    <w:rPr>
      <w:rFonts w:ascii="Times New Roman" w:hAnsi="Times New Roman" w:eastAsia="宋体"/>
      <w:b/>
    </w:rPr>
  </w:style>
  <w:style w:type="character" w:customStyle="1" w:styleId="264">
    <w:name w:val="F文字-上标"/>
    <w:qFormat/>
    <w:uiPriority w:val="0"/>
    <w:rPr>
      <w:sz w:val="24"/>
      <w:szCs w:val="24"/>
      <w:u w:val="none"/>
      <w:vertAlign w:val="superscript"/>
    </w:rPr>
  </w:style>
  <w:style w:type="paragraph" w:customStyle="1" w:styleId="265">
    <w:name w:val="t表格文字左齐"/>
    <w:basedOn w:val="1"/>
    <w:qFormat/>
    <w:uiPriority w:val="0"/>
    <w:pPr>
      <w:spacing w:line="240" w:lineRule="auto"/>
      <w:ind w:firstLine="0" w:firstLineChars="0"/>
    </w:pPr>
    <w:rPr>
      <w:sz w:val="21"/>
      <w:szCs w:val="21"/>
    </w:rPr>
  </w:style>
  <w:style w:type="paragraph" w:styleId="266">
    <w:name w:val="No Spacing"/>
    <w:link w:val="267"/>
    <w:qFormat/>
    <w:uiPriority w:val="1"/>
    <w:pPr>
      <w:widowControl w:val="0"/>
      <w:spacing w:line="360" w:lineRule="auto"/>
      <w:ind w:firstLine="200" w:firstLineChars="200"/>
      <w:jc w:val="both"/>
    </w:pPr>
    <w:rPr>
      <w:rFonts w:ascii="Times New Roman" w:hAnsi="Times New Roman" w:eastAsia="方正仿宋_GB2312" w:cs="Times New Roman"/>
      <w:kern w:val="2"/>
      <w:sz w:val="24"/>
      <w:szCs w:val="22"/>
      <w:lang w:val="en-US" w:eastAsia="zh-CN" w:bidi="ar-SA"/>
    </w:rPr>
  </w:style>
  <w:style w:type="character" w:customStyle="1" w:styleId="267">
    <w:name w:val="无间隔 字符"/>
    <w:link w:val="266"/>
    <w:qFormat/>
    <w:uiPriority w:val="1"/>
    <w:rPr>
      <w:rFonts w:ascii="Times New Roman" w:hAnsi="Times New Roman" w:eastAsia="方正仿宋_GB2312"/>
      <w:kern w:val="2"/>
      <w:sz w:val="24"/>
      <w:szCs w:val="22"/>
    </w:rPr>
  </w:style>
  <w:style w:type="paragraph" w:customStyle="1" w:styleId="268">
    <w:name w:val="正文上半行"/>
    <w:basedOn w:val="1"/>
    <w:next w:val="1"/>
    <w:qFormat/>
    <w:uiPriority w:val="0"/>
    <w:pPr>
      <w:adjustRightInd/>
      <w:snapToGrid/>
      <w:spacing w:before="163" w:beforeLines="50"/>
      <w:ind w:firstLine="480"/>
    </w:pPr>
    <w:rPr>
      <w:rFonts w:cs="Times New Roman"/>
    </w:rPr>
  </w:style>
  <w:style w:type="character" w:customStyle="1" w:styleId="269">
    <w:name w:val="页脚 字符1"/>
    <w:qFormat/>
    <w:uiPriority w:val="0"/>
    <w:rPr>
      <w:rFonts w:ascii="Times New Roman" w:hAnsi="Times New Roman" w:cs="宋体"/>
      <w:sz w:val="18"/>
      <w:szCs w:val="18"/>
    </w:rPr>
  </w:style>
  <w:style w:type="character" w:customStyle="1" w:styleId="270">
    <w:name w:val="标题-表头 Char"/>
    <w:link w:val="158"/>
    <w:qFormat/>
    <w:uiPriority w:val="0"/>
    <w:rPr>
      <w:b/>
      <w:kern w:val="2"/>
      <w:sz w:val="24"/>
      <w:szCs w:val="24"/>
    </w:rPr>
  </w:style>
  <w:style w:type="paragraph" w:customStyle="1" w:styleId="271">
    <w:name w:val="Char"/>
    <w:basedOn w:val="1"/>
    <w:qFormat/>
    <w:uiPriority w:val="0"/>
    <w:pPr>
      <w:adjustRightInd/>
      <w:snapToGrid/>
      <w:spacing w:line="240" w:lineRule="auto"/>
      <w:ind w:left="-48" w:firstLine="0" w:firstLineChars="0"/>
    </w:pPr>
    <w:rPr>
      <w:rFonts w:cs="Times New Roman"/>
      <w:sz w:val="21"/>
      <w:szCs w:val="24"/>
    </w:rPr>
  </w:style>
  <w:style w:type="paragraph" w:customStyle="1" w:styleId="272">
    <w:name w:val="8表格后段落"/>
    <w:basedOn w:val="130"/>
    <w:link w:val="273"/>
    <w:qFormat/>
    <w:uiPriority w:val="0"/>
    <w:pPr>
      <w:adjustRightInd w:val="0"/>
      <w:spacing w:before="156" w:beforeLines="50"/>
      <w:ind w:firstLine="200"/>
    </w:pPr>
    <w:rPr>
      <w:kern w:val="0"/>
    </w:rPr>
  </w:style>
  <w:style w:type="character" w:customStyle="1" w:styleId="273">
    <w:name w:val="8表格后段落 Char"/>
    <w:link w:val="272"/>
    <w:qFormat/>
    <w:uiPriority w:val="0"/>
    <w:rPr>
      <w:rFonts w:ascii="Times New Roman" w:hAnsi="Times New Roman"/>
      <w:color w:val="000000"/>
      <w:sz w:val="24"/>
      <w:szCs w:val="24"/>
    </w:rPr>
  </w:style>
  <w:style w:type="character" w:customStyle="1" w:styleId="274">
    <w:name w:val="5段落 字符"/>
    <w:qFormat/>
    <w:uiPriority w:val="0"/>
    <w:rPr>
      <w:kern w:val="2"/>
      <w:sz w:val="21"/>
      <w:szCs w:val="24"/>
    </w:rPr>
  </w:style>
  <w:style w:type="paragraph" w:customStyle="1" w:styleId="275">
    <w:name w:val="6表格标题"/>
    <w:basedOn w:val="130"/>
    <w:next w:val="130"/>
    <w:qFormat/>
    <w:uiPriority w:val="0"/>
    <w:pPr>
      <w:ind w:firstLine="0" w:firstLineChars="0"/>
      <w:jc w:val="center"/>
    </w:pPr>
    <w:rPr>
      <w:b/>
      <w:color w:val="auto"/>
      <w:sz w:val="21"/>
    </w:rPr>
  </w:style>
  <w:style w:type="paragraph" w:customStyle="1" w:styleId="276">
    <w:name w:val="7图件标题"/>
    <w:basedOn w:val="275"/>
    <w:next w:val="130"/>
    <w:qFormat/>
    <w:uiPriority w:val="0"/>
  </w:style>
  <w:style w:type="paragraph" w:customStyle="1" w:styleId="277">
    <w:name w:val="章-wd"/>
    <w:basedOn w:val="2"/>
    <w:qFormat/>
    <w:uiPriority w:val="0"/>
    <w:pPr>
      <w:keepNext/>
      <w:keepLines/>
      <w:numPr>
        <w:ilvl w:val="0"/>
        <w:numId w:val="12"/>
      </w:numPr>
      <w:adjustRightInd/>
      <w:snapToGrid/>
      <w:spacing w:before="100" w:beforeAutospacing="1" w:after="100" w:afterAutospacing="1" w:line="240" w:lineRule="auto"/>
      <w:ind w:left="0" w:right="0" w:firstLine="0" w:firstLineChars="0"/>
    </w:pPr>
    <w:rPr>
      <w:rFonts w:ascii="黑体" w:hAnsi="Calibri"/>
      <w:bCs/>
      <w:color w:val="000000"/>
      <w:kern w:val="44"/>
      <w:sz w:val="36"/>
      <w:szCs w:val="36"/>
    </w:rPr>
  </w:style>
  <w:style w:type="paragraph" w:customStyle="1" w:styleId="278">
    <w:name w:val="节2-wd"/>
    <w:basedOn w:val="4"/>
    <w:next w:val="1"/>
    <w:qFormat/>
    <w:uiPriority w:val="0"/>
    <w:pPr>
      <w:keepNext/>
      <w:keepLines/>
      <w:numPr>
        <w:numId w:val="12"/>
      </w:numPr>
      <w:adjustRightInd/>
      <w:snapToGrid/>
      <w:spacing w:after="50" w:afterLines="50" w:line="240" w:lineRule="auto"/>
      <w:ind w:firstLineChars="0"/>
    </w:pPr>
    <w:rPr>
      <w:rFonts w:ascii="宋体" w:hAnsi="Arial" w:eastAsia="宋体" w:cs="Times New Roman"/>
      <w:b/>
      <w:bCs/>
      <w:color w:val="333300"/>
      <w:sz w:val="28"/>
      <w:szCs w:val="28"/>
    </w:rPr>
  </w:style>
  <w:style w:type="paragraph" w:customStyle="1" w:styleId="279">
    <w:name w:val="节3-wd"/>
    <w:basedOn w:val="5"/>
    <w:qFormat/>
    <w:uiPriority w:val="0"/>
    <w:pPr>
      <w:keepNext/>
      <w:keepLines/>
      <w:numPr>
        <w:numId w:val="12"/>
      </w:numPr>
      <w:adjustRightInd/>
      <w:snapToGrid/>
      <w:spacing w:before="50" w:beforeLines="50" w:line="240" w:lineRule="auto"/>
      <w:ind w:firstLineChars="0"/>
    </w:pPr>
    <w:rPr>
      <w:rFonts w:hAnsi="Arial" w:eastAsia="宋体" w:cs="Times New Roman"/>
    </w:rPr>
  </w:style>
  <w:style w:type="paragraph" w:customStyle="1" w:styleId="280">
    <w:name w:val="表格中正文"/>
    <w:link w:val="281"/>
    <w:qFormat/>
    <w:uiPriority w:val="0"/>
    <w:pPr>
      <w:wordWrap w:val="0"/>
      <w:autoSpaceDE w:val="0"/>
      <w:autoSpaceDN w:val="0"/>
      <w:adjustRightInd w:val="0"/>
      <w:snapToGrid w:val="0"/>
      <w:spacing w:line="360" w:lineRule="auto"/>
      <w:ind w:firstLine="200" w:firstLineChars="200"/>
    </w:pPr>
    <w:rPr>
      <w:rFonts w:ascii="Times New Roman" w:hAnsi="Times New Roman" w:eastAsia="宋体" w:cs="宋体"/>
      <w:sz w:val="24"/>
      <w:szCs w:val="21"/>
      <w:lang w:val="en-US" w:eastAsia="zh-CN" w:bidi="ar-SA"/>
    </w:rPr>
  </w:style>
  <w:style w:type="character" w:customStyle="1" w:styleId="281">
    <w:name w:val="表格中正文 字符"/>
    <w:link w:val="280"/>
    <w:qFormat/>
    <w:uiPriority w:val="0"/>
    <w:rPr>
      <w:rFonts w:ascii="Times New Roman" w:hAnsi="Times New Roman" w:cs="宋体"/>
      <w:sz w:val="24"/>
      <w:szCs w:val="21"/>
    </w:rPr>
  </w:style>
  <w:style w:type="paragraph" w:customStyle="1" w:styleId="282">
    <w:name w:val="cucd-2"/>
    <w:next w:val="283"/>
    <w:qFormat/>
    <w:uiPriority w:val="0"/>
    <w:pPr>
      <w:numPr>
        <w:ilvl w:val="1"/>
        <w:numId w:val="13"/>
      </w:numPr>
      <w:spacing w:line="360" w:lineRule="auto"/>
      <w:ind w:firstLine="200" w:firstLineChars="200"/>
      <w:jc w:val="both"/>
      <w:outlineLvl w:val="1"/>
    </w:pPr>
    <w:rPr>
      <w:rFonts w:ascii="宋体" w:hAnsi="宋体" w:eastAsia="黑体" w:cs="Times New Roman"/>
      <w:b/>
      <w:bCs/>
      <w:kern w:val="2"/>
      <w:sz w:val="30"/>
      <w:szCs w:val="24"/>
      <w:lang w:val="en-US" w:eastAsia="zh-CN" w:bidi="ar-SA"/>
    </w:rPr>
  </w:style>
  <w:style w:type="paragraph" w:customStyle="1" w:styleId="283">
    <w:name w:val="cucd-3"/>
    <w:next w:val="284"/>
    <w:qFormat/>
    <w:uiPriority w:val="0"/>
    <w:pPr>
      <w:numPr>
        <w:ilvl w:val="2"/>
        <w:numId w:val="13"/>
      </w:numPr>
      <w:spacing w:line="360" w:lineRule="auto"/>
      <w:ind w:firstLine="200" w:firstLineChars="200"/>
      <w:jc w:val="both"/>
      <w:outlineLvl w:val="2"/>
    </w:pPr>
    <w:rPr>
      <w:rFonts w:ascii="宋体" w:hAnsi="宋体" w:eastAsia="宋体" w:cs="Times New Roman"/>
      <w:b/>
      <w:kern w:val="2"/>
      <w:sz w:val="28"/>
      <w:szCs w:val="24"/>
      <w:lang w:val="en-US" w:eastAsia="zh-CN" w:bidi="ar-SA"/>
    </w:rPr>
  </w:style>
  <w:style w:type="paragraph" w:customStyle="1" w:styleId="284">
    <w:name w:val="cucd-4"/>
    <w:next w:val="1"/>
    <w:qFormat/>
    <w:uiPriority w:val="0"/>
    <w:pPr>
      <w:numPr>
        <w:ilvl w:val="3"/>
        <w:numId w:val="13"/>
      </w:numPr>
      <w:spacing w:line="360" w:lineRule="auto"/>
      <w:ind w:firstLine="200" w:firstLineChars="200"/>
      <w:jc w:val="both"/>
      <w:outlineLvl w:val="3"/>
    </w:pPr>
    <w:rPr>
      <w:rFonts w:ascii="宋体" w:hAnsi="宋体" w:eastAsia="宋体" w:cs="Times New Roman"/>
      <w:b/>
      <w:kern w:val="2"/>
      <w:sz w:val="24"/>
      <w:szCs w:val="24"/>
      <w:lang w:val="en-US" w:eastAsia="zh-CN" w:bidi="ar-SA"/>
    </w:rPr>
  </w:style>
  <w:style w:type="paragraph" w:customStyle="1" w:styleId="285">
    <w:name w:val="cucd-1"/>
    <w:next w:val="282"/>
    <w:qFormat/>
    <w:uiPriority w:val="0"/>
    <w:pPr>
      <w:pageBreakBefore/>
      <w:numPr>
        <w:ilvl w:val="0"/>
        <w:numId w:val="13"/>
      </w:numPr>
      <w:spacing w:before="312" w:beforeLines="100" w:after="156" w:afterLines="50" w:line="360" w:lineRule="auto"/>
      <w:ind w:firstLine="200" w:firstLineChars="200"/>
      <w:jc w:val="center"/>
      <w:outlineLvl w:val="0"/>
    </w:pPr>
    <w:rPr>
      <w:rFonts w:ascii="宋体" w:hAnsi="宋体" w:eastAsia="黑体" w:cs="Times New Roman"/>
      <w:b/>
      <w:kern w:val="2"/>
      <w:sz w:val="36"/>
      <w:szCs w:val="24"/>
      <w:lang w:val="en-US" w:eastAsia="zh-CN" w:bidi="ar-SA"/>
    </w:rPr>
  </w:style>
  <w:style w:type="character" w:customStyle="1" w:styleId="286">
    <w:name w:val="表头 Char Char"/>
    <w:qFormat/>
    <w:uiPriority w:val="0"/>
    <w:rPr>
      <w:rFonts w:ascii="黑体" w:eastAsia="黑体"/>
      <w:b/>
      <w:kern w:val="2"/>
      <w:sz w:val="24"/>
      <w:lang w:val="en-US" w:eastAsia="zh-CN" w:bidi="ar-SA"/>
    </w:rPr>
  </w:style>
  <w:style w:type="paragraph" w:customStyle="1" w:styleId="287">
    <w:name w:val="样式 宋体 小四"/>
    <w:basedOn w:val="1"/>
    <w:uiPriority w:val="0"/>
    <w:pPr>
      <w:ind w:firstLine="480"/>
    </w:pPr>
    <w:rPr>
      <w:rFonts w:cs="Times New Roman"/>
      <w:szCs w:val="20"/>
    </w:rPr>
  </w:style>
  <w:style w:type="paragraph" w:customStyle="1" w:styleId="288">
    <w:name w:val="font5"/>
    <w:basedOn w:val="1"/>
    <w:qFormat/>
    <w:uiPriority w:val="0"/>
    <w:pPr>
      <w:widowControl/>
      <w:adjustRightInd/>
      <w:snapToGrid/>
      <w:spacing w:before="100" w:beforeAutospacing="1" w:after="100" w:afterAutospacing="1" w:line="240" w:lineRule="auto"/>
      <w:ind w:firstLine="0" w:firstLineChars="0"/>
      <w:jc w:val="left"/>
    </w:pPr>
    <w:rPr>
      <w:rFonts w:ascii="宋体" w:hAnsi="宋体"/>
      <w:kern w:val="0"/>
      <w:sz w:val="18"/>
      <w:szCs w:val="18"/>
    </w:rPr>
  </w:style>
  <w:style w:type="paragraph" w:customStyle="1" w:styleId="289">
    <w:name w:val="font6"/>
    <w:basedOn w:val="1"/>
    <w:qFormat/>
    <w:uiPriority w:val="0"/>
    <w:pPr>
      <w:widowControl/>
      <w:adjustRightInd/>
      <w:snapToGrid/>
      <w:spacing w:before="100" w:beforeAutospacing="1" w:after="100" w:afterAutospacing="1" w:line="240" w:lineRule="auto"/>
      <w:ind w:firstLine="0" w:firstLineChars="0"/>
      <w:jc w:val="left"/>
    </w:pPr>
    <w:rPr>
      <w:rFonts w:ascii="宋体" w:hAnsi="宋体"/>
      <w:color w:val="000000"/>
      <w:kern w:val="0"/>
      <w:sz w:val="18"/>
      <w:szCs w:val="18"/>
    </w:rPr>
  </w:style>
  <w:style w:type="paragraph" w:customStyle="1" w:styleId="290">
    <w:name w:val="font7"/>
    <w:basedOn w:val="1"/>
    <w:qFormat/>
    <w:uiPriority w:val="0"/>
    <w:pPr>
      <w:widowControl/>
      <w:adjustRightInd/>
      <w:snapToGrid/>
      <w:spacing w:before="100" w:beforeAutospacing="1" w:after="100" w:afterAutospacing="1" w:line="240" w:lineRule="auto"/>
      <w:ind w:firstLine="0" w:firstLineChars="0"/>
      <w:jc w:val="left"/>
    </w:pPr>
    <w:rPr>
      <w:rFonts w:cs="Times New Roman"/>
      <w:color w:val="000000"/>
      <w:kern w:val="0"/>
      <w:sz w:val="18"/>
      <w:szCs w:val="18"/>
    </w:rPr>
  </w:style>
  <w:style w:type="paragraph" w:customStyle="1" w:styleId="291">
    <w:name w:val="xl63"/>
    <w:basedOn w:val="1"/>
    <w:qFormat/>
    <w:uiPriority w:val="0"/>
    <w:pPr>
      <w:widowControl/>
      <w:pBdr>
        <w:bottom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292">
    <w:name w:val="xl64"/>
    <w:basedOn w:val="1"/>
    <w:qFormat/>
    <w:uiPriority w:val="0"/>
    <w:pPr>
      <w:widowControl/>
      <w:pBdr>
        <w:bottom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293">
    <w:name w:val="xl65"/>
    <w:basedOn w:val="1"/>
    <w:qFormat/>
    <w:uiPriority w:val="0"/>
    <w:pPr>
      <w:widowControl/>
      <w:pBdr>
        <w:bottom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294">
    <w:name w:val="xl66"/>
    <w:basedOn w:val="1"/>
    <w:qFormat/>
    <w:uiPriority w:val="0"/>
    <w:pPr>
      <w:widowControl/>
      <w:pBdr>
        <w:bottom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295">
    <w:name w:val="xl67"/>
    <w:basedOn w:val="1"/>
    <w:qFormat/>
    <w:uiPriority w:val="0"/>
    <w:pPr>
      <w:widowControl/>
      <w:pBdr>
        <w:bottom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296">
    <w:name w:val="xl68"/>
    <w:basedOn w:val="1"/>
    <w:qFormat/>
    <w:uiPriority w:val="0"/>
    <w:pPr>
      <w:widowControl/>
      <w:pBdr>
        <w:bottom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297">
    <w:name w:val="xl69"/>
    <w:basedOn w:val="1"/>
    <w:qFormat/>
    <w:uiPriority w:val="0"/>
    <w:pPr>
      <w:widowControl/>
      <w:pBdr>
        <w:bottom w:val="single" w:color="auto" w:sz="8" w:space="0"/>
        <w:right w:val="single" w:color="auto" w:sz="8" w:space="0"/>
      </w:pBdr>
      <w:shd w:val="clear" w:color="000000" w:fill="FF00FF"/>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298">
    <w:name w:val="xl70"/>
    <w:basedOn w:val="1"/>
    <w:qFormat/>
    <w:uiPriority w:val="0"/>
    <w:pPr>
      <w:widowControl/>
      <w:pBdr>
        <w:bottom w:val="single" w:color="auto" w:sz="8" w:space="0"/>
        <w:right w:val="single" w:color="auto" w:sz="8" w:space="0"/>
      </w:pBdr>
      <w:shd w:val="clear" w:color="000000" w:fill="FF00FF"/>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299">
    <w:name w:val="xl71"/>
    <w:basedOn w:val="1"/>
    <w:qFormat/>
    <w:uiPriority w:val="0"/>
    <w:pPr>
      <w:widowControl/>
      <w:pBdr>
        <w:bottom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00">
    <w:name w:val="xl72"/>
    <w:basedOn w:val="1"/>
    <w:qFormat/>
    <w:uiPriority w:val="0"/>
    <w:pPr>
      <w:widowControl/>
      <w:pBdr>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01">
    <w:name w:val="xl73"/>
    <w:basedOn w:val="1"/>
    <w:qFormat/>
    <w:uiPriority w:val="0"/>
    <w:pPr>
      <w:widowControl/>
      <w:pBdr>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02">
    <w:name w:val="xl74"/>
    <w:basedOn w:val="1"/>
    <w:qFormat/>
    <w:uiPriority w:val="0"/>
    <w:pPr>
      <w:widowControl/>
      <w:pBdr>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03">
    <w:name w:val="xl75"/>
    <w:basedOn w:val="1"/>
    <w:uiPriority w:val="0"/>
    <w:pPr>
      <w:widowControl/>
      <w:pBdr>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04">
    <w:name w:val="xl76"/>
    <w:basedOn w:val="1"/>
    <w:qFormat/>
    <w:uiPriority w:val="0"/>
    <w:pPr>
      <w:widowControl/>
      <w:pBdr>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05">
    <w:name w:val="xl77"/>
    <w:basedOn w:val="1"/>
    <w:qFormat/>
    <w:uiPriority w:val="0"/>
    <w:pPr>
      <w:widowControl/>
      <w:pBdr>
        <w:top w:val="single" w:color="auto" w:sz="4" w:space="0"/>
        <w:left w:val="single" w:color="auto" w:sz="4" w:space="0"/>
        <w:bottom w:val="single" w:color="auto" w:sz="4" w:space="0"/>
        <w:right w:val="single" w:color="auto" w:sz="4"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06">
    <w:name w:val="xl78"/>
    <w:basedOn w:val="1"/>
    <w:qFormat/>
    <w:uiPriority w:val="0"/>
    <w:pPr>
      <w:widowControl/>
      <w:pBdr>
        <w:top w:val="single" w:color="auto" w:sz="4" w:space="0"/>
        <w:left w:val="single" w:color="auto" w:sz="4" w:space="0"/>
        <w:bottom w:val="single" w:color="auto" w:sz="4" w:space="0"/>
        <w:right w:val="single" w:color="auto" w:sz="4"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07">
    <w:name w:val="xl79"/>
    <w:basedOn w:val="1"/>
    <w:qFormat/>
    <w:uiPriority w:val="0"/>
    <w:pPr>
      <w:widowControl/>
      <w:pBdr>
        <w:top w:val="single" w:color="auto" w:sz="8" w:space="0"/>
        <w:left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08">
    <w:name w:val="xl80"/>
    <w:basedOn w:val="1"/>
    <w:qFormat/>
    <w:uiPriority w:val="0"/>
    <w:pPr>
      <w:widowControl/>
      <w:pBdr>
        <w:left w:val="single" w:color="auto" w:sz="8" w:space="0"/>
        <w:bottom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09">
    <w:name w:val="xl81"/>
    <w:basedOn w:val="1"/>
    <w:qFormat/>
    <w:uiPriority w:val="0"/>
    <w:pPr>
      <w:widowControl/>
      <w:pBdr>
        <w:left w:val="single" w:color="auto" w:sz="8" w:space="0"/>
        <w:bottom w:val="single" w:color="auto" w:sz="12"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10">
    <w:name w:val="xl82"/>
    <w:basedOn w:val="1"/>
    <w:qFormat/>
    <w:uiPriority w:val="0"/>
    <w:pPr>
      <w:widowControl/>
      <w:pBdr>
        <w:left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11">
    <w:name w:val="xl83"/>
    <w:basedOn w:val="1"/>
    <w:qFormat/>
    <w:uiPriority w:val="0"/>
    <w:pPr>
      <w:widowControl/>
      <w:pBdr>
        <w:left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12">
    <w:name w:val="xl84"/>
    <w:basedOn w:val="1"/>
    <w:qFormat/>
    <w:uiPriority w:val="0"/>
    <w:pPr>
      <w:widowControl/>
      <w:pBdr>
        <w:left w:val="single" w:color="auto" w:sz="8" w:space="0"/>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13">
    <w:name w:val="xl85"/>
    <w:basedOn w:val="1"/>
    <w:qFormat/>
    <w:uiPriority w:val="0"/>
    <w:pPr>
      <w:widowControl/>
      <w:pBdr>
        <w:top w:val="single" w:color="auto" w:sz="8" w:space="0"/>
        <w:left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cs="Times New Roman"/>
      <w:kern w:val="0"/>
      <w:sz w:val="21"/>
      <w:szCs w:val="21"/>
    </w:rPr>
  </w:style>
  <w:style w:type="paragraph" w:customStyle="1" w:styleId="314">
    <w:name w:val="xl86"/>
    <w:basedOn w:val="1"/>
    <w:qFormat/>
    <w:uiPriority w:val="0"/>
    <w:pPr>
      <w:widowControl/>
      <w:pBdr>
        <w:top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15">
    <w:name w:val="xl87"/>
    <w:basedOn w:val="1"/>
    <w:uiPriority w:val="0"/>
    <w:pPr>
      <w:widowControl/>
      <w:pBdr>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16">
    <w:name w:val="xl88"/>
    <w:basedOn w:val="1"/>
    <w:qFormat/>
    <w:uiPriority w:val="0"/>
    <w:pPr>
      <w:widowControl/>
      <w:pBdr>
        <w:bottom w:val="single" w:color="auto" w:sz="12"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cs="Times New Roman"/>
      <w:kern w:val="0"/>
      <w:sz w:val="18"/>
      <w:szCs w:val="18"/>
    </w:rPr>
  </w:style>
  <w:style w:type="paragraph" w:customStyle="1" w:styleId="317">
    <w:name w:val="xl89"/>
    <w:basedOn w:val="1"/>
    <w:qFormat/>
    <w:uiPriority w:val="0"/>
    <w:pPr>
      <w:widowControl/>
      <w:pBdr>
        <w:top w:val="single" w:color="auto" w:sz="8" w:space="0"/>
        <w:lef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18">
    <w:name w:val="xl90"/>
    <w:basedOn w:val="1"/>
    <w:qFormat/>
    <w:uiPriority w:val="0"/>
    <w:pPr>
      <w:widowControl/>
      <w:pBdr>
        <w:top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19">
    <w:name w:val="xl91"/>
    <w:basedOn w:val="1"/>
    <w:qFormat/>
    <w:uiPriority w:val="0"/>
    <w:pPr>
      <w:widowControl/>
      <w:pBdr>
        <w:lef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0">
    <w:name w:val="xl92"/>
    <w:basedOn w:val="1"/>
    <w:qFormat/>
    <w:uiPriority w:val="0"/>
    <w:pPr>
      <w:widowControl/>
      <w:pBdr>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1">
    <w:name w:val="xl93"/>
    <w:basedOn w:val="1"/>
    <w:qFormat/>
    <w:uiPriority w:val="0"/>
    <w:pPr>
      <w:widowControl/>
      <w:pBdr>
        <w:left w:val="single" w:color="auto" w:sz="8" w:space="0"/>
        <w:bottom w:val="single" w:color="auto" w:sz="12"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2">
    <w:name w:val="xl94"/>
    <w:basedOn w:val="1"/>
    <w:qFormat/>
    <w:uiPriority w:val="0"/>
    <w:pPr>
      <w:widowControl/>
      <w:pBdr>
        <w:bottom w:val="single" w:color="auto" w:sz="12"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3">
    <w:name w:val="xl95"/>
    <w:basedOn w:val="1"/>
    <w:qFormat/>
    <w:uiPriority w:val="0"/>
    <w:pPr>
      <w:widowControl/>
      <w:pBdr>
        <w:left w:val="single" w:color="auto" w:sz="8" w:space="0"/>
        <w:bottom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4">
    <w:name w:val="xl96"/>
    <w:basedOn w:val="1"/>
    <w:qFormat/>
    <w:uiPriority w:val="0"/>
    <w:pPr>
      <w:widowControl/>
      <w:pBdr>
        <w:bottom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5">
    <w:name w:val="xl97"/>
    <w:basedOn w:val="1"/>
    <w:qFormat/>
    <w:uiPriority w:val="0"/>
    <w:pPr>
      <w:widowControl/>
      <w:pBdr>
        <w:left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6">
    <w:name w:val="xl98"/>
    <w:basedOn w:val="1"/>
    <w:qFormat/>
    <w:uiPriority w:val="0"/>
    <w:pPr>
      <w:widowControl/>
      <w:pBdr>
        <w:left w:val="single" w:color="auto" w:sz="8" w:space="0"/>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27">
    <w:name w:val="xl99"/>
    <w:basedOn w:val="1"/>
    <w:qFormat/>
    <w:uiPriority w:val="0"/>
    <w:pPr>
      <w:widowControl/>
      <w:pBdr>
        <w:top w:val="single" w:color="auto" w:sz="8" w:space="0"/>
        <w:lef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28">
    <w:name w:val="xl100"/>
    <w:basedOn w:val="1"/>
    <w:qFormat/>
    <w:uiPriority w:val="0"/>
    <w:pPr>
      <w:widowControl/>
      <w:pBdr>
        <w:lef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29">
    <w:name w:val="xl101"/>
    <w:basedOn w:val="1"/>
    <w:qFormat/>
    <w:uiPriority w:val="0"/>
    <w:pPr>
      <w:widowControl/>
      <w:pBdr>
        <w:left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0">
    <w:name w:val="xl102"/>
    <w:basedOn w:val="1"/>
    <w:qFormat/>
    <w:uiPriority w:val="0"/>
    <w:pPr>
      <w:widowControl/>
      <w:pBdr>
        <w:left w:val="single" w:color="auto" w:sz="8" w:space="0"/>
        <w:bottom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1">
    <w:name w:val="xl103"/>
    <w:basedOn w:val="1"/>
    <w:qFormat/>
    <w:uiPriority w:val="0"/>
    <w:pPr>
      <w:widowControl/>
      <w:pBdr>
        <w:top w:val="single" w:color="auto" w:sz="8" w:space="0"/>
        <w:left w:val="single" w:color="auto" w:sz="8" w:space="0"/>
        <w:right w:val="single" w:color="auto" w:sz="8" w:space="0"/>
      </w:pBdr>
      <w:shd w:val="clear" w:color="000000" w:fill="9BBB59"/>
      <w:adjustRightInd/>
      <w:snapToGrid/>
      <w:spacing w:before="100" w:beforeAutospacing="1" w:after="100" w:afterAutospacing="1" w:line="240" w:lineRule="auto"/>
      <w:ind w:firstLine="0" w:firstLineChars="0"/>
      <w:jc w:val="center"/>
      <w:textAlignment w:val="center"/>
    </w:pPr>
    <w:rPr>
      <w:rFonts w:ascii="宋体" w:hAnsi="宋体"/>
      <w:kern w:val="0"/>
      <w:sz w:val="21"/>
      <w:szCs w:val="21"/>
    </w:rPr>
  </w:style>
  <w:style w:type="paragraph" w:customStyle="1" w:styleId="332">
    <w:name w:val="xl104"/>
    <w:basedOn w:val="1"/>
    <w:qFormat/>
    <w:uiPriority w:val="0"/>
    <w:pPr>
      <w:widowControl/>
      <w:pBdr>
        <w:top w:val="single" w:color="auto" w:sz="12" w:space="0"/>
        <w:left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3">
    <w:name w:val="xl105"/>
    <w:basedOn w:val="1"/>
    <w:qFormat/>
    <w:uiPriority w:val="0"/>
    <w:pPr>
      <w:widowControl/>
      <w:pBdr>
        <w:left w:val="single" w:color="auto" w:sz="8" w:space="0"/>
        <w:bottom w:val="single" w:color="auto" w:sz="8"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4">
    <w:name w:val="xl106"/>
    <w:basedOn w:val="1"/>
    <w:uiPriority w:val="0"/>
    <w:pPr>
      <w:widowControl/>
      <w:pBdr>
        <w:top w:val="single" w:color="auto" w:sz="12" w:space="0"/>
        <w:left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5">
    <w:name w:val="xl107"/>
    <w:basedOn w:val="1"/>
    <w:qFormat/>
    <w:uiPriority w:val="0"/>
    <w:pPr>
      <w:widowControl/>
      <w:pBdr>
        <w:left w:val="single" w:color="auto" w:sz="8" w:space="0"/>
        <w:bottom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6">
    <w:name w:val="xl108"/>
    <w:basedOn w:val="1"/>
    <w:qFormat/>
    <w:uiPriority w:val="0"/>
    <w:pPr>
      <w:widowControl/>
      <w:pBdr>
        <w:top w:val="single" w:color="auto" w:sz="12" w:space="0"/>
        <w:left w:val="single" w:color="auto" w:sz="8" w:space="0"/>
        <w:bottom w:val="single" w:color="auto" w:sz="8" w:space="0"/>
      </w:pBdr>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7">
    <w:name w:val="xl109"/>
    <w:basedOn w:val="1"/>
    <w:qFormat/>
    <w:uiPriority w:val="0"/>
    <w:pPr>
      <w:widowControl/>
      <w:pBdr>
        <w:top w:val="single" w:color="auto" w:sz="12" w:space="0"/>
        <w:bottom w:val="single" w:color="auto" w:sz="8" w:space="0"/>
      </w:pBdr>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8">
    <w:name w:val="xl110"/>
    <w:basedOn w:val="1"/>
    <w:qFormat/>
    <w:uiPriority w:val="0"/>
    <w:pPr>
      <w:widowControl/>
      <w:pBdr>
        <w:top w:val="single" w:color="auto" w:sz="12" w:space="0"/>
        <w:bottom w:val="single" w:color="auto" w:sz="8" w:space="0"/>
        <w:right w:val="single" w:color="auto" w:sz="8" w:space="0"/>
      </w:pBdr>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39">
    <w:name w:val="xl111"/>
    <w:basedOn w:val="1"/>
    <w:qFormat/>
    <w:uiPriority w:val="0"/>
    <w:pPr>
      <w:widowControl/>
      <w:pBdr>
        <w:top w:val="single" w:color="auto" w:sz="12" w:space="0"/>
        <w:righ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40">
    <w:name w:val="xl112"/>
    <w:basedOn w:val="1"/>
    <w:qFormat/>
    <w:uiPriority w:val="0"/>
    <w:pPr>
      <w:widowControl/>
      <w:pBdr>
        <w:top w:val="single" w:color="auto" w:sz="12" w:space="0"/>
        <w:left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paragraph" w:customStyle="1" w:styleId="341">
    <w:name w:val="xl113"/>
    <w:basedOn w:val="1"/>
    <w:qFormat/>
    <w:uiPriority w:val="0"/>
    <w:pPr>
      <w:widowControl/>
      <w:pBdr>
        <w:left w:val="single" w:color="auto" w:sz="8" w:space="0"/>
        <w:bottom w:val="single" w:color="auto" w:sz="8" w:space="0"/>
      </w:pBdr>
      <w:shd w:val="clear" w:color="000000" w:fill="808080"/>
      <w:adjustRightInd/>
      <w:snapToGrid/>
      <w:spacing w:before="100" w:beforeAutospacing="1" w:after="100" w:afterAutospacing="1" w:line="240" w:lineRule="auto"/>
      <w:ind w:firstLine="0" w:firstLineChars="0"/>
      <w:jc w:val="center"/>
      <w:textAlignment w:val="center"/>
    </w:pPr>
    <w:rPr>
      <w:rFonts w:ascii="宋体" w:hAnsi="宋体"/>
      <w:kern w:val="0"/>
      <w:sz w:val="18"/>
      <w:szCs w:val="18"/>
    </w:rPr>
  </w:style>
  <w:style w:type="character" w:customStyle="1" w:styleId="342">
    <w:name w:val="注释标题 字符"/>
    <w:link w:val="12"/>
    <w:qFormat/>
    <w:uiPriority w:val="0"/>
    <w:rPr>
      <w:rFonts w:ascii="Times New Roman" w:hAnsi="Times New Roman" w:cs="宋体"/>
      <w:kern w:val="2"/>
      <w:sz w:val="24"/>
      <w:szCs w:val="22"/>
    </w:rPr>
  </w:style>
  <w:style w:type="character" w:customStyle="1" w:styleId="343">
    <w:name w:val="Char Style 24"/>
    <w:link w:val="344"/>
    <w:qFormat/>
    <w:uiPriority w:val="0"/>
    <w:rPr>
      <w:rFonts w:ascii="黑体" w:hAnsi="黑体" w:eastAsia="黑体" w:cs="黑体"/>
      <w:b/>
      <w:bCs/>
      <w:sz w:val="30"/>
      <w:szCs w:val="30"/>
      <w:lang w:val="zh-CN" w:bidi="zh-CN"/>
    </w:rPr>
  </w:style>
  <w:style w:type="paragraph" w:customStyle="1" w:styleId="344">
    <w:name w:val="Style 23"/>
    <w:basedOn w:val="1"/>
    <w:link w:val="343"/>
    <w:qFormat/>
    <w:uiPriority w:val="0"/>
    <w:pPr>
      <w:adjustRightInd/>
      <w:snapToGrid/>
      <w:spacing w:before="250" w:after="200" w:line="240" w:lineRule="auto"/>
      <w:ind w:firstLine="70" w:firstLineChars="0"/>
      <w:jc w:val="left"/>
      <w:outlineLvl w:val="0"/>
    </w:pPr>
    <w:rPr>
      <w:rFonts w:ascii="黑体" w:hAnsi="黑体" w:eastAsia="黑体" w:cs="黑体"/>
      <w:b/>
      <w:bCs/>
      <w:kern w:val="0"/>
      <w:sz w:val="30"/>
      <w:szCs w:val="30"/>
      <w:lang w:val="zh-CN" w:bidi="zh-CN"/>
    </w:rPr>
  </w:style>
  <w:style w:type="character" w:customStyle="1" w:styleId="345">
    <w:name w:val="Char Style 21"/>
    <w:link w:val="346"/>
    <w:qFormat/>
    <w:uiPriority w:val="0"/>
    <w:rPr>
      <w:rFonts w:ascii="宋体" w:hAnsi="宋体" w:cs="宋体"/>
      <w:lang w:val="zh-CN" w:bidi="zh-CN"/>
    </w:rPr>
  </w:style>
  <w:style w:type="paragraph" w:customStyle="1" w:styleId="346">
    <w:name w:val="Style 20"/>
    <w:basedOn w:val="1"/>
    <w:link w:val="345"/>
    <w:uiPriority w:val="0"/>
    <w:pPr>
      <w:adjustRightInd/>
      <w:snapToGrid/>
      <w:spacing w:line="403" w:lineRule="auto"/>
      <w:ind w:firstLine="400" w:firstLineChars="0"/>
      <w:jc w:val="left"/>
    </w:pPr>
    <w:rPr>
      <w:rFonts w:ascii="宋体" w:hAnsi="宋体"/>
      <w:kern w:val="0"/>
      <w:sz w:val="20"/>
      <w:szCs w:val="20"/>
      <w:lang w:val="zh-CN" w:bidi="zh-CN"/>
    </w:rPr>
  </w:style>
  <w:style w:type="character" w:customStyle="1" w:styleId="347">
    <w:name w:val="Char Style 3"/>
    <w:link w:val="348"/>
    <w:qFormat/>
    <w:uiPriority w:val="0"/>
    <w:rPr>
      <w:rFonts w:ascii="宋体" w:hAnsi="宋体" w:cs="宋体"/>
      <w:lang w:val="zh-CN" w:bidi="zh-CN"/>
    </w:rPr>
  </w:style>
  <w:style w:type="paragraph" w:customStyle="1" w:styleId="348">
    <w:name w:val="Style 2"/>
    <w:basedOn w:val="1"/>
    <w:link w:val="347"/>
    <w:qFormat/>
    <w:uiPriority w:val="0"/>
    <w:pPr>
      <w:adjustRightInd/>
      <w:snapToGrid/>
      <w:spacing w:line="403" w:lineRule="auto"/>
      <w:ind w:firstLine="400" w:firstLineChars="0"/>
      <w:jc w:val="left"/>
    </w:pPr>
    <w:rPr>
      <w:rFonts w:ascii="宋体" w:hAnsi="宋体"/>
      <w:kern w:val="0"/>
      <w:sz w:val="20"/>
      <w:szCs w:val="20"/>
      <w:lang w:val="zh-CN" w:bidi="zh-CN"/>
    </w:rPr>
  </w:style>
  <w:style w:type="character" w:customStyle="1" w:styleId="349">
    <w:name w:val="Char Style 14"/>
    <w:link w:val="350"/>
    <w:qFormat/>
    <w:uiPriority w:val="0"/>
    <w:rPr>
      <w:rFonts w:ascii="黑体" w:hAnsi="黑体" w:eastAsia="黑体" w:cs="黑体"/>
      <w:lang w:val="zh-CN" w:bidi="zh-CN"/>
    </w:rPr>
  </w:style>
  <w:style w:type="paragraph" w:customStyle="1" w:styleId="350">
    <w:name w:val="Style 13"/>
    <w:basedOn w:val="1"/>
    <w:link w:val="349"/>
    <w:qFormat/>
    <w:uiPriority w:val="0"/>
    <w:pPr>
      <w:adjustRightInd/>
      <w:snapToGrid/>
      <w:spacing w:after="140" w:line="240" w:lineRule="auto"/>
      <w:ind w:firstLine="440" w:firstLineChars="0"/>
      <w:jc w:val="left"/>
    </w:pPr>
    <w:rPr>
      <w:rFonts w:ascii="黑体" w:hAnsi="黑体" w:eastAsia="黑体" w:cs="黑体"/>
      <w:kern w:val="0"/>
      <w:sz w:val="20"/>
      <w:szCs w:val="20"/>
      <w:lang w:val="zh-CN" w:bidi="zh-CN"/>
    </w:rPr>
  </w:style>
  <w:style w:type="character" w:customStyle="1" w:styleId="351">
    <w:name w:val="Char Style 19"/>
    <w:link w:val="352"/>
    <w:qFormat/>
    <w:uiPriority w:val="0"/>
    <w:rPr>
      <w:rFonts w:ascii="宋体" w:hAnsi="宋体" w:cs="宋体"/>
      <w:b/>
      <w:bCs/>
      <w:sz w:val="28"/>
      <w:szCs w:val="28"/>
      <w:lang w:val="zh-CN" w:bidi="zh-CN"/>
    </w:rPr>
  </w:style>
  <w:style w:type="paragraph" w:customStyle="1" w:styleId="352">
    <w:name w:val="Style 18"/>
    <w:basedOn w:val="1"/>
    <w:link w:val="351"/>
    <w:qFormat/>
    <w:uiPriority w:val="0"/>
    <w:pPr>
      <w:adjustRightInd/>
      <w:snapToGrid/>
      <w:spacing w:line="240" w:lineRule="auto"/>
      <w:ind w:firstLine="0" w:firstLineChars="0"/>
      <w:jc w:val="left"/>
    </w:pPr>
    <w:rPr>
      <w:rFonts w:ascii="宋体" w:hAnsi="宋体"/>
      <w:b/>
      <w:bCs/>
      <w:kern w:val="0"/>
      <w:sz w:val="28"/>
      <w:szCs w:val="28"/>
      <w:lang w:val="zh-CN" w:bidi="zh-CN"/>
    </w:rPr>
  </w:style>
  <w:style w:type="character" w:customStyle="1" w:styleId="353">
    <w:name w:val="Char Style 27"/>
    <w:link w:val="354"/>
    <w:qFormat/>
    <w:uiPriority w:val="0"/>
    <w:rPr>
      <w:lang w:val="zh-CN" w:bidi="zh-CN"/>
    </w:rPr>
  </w:style>
  <w:style w:type="paragraph" w:customStyle="1" w:styleId="354">
    <w:name w:val="Style 26"/>
    <w:basedOn w:val="1"/>
    <w:link w:val="353"/>
    <w:qFormat/>
    <w:uiPriority w:val="0"/>
    <w:pPr>
      <w:adjustRightInd/>
      <w:snapToGrid/>
      <w:spacing w:line="240" w:lineRule="auto"/>
      <w:ind w:firstLine="0" w:firstLineChars="0"/>
      <w:jc w:val="left"/>
    </w:pPr>
    <w:rPr>
      <w:rFonts w:ascii="Calibri" w:hAnsi="Calibri" w:cs="Times New Roman"/>
      <w:kern w:val="0"/>
      <w:sz w:val="20"/>
      <w:szCs w:val="20"/>
      <w:lang w:val="zh-CN" w:bidi="zh-CN"/>
    </w:rPr>
  </w:style>
  <w:style w:type="character" w:customStyle="1" w:styleId="355">
    <w:name w:val="Char Style 30"/>
    <w:link w:val="356"/>
    <w:qFormat/>
    <w:uiPriority w:val="0"/>
    <w:rPr>
      <w:rFonts w:ascii="宋体" w:hAnsi="宋体" w:cs="宋体"/>
      <w:b/>
      <w:bCs/>
      <w:lang w:val="zh-CN" w:bidi="zh-CN"/>
    </w:rPr>
  </w:style>
  <w:style w:type="paragraph" w:customStyle="1" w:styleId="356">
    <w:name w:val="Style 29"/>
    <w:basedOn w:val="1"/>
    <w:link w:val="355"/>
    <w:qFormat/>
    <w:uiPriority w:val="0"/>
    <w:pPr>
      <w:adjustRightInd/>
      <w:snapToGrid/>
      <w:spacing w:line="394" w:lineRule="auto"/>
      <w:ind w:firstLine="0" w:firstLineChars="0"/>
      <w:jc w:val="left"/>
      <w:outlineLvl w:val="1"/>
    </w:pPr>
    <w:rPr>
      <w:rFonts w:ascii="宋体" w:hAnsi="宋体"/>
      <w:b/>
      <w:bCs/>
      <w:kern w:val="0"/>
      <w:sz w:val="20"/>
      <w:szCs w:val="20"/>
      <w:lang w:val="zh-CN" w:bidi="zh-CN"/>
    </w:rPr>
  </w:style>
  <w:style w:type="character" w:customStyle="1" w:styleId="357">
    <w:name w:val="Char Style 35"/>
    <w:link w:val="358"/>
    <w:qFormat/>
    <w:uiPriority w:val="0"/>
    <w:rPr>
      <w:rFonts w:ascii="宋体" w:hAnsi="宋体" w:cs="宋体"/>
      <w:lang w:val="zh-CN" w:bidi="zh-CN"/>
    </w:rPr>
  </w:style>
  <w:style w:type="paragraph" w:customStyle="1" w:styleId="358">
    <w:name w:val="Style 34"/>
    <w:basedOn w:val="1"/>
    <w:link w:val="357"/>
    <w:qFormat/>
    <w:uiPriority w:val="0"/>
    <w:pPr>
      <w:adjustRightInd/>
      <w:snapToGrid/>
      <w:spacing w:line="240" w:lineRule="auto"/>
      <w:ind w:firstLine="0" w:firstLineChars="0"/>
      <w:jc w:val="left"/>
    </w:pPr>
    <w:rPr>
      <w:rFonts w:ascii="宋体" w:hAnsi="宋体"/>
      <w:kern w:val="0"/>
      <w:sz w:val="20"/>
      <w:szCs w:val="20"/>
      <w:lang w:val="zh-CN" w:bidi="zh-CN"/>
    </w:rPr>
  </w:style>
  <w:style w:type="character" w:customStyle="1" w:styleId="359">
    <w:name w:val="Char Style 40"/>
    <w:link w:val="360"/>
    <w:qFormat/>
    <w:uiPriority w:val="0"/>
    <w:rPr>
      <w:rFonts w:ascii="宋体" w:hAnsi="宋体" w:cs="宋体"/>
      <w:lang w:val="zh-CN" w:bidi="zh-CN"/>
    </w:rPr>
  </w:style>
  <w:style w:type="paragraph" w:customStyle="1" w:styleId="360">
    <w:name w:val="Style 39"/>
    <w:basedOn w:val="1"/>
    <w:link w:val="359"/>
    <w:qFormat/>
    <w:uiPriority w:val="0"/>
    <w:pPr>
      <w:adjustRightInd/>
      <w:snapToGrid/>
      <w:spacing w:line="240" w:lineRule="auto"/>
      <w:ind w:firstLine="0" w:firstLineChars="0"/>
      <w:jc w:val="left"/>
    </w:pPr>
    <w:rPr>
      <w:rFonts w:ascii="宋体" w:hAnsi="宋体"/>
      <w:kern w:val="0"/>
      <w:sz w:val="20"/>
      <w:szCs w:val="20"/>
      <w:lang w:val="zh-CN" w:bidi="zh-CN"/>
    </w:rPr>
  </w:style>
  <w:style w:type="character" w:customStyle="1" w:styleId="361">
    <w:name w:val="Char Style 46"/>
    <w:link w:val="362"/>
    <w:qFormat/>
    <w:uiPriority w:val="0"/>
    <w:rPr>
      <w:rFonts w:ascii="宋体" w:hAnsi="宋体" w:cs="宋体"/>
      <w:lang w:val="zh-CN" w:bidi="zh-CN"/>
    </w:rPr>
  </w:style>
  <w:style w:type="paragraph" w:customStyle="1" w:styleId="362">
    <w:name w:val="Style 45"/>
    <w:basedOn w:val="1"/>
    <w:link w:val="361"/>
    <w:qFormat/>
    <w:uiPriority w:val="0"/>
    <w:pPr>
      <w:adjustRightInd/>
      <w:snapToGrid/>
      <w:spacing w:line="406" w:lineRule="auto"/>
      <w:ind w:firstLine="0" w:firstLineChars="0"/>
      <w:jc w:val="left"/>
      <w:outlineLvl w:val="2"/>
    </w:pPr>
    <w:rPr>
      <w:rFonts w:ascii="宋体" w:hAnsi="宋体"/>
      <w:kern w:val="0"/>
      <w:sz w:val="20"/>
      <w:szCs w:val="20"/>
      <w:lang w:val="zh-CN" w:bidi="zh-CN"/>
    </w:rPr>
  </w:style>
  <w:style w:type="character" w:customStyle="1" w:styleId="363">
    <w:name w:val="Char Style 53"/>
    <w:link w:val="364"/>
    <w:qFormat/>
    <w:uiPriority w:val="0"/>
    <w:rPr>
      <w:rFonts w:ascii="宋体" w:hAnsi="宋体" w:cs="宋体"/>
      <w:b/>
      <w:bCs/>
      <w:lang w:val="zh-CN" w:bidi="zh-CN"/>
    </w:rPr>
  </w:style>
  <w:style w:type="paragraph" w:customStyle="1" w:styleId="364">
    <w:name w:val="Style 52"/>
    <w:basedOn w:val="1"/>
    <w:link w:val="363"/>
    <w:qFormat/>
    <w:uiPriority w:val="0"/>
    <w:pPr>
      <w:adjustRightInd/>
      <w:snapToGrid/>
      <w:spacing w:line="240" w:lineRule="auto"/>
      <w:ind w:firstLine="0" w:firstLineChars="0"/>
      <w:jc w:val="left"/>
    </w:pPr>
    <w:rPr>
      <w:rFonts w:ascii="宋体" w:hAnsi="宋体"/>
      <w:b/>
      <w:bCs/>
      <w:kern w:val="0"/>
      <w:sz w:val="20"/>
      <w:szCs w:val="20"/>
      <w:lang w:val="zh-CN" w:bidi="zh-CN"/>
    </w:rPr>
  </w:style>
  <w:style w:type="character" w:customStyle="1" w:styleId="365">
    <w:name w:val="Char Style 62"/>
    <w:link w:val="366"/>
    <w:qFormat/>
    <w:uiPriority w:val="0"/>
    <w:rPr>
      <w:lang w:val="zh-CN" w:bidi="zh-CN"/>
    </w:rPr>
  </w:style>
  <w:style w:type="paragraph" w:customStyle="1" w:styleId="366">
    <w:name w:val="Style 61"/>
    <w:basedOn w:val="1"/>
    <w:link w:val="365"/>
    <w:qFormat/>
    <w:uiPriority w:val="0"/>
    <w:pPr>
      <w:adjustRightInd/>
      <w:snapToGrid/>
      <w:spacing w:line="466" w:lineRule="exact"/>
      <w:ind w:firstLine="500" w:firstLineChars="0"/>
      <w:jc w:val="left"/>
    </w:pPr>
    <w:rPr>
      <w:rFonts w:ascii="Calibri" w:hAnsi="Calibri" w:cs="Times New Roman"/>
      <w:kern w:val="0"/>
      <w:sz w:val="20"/>
      <w:szCs w:val="20"/>
      <w:lang w:val="zh-CN" w:bidi="zh-CN"/>
    </w:rPr>
  </w:style>
  <w:style w:type="character" w:customStyle="1" w:styleId="367">
    <w:name w:val="Char Style 65"/>
    <w:link w:val="368"/>
    <w:qFormat/>
    <w:uiPriority w:val="0"/>
    <w:rPr>
      <w:sz w:val="18"/>
      <w:szCs w:val="18"/>
      <w:lang w:val="zh-CN" w:bidi="zh-CN"/>
    </w:rPr>
  </w:style>
  <w:style w:type="paragraph" w:customStyle="1" w:styleId="368">
    <w:name w:val="Style 64"/>
    <w:basedOn w:val="1"/>
    <w:link w:val="367"/>
    <w:qFormat/>
    <w:uiPriority w:val="0"/>
    <w:pPr>
      <w:adjustRightInd/>
      <w:snapToGrid/>
      <w:spacing w:line="240" w:lineRule="auto"/>
      <w:ind w:firstLine="0" w:firstLineChars="0"/>
      <w:jc w:val="left"/>
    </w:pPr>
    <w:rPr>
      <w:rFonts w:ascii="Calibri" w:hAnsi="Calibri" w:cs="Times New Roman"/>
      <w:kern w:val="0"/>
      <w:sz w:val="18"/>
      <w:szCs w:val="18"/>
      <w:lang w:val="zh-CN" w:bidi="zh-CN"/>
    </w:rPr>
  </w:style>
  <w:style w:type="character" w:customStyle="1" w:styleId="369">
    <w:name w:val="Char Style 75"/>
    <w:link w:val="370"/>
    <w:qFormat/>
    <w:uiPriority w:val="0"/>
    <w:rPr>
      <w:sz w:val="18"/>
      <w:szCs w:val="18"/>
      <w:lang w:val="zh-CN" w:bidi="zh-CN"/>
    </w:rPr>
  </w:style>
  <w:style w:type="paragraph" w:customStyle="1" w:styleId="370">
    <w:name w:val="Style 74"/>
    <w:basedOn w:val="1"/>
    <w:link w:val="369"/>
    <w:qFormat/>
    <w:uiPriority w:val="0"/>
    <w:pPr>
      <w:adjustRightInd/>
      <w:snapToGrid/>
      <w:spacing w:after="200" w:line="293" w:lineRule="exact"/>
      <w:ind w:firstLine="0" w:firstLineChars="0"/>
      <w:jc w:val="center"/>
    </w:pPr>
    <w:rPr>
      <w:rFonts w:ascii="Calibri" w:hAnsi="Calibri" w:cs="Times New Roman"/>
      <w:kern w:val="0"/>
      <w:sz w:val="18"/>
      <w:szCs w:val="18"/>
      <w:lang w:val="zh-CN" w:bidi="zh-CN"/>
    </w:rPr>
  </w:style>
  <w:style w:type="character" w:customStyle="1" w:styleId="371">
    <w:name w:val="Char Style 87"/>
    <w:link w:val="372"/>
    <w:qFormat/>
    <w:uiPriority w:val="0"/>
    <w:rPr>
      <w:lang w:val="zh-CN"/>
    </w:rPr>
  </w:style>
  <w:style w:type="paragraph" w:customStyle="1" w:styleId="372">
    <w:name w:val="Style 86"/>
    <w:basedOn w:val="1"/>
    <w:link w:val="371"/>
    <w:qFormat/>
    <w:uiPriority w:val="0"/>
    <w:pPr>
      <w:adjustRightInd/>
      <w:snapToGrid/>
      <w:spacing w:line="240" w:lineRule="auto"/>
      <w:ind w:firstLine="0" w:firstLineChars="0"/>
      <w:jc w:val="left"/>
    </w:pPr>
    <w:rPr>
      <w:rFonts w:ascii="Calibri" w:hAnsi="Calibri" w:cs="Times New Roman"/>
      <w:kern w:val="0"/>
      <w:sz w:val="20"/>
      <w:szCs w:val="20"/>
      <w:lang w:val="zh-CN"/>
    </w:rPr>
  </w:style>
  <w:style w:type="character" w:customStyle="1" w:styleId="373">
    <w:name w:val="Char Style 111"/>
    <w:link w:val="374"/>
    <w:qFormat/>
    <w:uiPriority w:val="0"/>
    <w:rPr>
      <w:lang w:val="zh-CN"/>
    </w:rPr>
  </w:style>
  <w:style w:type="paragraph" w:customStyle="1" w:styleId="374">
    <w:name w:val="Style 110"/>
    <w:basedOn w:val="1"/>
    <w:link w:val="373"/>
    <w:qFormat/>
    <w:uiPriority w:val="0"/>
    <w:pPr>
      <w:adjustRightInd/>
      <w:snapToGrid/>
      <w:spacing w:line="240" w:lineRule="auto"/>
      <w:ind w:firstLine="0" w:firstLineChars="0"/>
      <w:jc w:val="left"/>
    </w:pPr>
    <w:rPr>
      <w:rFonts w:ascii="Calibri" w:hAnsi="Calibri" w:cs="Times New Roman"/>
      <w:kern w:val="0"/>
      <w:sz w:val="20"/>
      <w:szCs w:val="20"/>
      <w:lang w:val="zh-CN"/>
    </w:rPr>
  </w:style>
  <w:style w:type="character" w:customStyle="1" w:styleId="375">
    <w:name w:val="Char Style 121"/>
    <w:link w:val="376"/>
    <w:qFormat/>
    <w:uiPriority w:val="0"/>
    <w:rPr>
      <w:rFonts w:ascii="Arial" w:hAnsi="Arial" w:eastAsia="Arial" w:cs="Arial"/>
      <w:sz w:val="22"/>
      <w:szCs w:val="22"/>
      <w:lang w:val="zh-CN" w:bidi="zh-CN"/>
    </w:rPr>
  </w:style>
  <w:style w:type="paragraph" w:customStyle="1" w:styleId="376">
    <w:name w:val="Style 120"/>
    <w:basedOn w:val="1"/>
    <w:link w:val="375"/>
    <w:uiPriority w:val="0"/>
    <w:pPr>
      <w:adjustRightInd/>
      <w:snapToGrid/>
      <w:spacing w:line="240" w:lineRule="auto"/>
      <w:ind w:firstLine="0" w:firstLineChars="0"/>
      <w:jc w:val="left"/>
    </w:pPr>
    <w:rPr>
      <w:rFonts w:ascii="Arial" w:hAnsi="Arial" w:eastAsia="Arial" w:cs="Arial"/>
      <w:kern w:val="0"/>
      <w:sz w:val="22"/>
      <w:lang w:val="zh-CN" w:bidi="zh-CN"/>
    </w:rPr>
  </w:style>
  <w:style w:type="character" w:customStyle="1" w:styleId="377">
    <w:name w:val="Char Style 136"/>
    <w:link w:val="378"/>
    <w:qFormat/>
    <w:uiPriority w:val="0"/>
    <w:rPr>
      <w:i/>
      <w:iCs/>
      <w:sz w:val="14"/>
      <w:szCs w:val="14"/>
      <w:lang w:val="zh-CN" w:bidi="zh-CN"/>
    </w:rPr>
  </w:style>
  <w:style w:type="paragraph" w:customStyle="1" w:styleId="378">
    <w:name w:val="Style 135"/>
    <w:basedOn w:val="1"/>
    <w:link w:val="377"/>
    <w:qFormat/>
    <w:uiPriority w:val="0"/>
    <w:pPr>
      <w:adjustRightInd/>
      <w:snapToGrid/>
      <w:spacing w:after="20" w:line="240" w:lineRule="auto"/>
      <w:ind w:firstLine="0" w:firstLineChars="0"/>
      <w:jc w:val="center"/>
    </w:pPr>
    <w:rPr>
      <w:rFonts w:ascii="Calibri" w:hAnsi="Calibri" w:cs="Times New Roman"/>
      <w:i/>
      <w:iCs/>
      <w:kern w:val="0"/>
      <w:sz w:val="14"/>
      <w:szCs w:val="14"/>
      <w:lang w:val="zh-CN" w:bidi="zh-CN"/>
    </w:rPr>
  </w:style>
  <w:style w:type="character" w:customStyle="1" w:styleId="379">
    <w:name w:val="Char Style 173"/>
    <w:link w:val="380"/>
    <w:qFormat/>
    <w:uiPriority w:val="0"/>
    <w:rPr>
      <w:rFonts w:ascii="宋体" w:hAnsi="宋体" w:cs="宋体"/>
      <w:b/>
      <w:bCs/>
      <w:lang w:val="zh-CN" w:bidi="zh-CN"/>
    </w:rPr>
  </w:style>
  <w:style w:type="paragraph" w:customStyle="1" w:styleId="380">
    <w:name w:val="Style 172"/>
    <w:basedOn w:val="1"/>
    <w:link w:val="379"/>
    <w:qFormat/>
    <w:uiPriority w:val="0"/>
    <w:pPr>
      <w:adjustRightInd/>
      <w:snapToGrid/>
      <w:spacing w:line="396" w:lineRule="auto"/>
      <w:ind w:firstLine="0" w:firstLineChars="0"/>
      <w:jc w:val="left"/>
      <w:outlineLvl w:val="3"/>
    </w:pPr>
    <w:rPr>
      <w:rFonts w:ascii="宋体" w:hAnsi="宋体"/>
      <w:b/>
      <w:bCs/>
      <w:kern w:val="0"/>
      <w:sz w:val="20"/>
      <w:szCs w:val="20"/>
      <w:lang w:val="zh-CN" w:bidi="zh-CN"/>
    </w:rPr>
  </w:style>
  <w:style w:type="character" w:customStyle="1" w:styleId="381">
    <w:name w:val="Char Style 12"/>
    <w:link w:val="382"/>
    <w:qFormat/>
    <w:uiPriority w:val="0"/>
    <w:rPr>
      <w:rFonts w:ascii="宋体" w:hAnsi="宋体" w:cs="宋体"/>
      <w:sz w:val="22"/>
      <w:szCs w:val="22"/>
      <w:lang w:val="zh-CN" w:bidi="zh-CN"/>
    </w:rPr>
  </w:style>
  <w:style w:type="paragraph" w:customStyle="1" w:styleId="382">
    <w:name w:val="Style 11"/>
    <w:basedOn w:val="1"/>
    <w:link w:val="381"/>
    <w:qFormat/>
    <w:uiPriority w:val="0"/>
    <w:pPr>
      <w:adjustRightInd/>
      <w:snapToGrid/>
      <w:spacing w:line="430" w:lineRule="auto"/>
      <w:ind w:firstLine="400" w:firstLineChars="0"/>
      <w:jc w:val="left"/>
    </w:pPr>
    <w:rPr>
      <w:rFonts w:ascii="宋体" w:hAnsi="宋体"/>
      <w:kern w:val="0"/>
      <w:sz w:val="22"/>
      <w:lang w:val="zh-CN" w:bidi="zh-CN"/>
    </w:rPr>
  </w:style>
  <w:style w:type="paragraph" w:customStyle="1" w:styleId="383">
    <w:name w:val="浩口正文"/>
    <w:basedOn w:val="1"/>
    <w:qFormat/>
    <w:uiPriority w:val="0"/>
    <w:pPr>
      <w:adjustRightInd/>
      <w:snapToGrid/>
      <w:spacing w:line="240" w:lineRule="auto"/>
      <w:ind w:firstLine="0" w:firstLineChars="0"/>
    </w:pPr>
    <w:rPr>
      <w:rFonts w:cs="Times New Roman"/>
      <w:sz w:val="28"/>
      <w:szCs w:val="28"/>
    </w:rPr>
  </w:style>
  <w:style w:type="paragraph" w:customStyle="1" w:styleId="384">
    <w:name w:val="Decimal Aligned"/>
    <w:basedOn w:val="1"/>
    <w:qFormat/>
    <w:uiPriority w:val="40"/>
    <w:pPr>
      <w:widowControl/>
      <w:tabs>
        <w:tab w:val="decimal" w:pos="360"/>
      </w:tabs>
      <w:adjustRightInd/>
      <w:snapToGrid/>
      <w:spacing w:after="200" w:line="276" w:lineRule="auto"/>
      <w:ind w:firstLine="0" w:firstLineChars="0"/>
      <w:jc w:val="left"/>
    </w:pPr>
    <w:rPr>
      <w:rFonts w:ascii="等线" w:hAnsi="等线" w:eastAsia="等线" w:cs="Times New Roman"/>
      <w:kern w:val="0"/>
      <w:sz w:val="22"/>
    </w:rPr>
  </w:style>
  <w:style w:type="paragraph" w:customStyle="1" w:styleId="385">
    <w:name w:val="font8"/>
    <w:basedOn w:val="1"/>
    <w:qFormat/>
    <w:uiPriority w:val="0"/>
    <w:pPr>
      <w:widowControl/>
      <w:adjustRightInd/>
      <w:snapToGrid/>
      <w:spacing w:before="100" w:beforeAutospacing="1" w:after="100" w:afterAutospacing="1" w:line="240" w:lineRule="auto"/>
      <w:ind w:firstLine="0" w:firstLineChars="0"/>
      <w:jc w:val="left"/>
    </w:pPr>
    <w:rPr>
      <w:rFonts w:cs="Times New Roman"/>
      <w:i/>
      <w:iCs/>
      <w:kern w:val="0"/>
      <w:sz w:val="20"/>
      <w:szCs w:val="20"/>
    </w:rPr>
  </w:style>
  <w:style w:type="paragraph" w:customStyle="1" w:styleId="386">
    <w:name w:val="font9"/>
    <w:basedOn w:val="1"/>
    <w:qFormat/>
    <w:uiPriority w:val="0"/>
    <w:pPr>
      <w:widowControl/>
      <w:adjustRightInd/>
      <w:snapToGrid/>
      <w:spacing w:before="100" w:beforeAutospacing="1" w:after="100" w:afterAutospacing="1" w:line="240" w:lineRule="auto"/>
      <w:ind w:firstLine="0" w:firstLineChars="0"/>
      <w:jc w:val="left"/>
    </w:pPr>
    <w:rPr>
      <w:rFonts w:ascii="宋体" w:hAnsi="宋体"/>
      <w:kern w:val="0"/>
      <w:sz w:val="20"/>
      <w:szCs w:val="20"/>
    </w:rPr>
  </w:style>
  <w:style w:type="paragraph" w:customStyle="1" w:styleId="387">
    <w:name w:val="font10"/>
    <w:basedOn w:val="1"/>
    <w:qFormat/>
    <w:uiPriority w:val="0"/>
    <w:pPr>
      <w:widowControl/>
      <w:adjustRightInd/>
      <w:snapToGrid/>
      <w:spacing w:before="100" w:beforeAutospacing="1" w:after="100" w:afterAutospacing="1" w:line="240" w:lineRule="auto"/>
      <w:ind w:firstLine="0" w:firstLineChars="0"/>
      <w:jc w:val="left"/>
    </w:pPr>
    <w:rPr>
      <w:rFonts w:ascii="宋体" w:hAnsi="宋体"/>
      <w:i/>
      <w:iCs/>
      <w:kern w:val="0"/>
      <w:sz w:val="20"/>
      <w:szCs w:val="20"/>
    </w:rPr>
  </w:style>
  <w:style w:type="paragraph" w:customStyle="1" w:styleId="388">
    <w:name w:val="TOC 标题11"/>
    <w:basedOn w:val="2"/>
    <w:next w:val="1"/>
    <w:unhideWhenUsed/>
    <w:qFormat/>
    <w:uiPriority w:val="39"/>
    <w:pPr>
      <w:keepNext/>
      <w:keepLines/>
      <w:widowControl/>
      <w:numPr>
        <w:numId w:val="0"/>
      </w:numPr>
      <w:adjustRightInd/>
      <w:snapToGrid/>
      <w:spacing w:before="240" w:line="259" w:lineRule="auto"/>
      <w:ind w:right="0"/>
      <w:jc w:val="left"/>
      <w:outlineLvl w:val="9"/>
    </w:pPr>
    <w:rPr>
      <w:rFonts w:ascii="等线 Light" w:hAnsi="等线 Light" w:eastAsia="等线 Light"/>
      <w:color w:val="2F5496"/>
      <w:kern w:val="0"/>
      <w:sz w:val="32"/>
      <w:szCs w:val="32"/>
    </w:rPr>
  </w:style>
  <w:style w:type="character" w:customStyle="1" w:styleId="389">
    <w:name w:val="标题 3 Char"/>
    <w:qFormat/>
    <w:uiPriority w:val="9"/>
    <w:rPr>
      <w:rFonts w:ascii="Times New Roman" w:hAnsi="Times New Roman"/>
      <w:b/>
      <w:bCs/>
      <w:sz w:val="24"/>
      <w:szCs w:val="32"/>
    </w:rPr>
  </w:style>
  <w:style w:type="character" w:customStyle="1" w:styleId="390">
    <w:name w:val="日期 字符"/>
    <w:link w:val="33"/>
    <w:qFormat/>
    <w:uiPriority w:val="0"/>
    <w:rPr>
      <w:rFonts w:ascii="Times New Roman" w:hAnsi="Times New Roman" w:eastAsia="Times New Roman"/>
      <w:color w:val="000000"/>
      <w:sz w:val="24"/>
      <w:szCs w:val="24"/>
      <w:lang w:eastAsia="en-US" w:bidi="en-US"/>
    </w:rPr>
  </w:style>
  <w:style w:type="character" w:customStyle="1" w:styleId="391">
    <w:name w:val="ref"/>
    <w:basedOn w:val="56"/>
    <w:uiPriority w:val="0"/>
  </w:style>
  <w:style w:type="character" w:customStyle="1" w:styleId="392">
    <w:name w:val="text_orsx5"/>
    <w:basedOn w:val="56"/>
    <w:qFormat/>
    <w:uiPriority w:val="0"/>
  </w:style>
  <w:style w:type="paragraph" w:customStyle="1" w:styleId="393">
    <w:name w:val="font12"/>
    <w:basedOn w:val="1"/>
    <w:qFormat/>
    <w:uiPriority w:val="0"/>
    <w:pPr>
      <w:widowControl/>
      <w:adjustRightInd/>
      <w:snapToGrid/>
      <w:spacing w:before="100" w:beforeAutospacing="1" w:after="100" w:afterAutospacing="1" w:line="240" w:lineRule="auto"/>
      <w:ind w:firstLine="0" w:firstLineChars="0"/>
      <w:jc w:val="left"/>
    </w:pPr>
    <w:rPr>
      <w:rFonts w:cs="Times New Roman"/>
      <w:i/>
      <w:iCs/>
      <w:color w:val="000000"/>
      <w:kern w:val="0"/>
      <w:sz w:val="18"/>
      <w:szCs w:val="18"/>
    </w:rPr>
  </w:style>
  <w:style w:type="paragraph" w:customStyle="1" w:styleId="394">
    <w:name w:val="font13"/>
    <w:basedOn w:val="1"/>
    <w:qFormat/>
    <w:uiPriority w:val="0"/>
    <w:pPr>
      <w:widowControl/>
      <w:adjustRightInd/>
      <w:snapToGrid/>
      <w:spacing w:before="100" w:beforeAutospacing="1" w:after="100" w:afterAutospacing="1" w:line="240" w:lineRule="auto"/>
      <w:ind w:firstLine="0" w:firstLineChars="0"/>
      <w:jc w:val="left"/>
    </w:pPr>
    <w:rPr>
      <w:rFonts w:cs="Times New Roman"/>
      <w:i/>
      <w:iCs/>
      <w:color w:val="000000"/>
      <w:kern w:val="0"/>
      <w:sz w:val="20"/>
      <w:szCs w:val="20"/>
    </w:rPr>
  </w:style>
  <w:style w:type="paragraph" w:customStyle="1" w:styleId="395">
    <w:name w:val="font14"/>
    <w:basedOn w:val="1"/>
    <w:qFormat/>
    <w:uiPriority w:val="0"/>
    <w:pPr>
      <w:widowControl/>
      <w:adjustRightInd/>
      <w:snapToGrid/>
      <w:spacing w:before="100" w:beforeAutospacing="1" w:after="100" w:afterAutospacing="1" w:line="240" w:lineRule="auto"/>
      <w:ind w:firstLine="0" w:firstLineChars="0"/>
      <w:jc w:val="left"/>
    </w:pPr>
    <w:rPr>
      <w:rFonts w:ascii="宋体" w:hAnsi="宋体"/>
      <w:color w:val="000000"/>
      <w:kern w:val="0"/>
      <w:sz w:val="20"/>
      <w:szCs w:val="20"/>
    </w:rPr>
  </w:style>
  <w:style w:type="paragraph" w:customStyle="1" w:styleId="396">
    <w:name w:val="font15"/>
    <w:basedOn w:val="1"/>
    <w:qFormat/>
    <w:uiPriority w:val="0"/>
    <w:pPr>
      <w:widowControl/>
      <w:adjustRightInd/>
      <w:snapToGrid/>
      <w:spacing w:before="100" w:beforeAutospacing="1" w:after="100" w:afterAutospacing="1" w:line="240" w:lineRule="auto"/>
      <w:ind w:firstLine="0" w:firstLineChars="0"/>
      <w:jc w:val="left"/>
    </w:pPr>
    <w:rPr>
      <w:rFonts w:cs="Times New Roman"/>
      <w:b/>
      <w:bCs/>
      <w:color w:val="000000"/>
      <w:kern w:val="0"/>
      <w:sz w:val="20"/>
      <w:szCs w:val="20"/>
    </w:rPr>
  </w:style>
  <w:style w:type="paragraph" w:customStyle="1" w:styleId="397">
    <w:name w:val="font16"/>
    <w:basedOn w:val="1"/>
    <w:qFormat/>
    <w:uiPriority w:val="0"/>
    <w:pPr>
      <w:widowControl/>
      <w:adjustRightInd/>
      <w:snapToGrid/>
      <w:spacing w:before="100" w:beforeAutospacing="1" w:after="100" w:afterAutospacing="1" w:line="240" w:lineRule="auto"/>
      <w:ind w:firstLine="0" w:firstLineChars="0"/>
      <w:jc w:val="left"/>
    </w:pPr>
    <w:rPr>
      <w:rFonts w:ascii="仿宋" w:hAnsi="仿宋" w:eastAsia="仿宋"/>
      <w:color w:val="000000"/>
      <w:kern w:val="0"/>
      <w:sz w:val="20"/>
      <w:szCs w:val="20"/>
    </w:rPr>
  </w:style>
  <w:style w:type="table" w:customStyle="1" w:styleId="398">
    <w:name w:val="网格型1"/>
    <w:basedOn w:val="53"/>
    <w:qFormat/>
    <w:uiPriority w:val="0"/>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399">
    <w:name w:val="报告表格1"/>
    <w:basedOn w:val="54"/>
    <w:qFormat/>
    <w:uiPriority w:val="0"/>
    <w:pPr>
      <w:jc w:val="center"/>
    </w:pPr>
    <w:rPr>
      <w:sz w:val="21"/>
    </w:rPr>
    <w:tblPr>
      <w:tblBorders>
        <w:top w:val="single" w:color="auto" w:sz="12" w:space="0"/>
        <w:bottom w:val="single" w:color="auto" w:sz="12" w:space="0"/>
        <w:insideH w:val="single" w:color="auto" w:sz="6" w:space="0"/>
        <w:insideV w:val="single" w:color="auto" w:sz="6" w:space="0"/>
      </w:tblBorders>
      <w:tblCellMar>
        <w:top w:w="28" w:type="dxa"/>
        <w:bottom w:w="28" w:type="dxa"/>
      </w:tblCellMar>
    </w:tblPr>
    <w:tcPr>
      <w:vAlign w:val="center"/>
    </w:tcPr>
    <w:tblStylePr w:type="firstRow">
      <w:rPr>
        <w:rFonts w:eastAsia="New York"/>
        <w:sz w:val="21"/>
      </w:rPr>
      <w:tcPr>
        <w:tcBorders>
          <w:top w:val="single" w:color="auto" w:sz="12" w:space="0"/>
          <w:left w:val="nil"/>
          <w:bottom w:val="nil"/>
          <w:right w:val="nil"/>
          <w:insideH w:val="single" w:sz="6" w:space="0"/>
          <w:insideV w:val="single" w:sz="6" w:space="0"/>
          <w:tl2br w:val="nil"/>
          <w:tr2bl w:val="nil"/>
        </w:tcBorders>
      </w:tcPr>
    </w:tblStylePr>
    <w:tblStylePr w:type="lastRow">
      <w:tcPr>
        <w:tcBorders>
          <w:bottom w:val="single" w:color="auto" w:sz="12" w:space="0"/>
        </w:tcBorders>
      </w:tcPr>
    </w:tblStylePr>
  </w:style>
  <w:style w:type="character" w:customStyle="1" w:styleId="400">
    <w:name w:val="正文文本 (2) + Sylfaen3"/>
    <w:qFormat/>
    <w:uiPriority w:val="99"/>
    <w:rPr>
      <w:rFonts w:ascii="Sylfaen" w:hAnsi="Sylfaen" w:eastAsia="MingLiU" w:cs="Sylfaen"/>
      <w:spacing w:val="60"/>
      <w:sz w:val="20"/>
      <w:szCs w:val="20"/>
      <w:shd w:val="clear" w:color="auto" w:fill="FFFFFF"/>
      <w:lang w:eastAsia="en-US"/>
    </w:rPr>
  </w:style>
  <w:style w:type="character" w:customStyle="1" w:styleId="401">
    <w:name w:val="纯文本 字符"/>
    <w:link w:val="29"/>
    <w:uiPriority w:val="0"/>
    <w:rPr>
      <w:rFonts w:ascii="宋体" w:hAnsi="Courier New"/>
      <w:kern w:val="2"/>
      <w:sz w:val="21"/>
    </w:rPr>
  </w:style>
  <w:style w:type="character" w:customStyle="1" w:styleId="402">
    <w:name w:val="纯文本 字符1"/>
    <w:basedOn w:val="56"/>
    <w:uiPriority w:val="0"/>
    <w:rPr>
      <w:rFonts w:hAnsi="Courier New" w:cs="Courier New" w:asciiTheme="minorEastAsia" w:eastAsiaTheme="minorEastAsia"/>
      <w:kern w:val="2"/>
      <w:sz w:val="24"/>
      <w:szCs w:val="22"/>
    </w:rPr>
  </w:style>
  <w:style w:type="paragraph" w:customStyle="1" w:styleId="403">
    <w:name w:val="报告书正文"/>
    <w:basedOn w:val="1"/>
    <w:link w:val="426"/>
    <w:uiPriority w:val="0"/>
    <w:pPr>
      <w:adjustRightInd/>
      <w:snapToGrid/>
      <w:spacing w:line="300" w:lineRule="auto"/>
    </w:pPr>
    <w:rPr>
      <w:rFonts w:cs="Times New Roman"/>
      <w:szCs w:val="20"/>
    </w:rPr>
  </w:style>
  <w:style w:type="paragraph" w:customStyle="1" w:styleId="404">
    <w:name w:val="正文 lsp"/>
    <w:basedOn w:val="1"/>
    <w:uiPriority w:val="0"/>
    <w:pPr>
      <w:adjustRightInd/>
      <w:snapToGrid/>
      <w:ind w:firstLine="480"/>
    </w:pPr>
    <w:rPr>
      <w:rFonts w:ascii="宋体" w:cs="Times New Roman"/>
      <w:szCs w:val="20"/>
    </w:rPr>
  </w:style>
  <w:style w:type="paragraph" w:customStyle="1" w:styleId="405">
    <w:name w:val="Char1 Char Char Char Char Char Char Char"/>
    <w:basedOn w:val="1"/>
    <w:uiPriority w:val="0"/>
    <w:pPr>
      <w:adjustRightInd/>
      <w:snapToGrid/>
    </w:pPr>
    <w:rPr>
      <w:rFonts w:ascii="宋体" w:hAnsi="宋体"/>
      <w:szCs w:val="24"/>
    </w:rPr>
  </w:style>
  <w:style w:type="character" w:customStyle="1" w:styleId="406">
    <w:name w:val="样式2 Char Char"/>
    <w:link w:val="407"/>
    <w:uiPriority w:val="0"/>
    <w:rPr>
      <w:sz w:val="24"/>
      <w:szCs w:val="24"/>
    </w:rPr>
  </w:style>
  <w:style w:type="paragraph" w:customStyle="1" w:styleId="407">
    <w:name w:val="样式2"/>
    <w:basedOn w:val="1"/>
    <w:link w:val="406"/>
    <w:uiPriority w:val="0"/>
    <w:pPr>
      <w:autoSpaceDE w:val="0"/>
      <w:autoSpaceDN w:val="0"/>
      <w:snapToGrid/>
      <w:spacing w:line="240" w:lineRule="auto"/>
      <w:ind w:firstLine="0" w:firstLineChars="0"/>
      <w:jc w:val="left"/>
      <w:textAlignment w:val="baseline"/>
    </w:pPr>
    <w:rPr>
      <w:rFonts w:ascii="Calibri" w:hAnsi="Calibri" w:cs="Times New Roman"/>
      <w:kern w:val="0"/>
      <w:szCs w:val="24"/>
    </w:rPr>
  </w:style>
  <w:style w:type="paragraph" w:customStyle="1" w:styleId="408">
    <w:name w:val="正文部分"/>
    <w:basedOn w:val="19"/>
    <w:uiPriority w:val="0"/>
    <w:pPr>
      <w:spacing w:line="460" w:lineRule="exact"/>
      <w:jc w:val="left"/>
      <w:textAlignment w:val="baseline"/>
    </w:pPr>
    <w:rPr>
      <w:rFonts w:hAnsi="仿宋" w:eastAsia="仿宋" w:cs="Times New Roman"/>
    </w:rPr>
  </w:style>
  <w:style w:type="character" w:customStyle="1" w:styleId="409">
    <w:name w:val="批注文字 Char"/>
    <w:uiPriority w:val="0"/>
    <w:rPr>
      <w:rFonts w:ascii="宋体" w:hAnsi="宋体" w:cs="宋体"/>
      <w:sz w:val="22"/>
      <w:szCs w:val="22"/>
    </w:rPr>
  </w:style>
  <w:style w:type="paragraph" w:customStyle="1" w:styleId="410">
    <w:name w:val="7"/>
    <w:basedOn w:val="1"/>
    <w:next w:val="67"/>
    <w:uiPriority w:val="34"/>
    <w:pPr>
      <w:adjustRightInd/>
      <w:snapToGrid/>
      <w:spacing w:line="240" w:lineRule="auto"/>
      <w:ind w:firstLine="420"/>
    </w:pPr>
    <w:rPr>
      <w:rFonts w:cs="Times New Roman"/>
      <w:sz w:val="21"/>
      <w:szCs w:val="24"/>
    </w:rPr>
  </w:style>
  <w:style w:type="paragraph" w:customStyle="1" w:styleId="411">
    <w:name w:val="标题3"/>
    <w:basedOn w:val="1"/>
    <w:uiPriority w:val="0"/>
    <w:pPr>
      <w:adjustRightInd/>
      <w:snapToGrid/>
      <w:spacing w:beforeLines="50"/>
      <w:ind w:firstLine="0" w:firstLineChars="0"/>
      <w:outlineLvl w:val="2"/>
    </w:pPr>
    <w:rPr>
      <w:rFonts w:eastAsia="黑体" w:cs="Times New Roman"/>
      <w:sz w:val="28"/>
      <w:szCs w:val="28"/>
    </w:rPr>
  </w:style>
  <w:style w:type="character" w:customStyle="1" w:styleId="412">
    <w:name w:val="标题 8 字符"/>
    <w:basedOn w:val="56"/>
    <w:link w:val="9"/>
    <w:uiPriority w:val="0"/>
    <w:rPr>
      <w:rFonts w:ascii="Arial" w:hAnsi="Arial" w:eastAsia="黑体" w:cs="宋体"/>
      <w:kern w:val="2"/>
      <w:sz w:val="24"/>
      <w:szCs w:val="22"/>
    </w:rPr>
  </w:style>
  <w:style w:type="character" w:customStyle="1" w:styleId="413">
    <w:name w:val="标题 9 字符"/>
    <w:basedOn w:val="56"/>
    <w:link w:val="10"/>
    <w:uiPriority w:val="0"/>
    <w:rPr>
      <w:rFonts w:ascii="Arial" w:hAnsi="Arial" w:eastAsia="黑体" w:cs="宋体"/>
      <w:kern w:val="2"/>
      <w:sz w:val="21"/>
      <w:szCs w:val="22"/>
    </w:rPr>
  </w:style>
  <w:style w:type="paragraph" w:customStyle="1" w:styleId="414">
    <w:name w:val="Char Char9"/>
    <w:basedOn w:val="1"/>
    <w:uiPriority w:val="0"/>
    <w:pPr>
      <w:adjustRightInd/>
      <w:snapToGrid/>
      <w:spacing w:line="240" w:lineRule="auto"/>
      <w:ind w:firstLine="0" w:firstLineChars="0"/>
    </w:pPr>
    <w:rPr>
      <w:rFonts w:cs="Times New Roman"/>
      <w:sz w:val="21"/>
      <w:szCs w:val="24"/>
    </w:rPr>
  </w:style>
  <w:style w:type="paragraph" w:customStyle="1" w:styleId="415">
    <w:name w:val="报告书正文 Char Char"/>
    <w:basedOn w:val="1"/>
    <w:link w:val="416"/>
    <w:uiPriority w:val="0"/>
    <w:pPr>
      <w:adjustRightInd/>
      <w:snapToGrid/>
      <w:spacing w:line="300" w:lineRule="auto"/>
      <w:ind w:firstLine="480"/>
    </w:pPr>
    <w:rPr>
      <w:rFonts w:cs="Times New Roman"/>
      <w:szCs w:val="24"/>
    </w:rPr>
  </w:style>
  <w:style w:type="character" w:customStyle="1" w:styleId="416">
    <w:name w:val="报告书正文 Char Char Char"/>
    <w:link w:val="415"/>
    <w:uiPriority w:val="0"/>
    <w:rPr>
      <w:rFonts w:ascii="Times New Roman" w:hAnsi="Times New Roman"/>
      <w:kern w:val="2"/>
      <w:sz w:val="24"/>
      <w:szCs w:val="24"/>
    </w:rPr>
  </w:style>
  <w:style w:type="paragraph" w:customStyle="1" w:styleId="417">
    <w:name w:val="Char Char Char Char Char Char Char Char Char Char Char Char1 Char Char Char Char Char Char Char"/>
    <w:basedOn w:val="16"/>
    <w:qFormat/>
    <w:uiPriority w:val="0"/>
    <w:pPr>
      <w:shd w:val="clear" w:color="auto" w:fill="000080"/>
      <w:adjustRightInd/>
      <w:snapToGrid/>
      <w:ind w:firstLine="0" w:firstLineChars="0"/>
    </w:pPr>
    <w:rPr>
      <w:rFonts w:ascii="Tahoma" w:hAnsi="Tahoma"/>
      <w:kern w:val="2"/>
      <w:sz w:val="24"/>
      <w:szCs w:val="24"/>
    </w:rPr>
  </w:style>
  <w:style w:type="paragraph" w:customStyle="1" w:styleId="418">
    <w:name w:val="样式 首行缩进:  0.99 厘米"/>
    <w:basedOn w:val="1"/>
    <w:link w:val="652"/>
    <w:uiPriority w:val="0"/>
    <w:pPr>
      <w:suppressAutoHyphens/>
      <w:adjustRightInd/>
      <w:snapToGrid/>
      <w:ind w:firstLine="560" w:firstLineChars="0"/>
    </w:pPr>
    <w:rPr>
      <w:rFonts w:ascii="宋体" w:hAnsi="宋体"/>
      <w:kern w:val="1"/>
      <w:szCs w:val="20"/>
      <w:lang w:eastAsia="ar-SA"/>
    </w:rPr>
  </w:style>
  <w:style w:type="paragraph" w:customStyle="1" w:styleId="419">
    <w:name w:val="xl59"/>
    <w:basedOn w:val="1"/>
    <w:uiPriority w:val="0"/>
    <w:pPr>
      <w:widowControl/>
      <w:pBdr>
        <w:left w:val="single" w:color="auto" w:sz="8" w:space="0"/>
        <w:bottom w:val="single" w:color="auto" w:sz="4" w:space="0"/>
        <w:right w:val="single" w:color="auto" w:sz="4" w:space="0"/>
      </w:pBdr>
      <w:adjustRightInd/>
      <w:snapToGrid/>
      <w:spacing w:before="100" w:beforeAutospacing="1" w:after="100" w:afterAutospacing="1"/>
      <w:ind w:firstLine="0" w:firstLineChars="0"/>
      <w:jc w:val="center"/>
      <w:textAlignment w:val="center"/>
    </w:pPr>
    <w:rPr>
      <w:rFonts w:ascii="宋体" w:hAnsi="宋体" w:cs="Times New Roman"/>
      <w:kern w:val="0"/>
      <w:szCs w:val="24"/>
    </w:rPr>
  </w:style>
  <w:style w:type="paragraph" w:customStyle="1" w:styleId="420">
    <w:name w:val="样式 标题 3标题 3 Char Char Char标题 3 Char题 3标题 3 Char Char标题 3 Ch...2"/>
    <w:basedOn w:val="4"/>
    <w:uiPriority w:val="0"/>
    <w:pPr>
      <w:keepNext/>
      <w:keepLines/>
      <w:numPr>
        <w:ilvl w:val="0"/>
        <w:numId w:val="0"/>
      </w:numPr>
      <w:tabs>
        <w:tab w:val="clear" w:pos="0"/>
      </w:tabs>
      <w:spacing w:before="0"/>
    </w:pPr>
    <w:rPr>
      <w:rFonts w:ascii="宋体" w:hAnsi="宋体" w:eastAsia="宋体" w:cs="Times New Roman"/>
      <w:b/>
      <w:sz w:val="28"/>
      <w:szCs w:val="28"/>
    </w:rPr>
  </w:style>
  <w:style w:type="paragraph" w:customStyle="1" w:styleId="421">
    <w:name w:val="1表格"/>
    <w:basedOn w:val="1"/>
    <w:uiPriority w:val="0"/>
    <w:pPr>
      <w:adjustRightInd/>
      <w:spacing w:line="300" w:lineRule="auto"/>
      <w:ind w:firstLine="0" w:firstLineChars="0"/>
      <w:jc w:val="center"/>
    </w:pPr>
    <w:rPr>
      <w:rFonts w:cs="Times New Roman"/>
      <w:color w:val="000000"/>
      <w:spacing w:val="4"/>
      <w:kern w:val="0"/>
      <w:sz w:val="21"/>
      <w:szCs w:val="24"/>
    </w:rPr>
  </w:style>
  <w:style w:type="paragraph" w:customStyle="1" w:styleId="422">
    <w:name w:val="样式 (西文) 仿宋_GB2312 首行缩进:  0.99 厘米"/>
    <w:basedOn w:val="1"/>
    <w:uiPriority w:val="0"/>
    <w:pPr>
      <w:suppressAutoHyphens/>
      <w:adjustRightInd/>
      <w:snapToGrid/>
      <w:ind w:firstLine="560" w:firstLineChars="0"/>
    </w:pPr>
    <w:rPr>
      <w:rFonts w:ascii="方正仿宋_GB2312" w:hAnsi="方正仿宋_GB2312" w:cs="Times New Roman"/>
      <w:kern w:val="1"/>
      <w:szCs w:val="20"/>
      <w:lang w:eastAsia="ar-SA"/>
    </w:rPr>
  </w:style>
  <w:style w:type="paragraph" w:customStyle="1" w:styleId="423">
    <w:name w:val="正文文本缩进 31"/>
    <w:basedOn w:val="1"/>
    <w:uiPriority w:val="0"/>
    <w:pPr>
      <w:suppressAutoHyphens/>
      <w:adjustRightInd/>
      <w:snapToGrid/>
      <w:spacing w:before="280" w:after="280"/>
      <w:ind w:firstLine="560" w:firstLineChars="0"/>
    </w:pPr>
    <w:rPr>
      <w:rFonts w:ascii="宋体" w:hAnsi="宋体" w:cs="Times New Roman"/>
      <w:kern w:val="1"/>
      <w:szCs w:val="24"/>
      <w:lang w:eastAsia="ar-SA"/>
    </w:rPr>
  </w:style>
  <w:style w:type="character" w:customStyle="1" w:styleId="424">
    <w:name w:val="表格 Char"/>
    <w:uiPriority w:val="0"/>
    <w:rPr>
      <w:rFonts w:ascii="宋体" w:hAnsi="Courier New" w:eastAsia="宋体" w:cs="宋体-18030"/>
      <w:kern w:val="2"/>
      <w:sz w:val="21"/>
      <w:szCs w:val="21"/>
      <w:lang w:val="en-US" w:eastAsia="zh-CN" w:bidi="ar-SA"/>
    </w:rPr>
  </w:style>
  <w:style w:type="paragraph" w:customStyle="1" w:styleId="425">
    <w:name w:val="Char2 Char Char Char"/>
    <w:basedOn w:val="1"/>
    <w:uiPriority w:val="0"/>
    <w:pPr>
      <w:adjustRightInd/>
      <w:snapToGrid/>
    </w:pPr>
    <w:rPr>
      <w:rFonts w:ascii="宋体" w:hAnsi="宋体"/>
      <w:szCs w:val="24"/>
    </w:rPr>
  </w:style>
  <w:style w:type="character" w:customStyle="1" w:styleId="426">
    <w:name w:val="报告书正文 Char"/>
    <w:link w:val="403"/>
    <w:uiPriority w:val="0"/>
    <w:rPr>
      <w:rFonts w:ascii="Times New Roman" w:hAnsi="Times New Roman"/>
      <w:kern w:val="2"/>
      <w:sz w:val="24"/>
    </w:rPr>
  </w:style>
  <w:style w:type="character" w:customStyle="1" w:styleId="427">
    <w:name w:val="123YJ Char Char"/>
    <w:uiPriority w:val="0"/>
    <w:rPr>
      <w:rFonts w:eastAsia="宋体"/>
      <w:kern w:val="2"/>
      <w:sz w:val="18"/>
      <w:szCs w:val="18"/>
      <w:lang w:val="en-US" w:eastAsia="zh-CN" w:bidi="ar-SA"/>
    </w:rPr>
  </w:style>
  <w:style w:type="character" w:customStyle="1" w:styleId="428">
    <w:name w:val="正式文字 Char"/>
    <w:link w:val="429"/>
    <w:uiPriority w:val="0"/>
    <w:rPr>
      <w:rFonts w:ascii="宋体"/>
      <w:color w:val="000000"/>
      <w:sz w:val="28"/>
      <w:szCs w:val="30"/>
    </w:rPr>
  </w:style>
  <w:style w:type="paragraph" w:customStyle="1" w:styleId="429">
    <w:name w:val="正式文字"/>
    <w:basedOn w:val="1"/>
    <w:link w:val="428"/>
    <w:uiPriority w:val="0"/>
    <w:pPr>
      <w:ind w:firstLine="567" w:firstLineChars="0"/>
    </w:pPr>
    <w:rPr>
      <w:rFonts w:ascii="宋体" w:hAnsi="Calibri" w:cs="Times New Roman"/>
      <w:color w:val="000000"/>
      <w:kern w:val="0"/>
      <w:sz w:val="28"/>
      <w:szCs w:val="30"/>
    </w:rPr>
  </w:style>
  <w:style w:type="paragraph" w:customStyle="1" w:styleId="430">
    <w:name w:val="表 头"/>
    <w:basedOn w:val="1"/>
    <w:uiPriority w:val="0"/>
    <w:pPr>
      <w:snapToGrid/>
      <w:spacing w:line="300" w:lineRule="exact"/>
      <w:ind w:firstLine="0" w:firstLineChars="0"/>
      <w:jc w:val="center"/>
      <w:textAlignment w:val="baseline"/>
    </w:pPr>
    <w:rPr>
      <w:rFonts w:ascii="宋体" w:hAnsi="宋体" w:cs="Times New Roman"/>
      <w:color w:val="0000FF"/>
      <w:spacing w:val="10"/>
      <w:szCs w:val="24"/>
    </w:rPr>
  </w:style>
  <w:style w:type="paragraph" w:customStyle="1" w:styleId="431">
    <w:name w:val="xl26"/>
    <w:basedOn w:val="1"/>
    <w:uiPriority w:val="0"/>
    <w:pPr>
      <w:widowControl/>
      <w:pBdr>
        <w:bottom w:val="single" w:color="auto" w:sz="4" w:space="0"/>
        <w:right w:val="single" w:color="auto" w:sz="4" w:space="0"/>
      </w:pBdr>
      <w:adjustRightInd/>
      <w:snapToGrid/>
      <w:spacing w:before="100" w:beforeAutospacing="1" w:after="100" w:afterAutospacing="1"/>
      <w:ind w:firstLine="0" w:firstLineChars="0"/>
      <w:jc w:val="center"/>
    </w:pPr>
    <w:rPr>
      <w:rFonts w:eastAsia="Arial Unicode MS" w:cs="Times New Roman"/>
      <w:kern w:val="0"/>
      <w:sz w:val="21"/>
      <w:szCs w:val="21"/>
    </w:rPr>
  </w:style>
  <w:style w:type="paragraph" w:customStyle="1" w:styleId="432">
    <w:name w:val="样式 宋体 居中"/>
    <w:basedOn w:val="1"/>
    <w:uiPriority w:val="0"/>
    <w:pPr>
      <w:adjustRightInd/>
      <w:snapToGrid/>
      <w:ind w:firstLine="0" w:firstLineChars="0"/>
      <w:jc w:val="center"/>
    </w:pPr>
    <w:rPr>
      <w:rFonts w:ascii="宋体" w:hAnsi="宋体"/>
      <w:szCs w:val="20"/>
    </w:rPr>
  </w:style>
  <w:style w:type="paragraph" w:customStyle="1" w:styleId="433">
    <w:name w:val="样式 标题 2节标题 1.11.1标题2b2Seh2l22nd levelTitre22Header 2二...1"/>
    <w:basedOn w:val="3"/>
    <w:uiPriority w:val="0"/>
    <w:pPr>
      <w:keepNext/>
      <w:keepLines/>
      <w:numPr>
        <w:ilvl w:val="0"/>
        <w:numId w:val="0"/>
      </w:numPr>
      <w:tabs>
        <w:tab w:val="clear" w:pos="420"/>
      </w:tabs>
      <w:adjustRightInd/>
      <w:snapToGrid/>
      <w:spacing w:before="240" w:after="240"/>
    </w:pPr>
    <w:rPr>
      <w:rFonts w:ascii="宋体" w:hAnsi="宋体" w:eastAsia="宋体" w:cs="宋体"/>
      <w:bCs/>
      <w:color w:val="0070C0"/>
      <w:kern w:val="0"/>
      <w:sz w:val="30"/>
      <w:szCs w:val="20"/>
    </w:rPr>
  </w:style>
  <w:style w:type="paragraph" w:customStyle="1" w:styleId="434">
    <w:name w:val="样式 标题 3标题 3 Char题 3标题 3 Char Char Char条标题1.1.13h33rd leve..."/>
    <w:basedOn w:val="4"/>
    <w:uiPriority w:val="0"/>
    <w:pPr>
      <w:keepNext/>
      <w:keepLines/>
      <w:numPr>
        <w:ilvl w:val="0"/>
        <w:numId w:val="0"/>
      </w:numPr>
      <w:tabs>
        <w:tab w:val="clear" w:pos="0"/>
      </w:tabs>
      <w:adjustRightInd/>
      <w:snapToGrid/>
      <w:spacing w:before="240" w:after="240" w:line="560" w:lineRule="exact"/>
    </w:pPr>
    <w:rPr>
      <w:rFonts w:ascii="宋体" w:hAnsi="宋体" w:eastAsia="宋体" w:cs="宋体"/>
      <w:b/>
      <w:bCs/>
      <w:sz w:val="28"/>
      <w:szCs w:val="20"/>
    </w:rPr>
  </w:style>
  <w:style w:type="paragraph" w:customStyle="1" w:styleId="435">
    <w:name w:val="Char3"/>
    <w:basedOn w:val="1"/>
    <w:uiPriority w:val="0"/>
    <w:pPr>
      <w:adjustRightInd/>
      <w:snapToGrid/>
    </w:pPr>
    <w:rPr>
      <w:rFonts w:ascii="宋体" w:hAnsi="宋体"/>
      <w:szCs w:val="24"/>
    </w:rPr>
  </w:style>
  <w:style w:type="paragraph" w:customStyle="1" w:styleId="436">
    <w:name w:val="Char Char Char Char"/>
    <w:basedOn w:val="1"/>
    <w:uiPriority w:val="0"/>
    <w:pPr>
      <w:jc w:val="left"/>
    </w:pPr>
    <w:rPr>
      <w:rFonts w:ascii="方正仿宋_GB2312" w:hAnsi="方正仿宋_GB2312" w:eastAsia="方正仿宋_GB2312"/>
      <w:szCs w:val="24"/>
    </w:rPr>
  </w:style>
  <w:style w:type="paragraph" w:customStyle="1" w:styleId="437">
    <w:name w:val="样式9"/>
    <w:basedOn w:val="3"/>
    <w:uiPriority w:val="0"/>
    <w:pPr>
      <w:keepNext/>
      <w:keepLines/>
      <w:numPr>
        <w:ilvl w:val="0"/>
        <w:numId w:val="0"/>
      </w:numPr>
      <w:tabs>
        <w:tab w:val="clear" w:pos="420"/>
      </w:tabs>
      <w:adjustRightInd/>
      <w:snapToGrid/>
      <w:spacing w:before="260" w:after="260" w:line="416" w:lineRule="auto"/>
    </w:pPr>
    <w:rPr>
      <w:rFonts w:ascii="方正仿宋_GB2312" w:hAnsi="Arial"/>
      <w:bCs/>
      <w:color w:val="0070C0"/>
      <w:kern w:val="0"/>
    </w:rPr>
  </w:style>
  <w:style w:type="paragraph" w:customStyle="1" w:styleId="438">
    <w:name w:val="Char1 Char Char Char Char Char Char"/>
    <w:basedOn w:val="1"/>
    <w:next w:val="1"/>
    <w:uiPriority w:val="0"/>
    <w:pPr>
      <w:adjustRightInd/>
      <w:snapToGrid/>
      <w:ind w:firstLine="0" w:firstLineChars="0"/>
    </w:pPr>
    <w:rPr>
      <w:rFonts w:cs="Times New Roman"/>
      <w:sz w:val="21"/>
      <w:szCs w:val="24"/>
    </w:rPr>
  </w:style>
  <w:style w:type="character" w:customStyle="1" w:styleId="439">
    <w:name w:val="正文文本缩进 3 字符"/>
    <w:basedOn w:val="56"/>
    <w:link w:val="44"/>
    <w:qFormat/>
    <w:uiPriority w:val="0"/>
    <w:rPr>
      <w:rFonts w:ascii="Times New Roman" w:hAnsi="Times New Roman"/>
      <w:kern w:val="2"/>
      <w:sz w:val="16"/>
      <w:szCs w:val="16"/>
    </w:rPr>
  </w:style>
  <w:style w:type="character" w:customStyle="1" w:styleId="440">
    <w:name w:val="正文文本 2 字符"/>
    <w:basedOn w:val="56"/>
    <w:link w:val="47"/>
    <w:uiPriority w:val="0"/>
    <w:rPr>
      <w:rFonts w:ascii="Times New Roman" w:hAnsi="Times New Roman"/>
      <w:kern w:val="2"/>
      <w:sz w:val="21"/>
      <w:szCs w:val="24"/>
    </w:rPr>
  </w:style>
  <w:style w:type="paragraph" w:customStyle="1" w:styleId="441">
    <w:name w:val="xl29"/>
    <w:basedOn w:val="1"/>
    <w:uiPriority w:val="0"/>
    <w:pPr>
      <w:widowControl/>
      <w:adjustRightInd/>
      <w:snapToGrid/>
      <w:spacing w:before="100" w:after="100"/>
      <w:ind w:firstLine="0" w:firstLineChars="0"/>
      <w:jc w:val="center"/>
    </w:pPr>
    <w:rPr>
      <w:rFonts w:cs="Times New Roman"/>
      <w:kern w:val="0"/>
      <w:szCs w:val="20"/>
    </w:rPr>
  </w:style>
  <w:style w:type="paragraph" w:customStyle="1" w:styleId="442">
    <w:name w:val="xl25"/>
    <w:basedOn w:val="1"/>
    <w:uiPriority w:val="0"/>
    <w:pPr>
      <w:widowControl/>
      <w:adjustRightInd/>
      <w:snapToGrid/>
      <w:spacing w:before="100" w:beforeAutospacing="1" w:after="100" w:afterAutospacing="1"/>
      <w:ind w:firstLine="0" w:firstLineChars="0"/>
      <w:jc w:val="center"/>
      <w:textAlignment w:val="center"/>
    </w:pPr>
    <w:rPr>
      <w:rFonts w:ascii="Arial Unicode MS" w:hAnsi="Arial Unicode MS" w:eastAsia="Times New Roman" w:cs="Arial Unicode MS"/>
      <w:kern w:val="0"/>
      <w:szCs w:val="24"/>
    </w:rPr>
  </w:style>
  <w:style w:type="character" w:customStyle="1" w:styleId="443">
    <w:name w:val="表格 Char2"/>
    <w:uiPriority w:val="0"/>
    <w:rPr>
      <w:rFonts w:ascii="Arial" w:hAnsi="Arial" w:eastAsia="宋体"/>
      <w:color w:val="000000"/>
      <w:kern w:val="2"/>
      <w:sz w:val="21"/>
      <w:lang w:val="en-US" w:eastAsia="zh-CN" w:bidi="ar-SA"/>
    </w:rPr>
  </w:style>
  <w:style w:type="character" w:customStyle="1" w:styleId="444">
    <w:name w:val="m lh15"/>
    <w:basedOn w:val="56"/>
    <w:uiPriority w:val="0"/>
  </w:style>
  <w:style w:type="paragraph" w:customStyle="1" w:styleId="445">
    <w:name w:val="样式 样式 右侧:  -0.41 厘米 + 首行缩进:  2 字符"/>
    <w:basedOn w:val="1"/>
    <w:uiPriority w:val="0"/>
    <w:pPr>
      <w:adjustRightInd/>
      <w:snapToGrid/>
      <w:ind w:firstLine="240" w:firstLineChars="100"/>
    </w:pPr>
    <w:rPr>
      <w:rFonts w:ascii="方正仿宋_GB2312" w:eastAsia="方正仿宋_GB2312" w:cs="Times New Roman"/>
      <w:szCs w:val="24"/>
    </w:rPr>
  </w:style>
  <w:style w:type="paragraph" w:customStyle="1" w:styleId="446">
    <w:name w:val="zhang正文"/>
    <w:basedOn w:val="21"/>
    <w:link w:val="447"/>
    <w:uiPriority w:val="0"/>
    <w:pPr>
      <w:autoSpaceDE w:val="0"/>
      <w:autoSpaceDN w:val="0"/>
      <w:spacing w:after="0"/>
      <w:ind w:left="0" w:leftChars="0"/>
      <w:textAlignment w:val="baseline"/>
    </w:pPr>
    <w:rPr>
      <w:rFonts w:cs="Times New Roman"/>
      <w:kern w:val="0"/>
      <w:sz w:val="28"/>
      <w:szCs w:val="20"/>
      <w:lang w:bidi="he-IL"/>
    </w:rPr>
  </w:style>
  <w:style w:type="character" w:customStyle="1" w:styleId="447">
    <w:name w:val="zhang正文 Char"/>
    <w:link w:val="446"/>
    <w:uiPriority w:val="0"/>
    <w:rPr>
      <w:rFonts w:ascii="Times New Roman" w:hAnsi="Times New Roman"/>
      <w:sz w:val="28"/>
      <w:lang w:bidi="he-IL"/>
    </w:rPr>
  </w:style>
  <w:style w:type="paragraph" w:customStyle="1" w:styleId="448">
    <w:name w:val="title4"/>
    <w:basedOn w:val="1"/>
    <w:uiPriority w:val="0"/>
    <w:pPr>
      <w:tabs>
        <w:tab w:val="left" w:pos="645"/>
      </w:tabs>
      <w:adjustRightInd/>
      <w:snapToGrid/>
      <w:spacing w:beforeLines="50" w:line="480" w:lineRule="atLeast"/>
      <w:ind w:left="645" w:hanging="645" w:firstLineChars="0"/>
    </w:pPr>
    <w:rPr>
      <w:rFonts w:cs="Times New Roman"/>
      <w:b/>
      <w:sz w:val="28"/>
      <w:szCs w:val="24"/>
    </w:rPr>
  </w:style>
  <w:style w:type="character" w:customStyle="1" w:styleId="449">
    <w:name w:val="表号 Char"/>
    <w:uiPriority w:val="0"/>
    <w:rPr>
      <w:rFonts w:eastAsia="宋体"/>
      <w:b/>
      <w:kern w:val="32"/>
      <w:sz w:val="24"/>
      <w:lang w:val="en-US" w:eastAsia="zh-CN" w:bidi="ar-SA"/>
    </w:rPr>
  </w:style>
  <w:style w:type="character" w:customStyle="1" w:styleId="450">
    <w:name w:val="正文文本 3 字符"/>
    <w:basedOn w:val="56"/>
    <w:link w:val="18"/>
    <w:uiPriority w:val="0"/>
    <w:rPr>
      <w:rFonts w:ascii="Times New Roman" w:hAnsi="Times New Roman"/>
      <w:kern w:val="2"/>
      <w:sz w:val="16"/>
      <w:szCs w:val="16"/>
    </w:rPr>
  </w:style>
  <w:style w:type="paragraph" w:customStyle="1" w:styleId="451">
    <w:name w:val="xl36"/>
    <w:basedOn w:val="1"/>
    <w:uiPriority w:val="0"/>
    <w:pPr>
      <w:widowControl/>
      <w:pBdr>
        <w:left w:val="single" w:color="auto" w:sz="8" w:space="0"/>
        <w:bottom w:val="single" w:color="auto" w:sz="4" w:space="0"/>
        <w:right w:val="single" w:color="auto" w:sz="4" w:space="0"/>
      </w:pBdr>
      <w:tabs>
        <w:tab w:val="left" w:pos="495"/>
      </w:tabs>
      <w:adjustRightInd/>
      <w:snapToGrid/>
      <w:spacing w:before="100" w:after="100"/>
      <w:ind w:firstLine="0" w:firstLineChars="0"/>
      <w:jc w:val="center"/>
    </w:pPr>
    <w:rPr>
      <w:rFonts w:ascii="宋体" w:hAnsi="宋体" w:cs="Times New Roman"/>
      <w:kern w:val="0"/>
      <w:szCs w:val="20"/>
    </w:rPr>
  </w:style>
  <w:style w:type="paragraph" w:customStyle="1" w:styleId="452">
    <w:name w:val="xl23"/>
    <w:basedOn w:val="1"/>
    <w:uiPriority w:val="0"/>
    <w:pPr>
      <w:widowControl/>
      <w:adjustRightInd/>
      <w:snapToGrid/>
      <w:spacing w:before="100" w:beforeAutospacing="1" w:after="100" w:afterAutospacing="1"/>
      <w:ind w:firstLine="0" w:firstLineChars="0"/>
      <w:jc w:val="left"/>
    </w:pPr>
    <w:rPr>
      <w:rFonts w:cs="Times New Roman"/>
      <w:b/>
      <w:bCs/>
      <w:kern w:val="0"/>
      <w:sz w:val="32"/>
      <w:szCs w:val="32"/>
    </w:rPr>
  </w:style>
  <w:style w:type="paragraph" w:customStyle="1" w:styleId="453">
    <w:name w:val="表文"/>
    <w:basedOn w:val="1"/>
    <w:link w:val="454"/>
    <w:uiPriority w:val="0"/>
    <w:pPr>
      <w:overflowPunct w:val="0"/>
      <w:adjustRightInd/>
      <w:snapToGrid/>
      <w:ind w:firstLine="0" w:firstLineChars="0"/>
      <w:jc w:val="center"/>
      <w:textAlignment w:val="baseline"/>
    </w:pPr>
    <w:rPr>
      <w:rFonts w:cs="Times New Roman"/>
      <w:sz w:val="21"/>
      <w:szCs w:val="21"/>
    </w:rPr>
  </w:style>
  <w:style w:type="character" w:customStyle="1" w:styleId="454">
    <w:name w:val="表文 Char"/>
    <w:link w:val="453"/>
    <w:uiPriority w:val="0"/>
    <w:rPr>
      <w:rFonts w:ascii="Times New Roman" w:hAnsi="Times New Roman"/>
      <w:kern w:val="2"/>
      <w:sz w:val="21"/>
      <w:szCs w:val="21"/>
    </w:rPr>
  </w:style>
  <w:style w:type="paragraph" w:customStyle="1" w:styleId="455">
    <w:name w:val="样式 标题 2 + 段前: 0.5 行"/>
    <w:basedOn w:val="3"/>
    <w:link w:val="456"/>
    <w:uiPriority w:val="0"/>
    <w:pPr>
      <w:keepLines/>
      <w:numPr>
        <w:ilvl w:val="0"/>
        <w:numId w:val="0"/>
      </w:numPr>
      <w:tabs>
        <w:tab w:val="clear" w:pos="420"/>
      </w:tabs>
      <w:adjustRightInd/>
      <w:snapToGrid/>
      <w:spacing w:before="214"/>
    </w:pPr>
    <w:rPr>
      <w:rFonts w:eastAsia="宋体" w:cs="宋体"/>
      <w:bCs/>
      <w:color w:val="0070C0"/>
      <w:kern w:val="0"/>
    </w:rPr>
  </w:style>
  <w:style w:type="character" w:customStyle="1" w:styleId="456">
    <w:name w:val="样式 标题 2 + 段前: 0.5 行 Char"/>
    <w:link w:val="455"/>
    <w:uiPriority w:val="0"/>
    <w:rPr>
      <w:rFonts w:ascii="Times New Roman" w:hAnsi="Times New Roman" w:cs="宋体"/>
      <w:bCs/>
      <w:color w:val="0070C0"/>
      <w:sz w:val="32"/>
      <w:szCs w:val="32"/>
    </w:rPr>
  </w:style>
  <w:style w:type="paragraph" w:customStyle="1" w:styleId="457">
    <w:name w:val="默认段落字体 Para Char"/>
    <w:basedOn w:val="1"/>
    <w:uiPriority w:val="0"/>
    <w:pPr>
      <w:adjustRightInd/>
      <w:snapToGrid/>
    </w:pPr>
    <w:rPr>
      <w:rFonts w:ascii="宋体" w:hAnsi="宋体"/>
      <w:szCs w:val="24"/>
    </w:rPr>
  </w:style>
  <w:style w:type="paragraph" w:customStyle="1" w:styleId="458">
    <w:name w:val="样式12q"/>
    <w:basedOn w:val="1"/>
    <w:link w:val="459"/>
    <w:uiPriority w:val="0"/>
    <w:pPr>
      <w:adjustRightInd/>
      <w:snapToGrid/>
      <w:ind w:firstLine="480"/>
    </w:pPr>
    <w:rPr>
      <w:rFonts w:ascii="宋体" w:hAnsi="宋体" w:cs="Times New Roman"/>
      <w:szCs w:val="24"/>
    </w:rPr>
  </w:style>
  <w:style w:type="character" w:customStyle="1" w:styleId="459">
    <w:name w:val="样式12q Char"/>
    <w:link w:val="458"/>
    <w:uiPriority w:val="0"/>
    <w:rPr>
      <w:rFonts w:ascii="宋体" w:hAnsi="宋体"/>
      <w:kern w:val="2"/>
      <w:sz w:val="24"/>
      <w:szCs w:val="24"/>
    </w:rPr>
  </w:style>
  <w:style w:type="paragraph" w:customStyle="1" w:styleId="460">
    <w:name w:val="样式 标题 3条标题1.1.13h33rd levelH3l3CT标题 3 Char题 3标题 3 Char..."/>
    <w:basedOn w:val="4"/>
    <w:link w:val="461"/>
    <w:uiPriority w:val="0"/>
    <w:pPr>
      <w:keepNext/>
      <w:keepLines/>
      <w:numPr>
        <w:ilvl w:val="0"/>
        <w:numId w:val="0"/>
      </w:numPr>
      <w:tabs>
        <w:tab w:val="clear" w:pos="0"/>
      </w:tabs>
      <w:adjustRightInd/>
      <w:snapToGrid/>
      <w:spacing w:before="0" w:line="240" w:lineRule="auto"/>
      <w:jc w:val="left"/>
    </w:pPr>
    <w:rPr>
      <w:rFonts w:ascii="宋体" w:hAnsi="宋体" w:eastAsia="宋体" w:cs="Times New Roman"/>
      <w:b/>
      <w:bCs/>
      <w:snapToGrid w:val="0"/>
      <w:spacing w:val="14"/>
      <w:w w:val="90"/>
      <w:kern w:val="0"/>
      <w:sz w:val="28"/>
      <w:szCs w:val="28"/>
    </w:rPr>
  </w:style>
  <w:style w:type="character" w:customStyle="1" w:styleId="461">
    <w:name w:val="样式 标题 3条标题1.1.13h33rd levelH3l3CT标题 3 Char题 3标题 3 Char... Char"/>
    <w:link w:val="460"/>
    <w:uiPriority w:val="0"/>
    <w:rPr>
      <w:rFonts w:ascii="宋体" w:hAnsi="宋体"/>
      <w:b/>
      <w:bCs/>
      <w:snapToGrid w:val="0"/>
      <w:spacing w:val="14"/>
      <w:w w:val="90"/>
      <w:sz w:val="28"/>
      <w:szCs w:val="28"/>
    </w:rPr>
  </w:style>
  <w:style w:type="paragraph" w:customStyle="1" w:styleId="462">
    <w:name w:val="样式 样式 标题 2 + 段前: 0.5 行 + 小四"/>
    <w:basedOn w:val="455"/>
    <w:link w:val="463"/>
    <w:uiPriority w:val="0"/>
    <w:pPr>
      <w:spacing w:before="156"/>
    </w:pPr>
    <w:rPr>
      <w:rFonts w:ascii="宋体" w:hAnsi="宋体"/>
      <w:sz w:val="30"/>
      <w:szCs w:val="28"/>
    </w:rPr>
  </w:style>
  <w:style w:type="character" w:customStyle="1" w:styleId="463">
    <w:name w:val="样式 样式 标题 2 + 段前: 0.5 行 + 小四 Char"/>
    <w:link w:val="462"/>
    <w:uiPriority w:val="0"/>
    <w:rPr>
      <w:rFonts w:ascii="宋体" w:hAnsi="宋体" w:cs="宋体"/>
      <w:bCs/>
      <w:color w:val="0070C0"/>
      <w:sz w:val="30"/>
      <w:szCs w:val="28"/>
    </w:rPr>
  </w:style>
  <w:style w:type="paragraph" w:customStyle="1" w:styleId="464">
    <w:name w:val="表名"/>
    <w:basedOn w:val="29"/>
    <w:uiPriority w:val="0"/>
    <w:pPr>
      <w:spacing w:line="360" w:lineRule="auto"/>
      <w:jc w:val="center"/>
    </w:pPr>
    <w:rPr>
      <w:rFonts w:eastAsia="方正仿宋_GB2312"/>
      <w:b/>
      <w:sz w:val="28"/>
      <w:szCs w:val="21"/>
    </w:rPr>
  </w:style>
  <w:style w:type="paragraph" w:customStyle="1" w:styleId="465">
    <w:name w:val="图形标题"/>
    <w:basedOn w:val="14"/>
    <w:uiPriority w:val="0"/>
    <w:pPr>
      <w:adjustRightInd/>
      <w:ind w:firstLine="0" w:firstLineChars="0"/>
      <w:jc w:val="center"/>
    </w:pPr>
    <w:rPr>
      <w:rFonts w:ascii="宋体" w:hAnsi="宋体" w:eastAsia="宋体"/>
      <w:kern w:val="2"/>
      <w:sz w:val="21"/>
      <w:szCs w:val="21"/>
    </w:rPr>
  </w:style>
  <w:style w:type="paragraph" w:customStyle="1" w:styleId="466">
    <w:name w:val="标准"/>
    <w:basedOn w:val="1"/>
    <w:uiPriority w:val="0"/>
    <w:pPr>
      <w:tabs>
        <w:tab w:val="left" w:pos="780"/>
      </w:tabs>
      <w:snapToGrid/>
      <w:spacing w:line="480" w:lineRule="exact"/>
      <w:ind w:left="200" w:leftChars="200" w:hanging="200" w:hangingChars="200"/>
      <w:textAlignment w:val="baseline"/>
    </w:pPr>
    <w:rPr>
      <w:rFonts w:cs="Times New Roman"/>
      <w:kern w:val="0"/>
      <w:sz w:val="28"/>
      <w:szCs w:val="20"/>
      <w:lang w:val="en-GB"/>
    </w:rPr>
  </w:style>
  <w:style w:type="character" w:customStyle="1" w:styleId="467">
    <w:name w:val="body-cn-black1"/>
    <w:basedOn w:val="56"/>
    <w:uiPriority w:val="0"/>
  </w:style>
  <w:style w:type="paragraph" w:customStyle="1" w:styleId="468">
    <w:name w:val="xl57"/>
    <w:basedOn w:val="1"/>
    <w:uiPriority w:val="0"/>
    <w:pPr>
      <w:widowControl/>
      <w:pBdr>
        <w:left w:val="single" w:color="auto" w:sz="8" w:space="0"/>
        <w:bottom w:val="double" w:color="auto" w:sz="6" w:space="0"/>
      </w:pBdr>
      <w:adjustRightInd/>
      <w:snapToGrid/>
      <w:spacing w:before="100" w:beforeAutospacing="1" w:after="100" w:afterAutospacing="1"/>
      <w:ind w:firstLine="0" w:firstLineChars="0"/>
      <w:jc w:val="center"/>
      <w:textAlignment w:val="center"/>
    </w:pPr>
    <w:rPr>
      <w:rFonts w:ascii="宋体" w:hAnsi="宋体" w:cs="Times New Roman"/>
      <w:kern w:val="0"/>
      <w:szCs w:val="24"/>
    </w:rPr>
  </w:style>
  <w:style w:type="paragraph" w:customStyle="1" w:styleId="469">
    <w:name w:val="Char Char Char1 Char"/>
    <w:basedOn w:val="1"/>
    <w:uiPriority w:val="0"/>
    <w:pPr>
      <w:adjustRightInd/>
      <w:snapToGrid/>
    </w:pPr>
    <w:rPr>
      <w:rFonts w:ascii="宋体" w:hAnsi="宋体"/>
      <w:szCs w:val="24"/>
    </w:rPr>
  </w:style>
  <w:style w:type="character" w:customStyle="1" w:styleId="470">
    <w:name w:val="标题 字符"/>
    <w:basedOn w:val="56"/>
    <w:link w:val="51"/>
    <w:uiPriority w:val="0"/>
    <w:rPr>
      <w:rFonts w:ascii="Microsoft JhengHei UI" w:hAnsi="Microsoft JhengHei UI" w:eastAsia="Microsoft JhengHei UI" w:cs="Microsoft JhengHei UI"/>
      <w:b/>
      <w:bCs/>
      <w:kern w:val="2"/>
      <w:sz w:val="48"/>
      <w:szCs w:val="48"/>
    </w:rPr>
  </w:style>
  <w:style w:type="paragraph" w:customStyle="1" w:styleId="471">
    <w:name w:val="Char1"/>
    <w:basedOn w:val="1"/>
    <w:uiPriority w:val="0"/>
    <w:pPr>
      <w:adjustRightInd/>
      <w:snapToGrid/>
    </w:pPr>
    <w:rPr>
      <w:rFonts w:ascii="宋体" w:hAnsi="宋体"/>
      <w:szCs w:val="24"/>
    </w:rPr>
  </w:style>
  <w:style w:type="paragraph" w:customStyle="1" w:styleId="472">
    <w:name w:val="xl24"/>
    <w:basedOn w:val="1"/>
    <w:uiPriority w:val="0"/>
    <w:pPr>
      <w:widowControl/>
      <w:pBdr>
        <w:left w:val="single" w:color="auto" w:sz="4" w:space="0"/>
        <w:bottom w:val="single" w:color="auto" w:sz="4" w:space="0"/>
        <w:right w:val="single" w:color="auto" w:sz="4" w:space="0"/>
      </w:pBdr>
      <w:adjustRightInd/>
      <w:snapToGrid/>
      <w:spacing w:before="100" w:beforeAutospacing="1" w:after="100" w:afterAutospacing="1"/>
      <w:ind w:firstLine="0" w:firstLineChars="0"/>
      <w:textAlignment w:val="top"/>
    </w:pPr>
    <w:rPr>
      <w:rFonts w:ascii="宋体" w:hAnsi="宋体"/>
      <w:kern w:val="0"/>
      <w:sz w:val="21"/>
      <w:szCs w:val="21"/>
    </w:rPr>
  </w:style>
  <w:style w:type="paragraph" w:customStyle="1" w:styleId="473">
    <w:name w:val="样式 正文文本缩进 2 + (中文) 仿宋_GB2312"/>
    <w:basedOn w:val="22"/>
    <w:uiPriority w:val="0"/>
    <w:pPr>
      <w:adjustRightInd/>
      <w:snapToGrid/>
      <w:spacing w:after="0" w:line="240" w:lineRule="auto"/>
      <w:ind w:left="200" w:firstLine="550" w:firstLineChars="0"/>
    </w:pPr>
    <w:rPr>
      <w:rFonts w:eastAsia="方正仿宋_GB2312" w:cs="Times New Roman"/>
      <w:sz w:val="28"/>
      <w:szCs w:val="28"/>
    </w:rPr>
  </w:style>
  <w:style w:type="paragraph" w:customStyle="1" w:styleId="474">
    <w:name w:val="正文样式1"/>
    <w:basedOn w:val="1"/>
    <w:uiPriority w:val="0"/>
    <w:pPr>
      <w:adjustRightInd/>
      <w:snapToGrid/>
      <w:ind w:firstLine="510" w:firstLineChars="0"/>
    </w:pPr>
    <w:rPr>
      <w:rFonts w:cs="Times New Roman"/>
      <w:kern w:val="0"/>
      <w:szCs w:val="24"/>
    </w:rPr>
  </w:style>
  <w:style w:type="paragraph" w:customStyle="1" w:styleId="475">
    <w:name w:val="xl28"/>
    <w:basedOn w:val="1"/>
    <w:uiPriority w:val="0"/>
    <w:pPr>
      <w:widowControl/>
      <w:pBdr>
        <w:bottom w:val="single" w:color="auto" w:sz="4" w:space="0"/>
        <w:right w:val="single" w:color="auto" w:sz="4" w:space="0"/>
      </w:pBdr>
      <w:adjustRightInd/>
      <w:snapToGrid/>
      <w:spacing w:before="100" w:beforeAutospacing="1" w:after="100" w:afterAutospacing="1"/>
      <w:ind w:firstLine="0" w:firstLineChars="0"/>
      <w:jc w:val="right"/>
    </w:pPr>
    <w:rPr>
      <w:rFonts w:ascii="Arial Unicode MS" w:hAnsi="Arial Unicode MS" w:eastAsia="Times New Roman" w:cs="Arial Unicode MS"/>
      <w:color w:val="FF0000"/>
      <w:kern w:val="0"/>
      <w:sz w:val="21"/>
      <w:szCs w:val="21"/>
    </w:rPr>
  </w:style>
  <w:style w:type="paragraph" w:customStyle="1" w:styleId="476">
    <w:name w:val="表格1"/>
    <w:basedOn w:val="1"/>
    <w:uiPriority w:val="0"/>
    <w:pPr>
      <w:snapToGrid/>
      <w:spacing w:line="20" w:lineRule="atLeast"/>
      <w:ind w:firstLine="0" w:firstLineChars="0"/>
      <w:jc w:val="center"/>
      <w:textAlignment w:val="center"/>
    </w:pPr>
    <w:rPr>
      <w:rFonts w:ascii="宋体"/>
      <w:kern w:val="0"/>
      <w:sz w:val="21"/>
      <w:szCs w:val="21"/>
    </w:rPr>
  </w:style>
  <w:style w:type="character" w:customStyle="1" w:styleId="477">
    <w:name w:val="页眉 Char"/>
    <w:uiPriority w:val="99"/>
    <w:rPr>
      <w:rFonts w:eastAsia="宋体"/>
      <w:kern w:val="2"/>
      <w:sz w:val="18"/>
      <w:szCs w:val="18"/>
      <w:lang w:val="en-US" w:eastAsia="zh-CN"/>
    </w:rPr>
  </w:style>
  <w:style w:type="paragraph" w:customStyle="1" w:styleId="478">
    <w:name w:val="投标1"/>
    <w:basedOn w:val="1"/>
    <w:uiPriority w:val="0"/>
    <w:pPr>
      <w:adjustRightInd/>
      <w:snapToGrid/>
      <w:spacing w:line="500" w:lineRule="exact"/>
      <w:ind w:firstLine="0" w:firstLineChars="0"/>
    </w:pPr>
    <w:rPr>
      <w:rFonts w:ascii="楷体_GB2312" w:eastAsia="楷体_GB2312" w:cs="楷体_GB2312"/>
      <w:sz w:val="28"/>
      <w:szCs w:val="28"/>
    </w:rPr>
  </w:style>
  <w:style w:type="paragraph" w:customStyle="1" w:styleId="479">
    <w:name w:val="批注框文本1"/>
    <w:basedOn w:val="1"/>
    <w:uiPriority w:val="0"/>
    <w:pPr>
      <w:adjustRightInd/>
      <w:spacing w:beforeLines="50"/>
      <w:ind w:firstLine="0" w:firstLineChars="0"/>
    </w:pPr>
    <w:rPr>
      <w:rFonts w:cs="Times New Roman"/>
      <w:sz w:val="18"/>
      <w:szCs w:val="18"/>
    </w:rPr>
  </w:style>
  <w:style w:type="paragraph" w:customStyle="1" w:styleId="480">
    <w:name w:val="样式 样式 正文缩进s4 + 首行缩进:  2 字符 + 首行缩进:  2 字符"/>
    <w:basedOn w:val="1"/>
    <w:uiPriority w:val="0"/>
    <w:pPr>
      <w:ind w:firstLine="0" w:firstLineChars="0"/>
      <w:jc w:val="center"/>
    </w:pPr>
    <w:rPr>
      <w:rFonts w:eastAsia="方正仿宋_GB2312" w:cs="Times New Roman"/>
      <w:b/>
      <w:bCs/>
      <w:sz w:val="28"/>
      <w:szCs w:val="20"/>
    </w:rPr>
  </w:style>
  <w:style w:type="character" w:customStyle="1" w:styleId="481">
    <w:name w:val="f14b1"/>
    <w:uiPriority w:val="0"/>
    <w:rPr>
      <w:b/>
      <w:bCs/>
      <w:sz w:val="21"/>
      <w:szCs w:val="21"/>
    </w:rPr>
  </w:style>
  <w:style w:type="paragraph" w:customStyle="1" w:styleId="482">
    <w:name w:val="表5号字"/>
    <w:uiPriority w:val="0"/>
    <w:pPr>
      <w:keepNext/>
      <w:widowControl w:val="0"/>
      <w:tabs>
        <w:tab w:val="left" w:pos="495"/>
      </w:tabs>
      <w:adjustRightInd w:val="0"/>
      <w:spacing w:before="120" w:line="60" w:lineRule="atLeast"/>
      <w:jc w:val="center"/>
    </w:pPr>
    <w:rPr>
      <w:rFonts w:ascii="Times New Roman" w:hAnsi="Times New Roman" w:eastAsia="宋体" w:cs="Times New Roman"/>
      <w:sz w:val="21"/>
      <w:lang w:val="en-US" w:eastAsia="zh-CN" w:bidi="ar-SA"/>
    </w:rPr>
  </w:style>
  <w:style w:type="paragraph" w:customStyle="1" w:styleId="483">
    <w:name w:val="纯文本1"/>
    <w:basedOn w:val="1"/>
    <w:uiPriority w:val="0"/>
    <w:pPr>
      <w:snapToGrid/>
      <w:ind w:firstLine="0" w:firstLineChars="0"/>
      <w:textAlignment w:val="baseline"/>
    </w:pPr>
    <w:rPr>
      <w:rFonts w:ascii="宋体" w:cs="Times New Roman"/>
      <w:kern w:val="0"/>
      <w:sz w:val="21"/>
      <w:szCs w:val="20"/>
    </w:rPr>
  </w:style>
  <w:style w:type="paragraph" w:customStyle="1" w:styleId="484">
    <w:name w:val="表格五号"/>
    <w:basedOn w:val="1"/>
    <w:uiPriority w:val="0"/>
    <w:pPr>
      <w:spacing w:line="240" w:lineRule="exact"/>
      <w:ind w:firstLine="0" w:firstLineChars="0"/>
      <w:jc w:val="center"/>
    </w:pPr>
    <w:rPr>
      <w:rFonts w:hAnsi="宋体" w:cs="Times New Roman"/>
      <w:sz w:val="21"/>
      <w:szCs w:val="21"/>
    </w:rPr>
  </w:style>
  <w:style w:type="paragraph" w:customStyle="1" w:styleId="485">
    <w:name w:val="表中正文"/>
    <w:basedOn w:val="1"/>
    <w:link w:val="697"/>
    <w:uiPriority w:val="0"/>
    <w:pPr>
      <w:autoSpaceDE w:val="0"/>
      <w:autoSpaceDN w:val="0"/>
      <w:spacing w:line="280" w:lineRule="exact"/>
      <w:ind w:firstLine="0" w:firstLineChars="0"/>
      <w:jc w:val="center"/>
    </w:pPr>
    <w:rPr>
      <w:rFonts w:ascii="宋体" w:cs="Times New Roman"/>
      <w:sz w:val="21"/>
      <w:szCs w:val="21"/>
    </w:rPr>
  </w:style>
  <w:style w:type="paragraph" w:customStyle="1" w:styleId="486">
    <w:name w:val="样式3"/>
    <w:basedOn w:val="1"/>
    <w:uiPriority w:val="0"/>
    <w:pPr>
      <w:adjustRightInd/>
      <w:snapToGrid/>
      <w:spacing w:line="490" w:lineRule="exact"/>
      <w:ind w:firstLine="0" w:firstLineChars="0"/>
    </w:pPr>
    <w:rPr>
      <w:rFonts w:ascii="方正仿宋_GB2312" w:cs="Times New Roman"/>
      <w:sz w:val="21"/>
      <w:szCs w:val="20"/>
    </w:rPr>
  </w:style>
  <w:style w:type="paragraph" w:customStyle="1" w:styleId="487">
    <w:name w:val="表标题"/>
    <w:basedOn w:val="1"/>
    <w:uiPriority w:val="0"/>
    <w:pPr>
      <w:adjustRightInd/>
      <w:snapToGrid/>
      <w:spacing w:line="560" w:lineRule="exact"/>
      <w:ind w:firstLine="0" w:firstLineChars="0"/>
      <w:jc w:val="center"/>
    </w:pPr>
    <w:rPr>
      <w:rFonts w:eastAsia="方正大标宋简体" w:cs="Times New Roman"/>
      <w:sz w:val="30"/>
      <w:szCs w:val="24"/>
    </w:rPr>
  </w:style>
  <w:style w:type="paragraph" w:customStyle="1" w:styleId="488">
    <w:name w:val="表注"/>
    <w:basedOn w:val="1"/>
    <w:uiPriority w:val="0"/>
    <w:pPr>
      <w:keepLines/>
      <w:overflowPunct w:val="0"/>
      <w:snapToGrid/>
      <w:spacing w:before="60" w:line="288" w:lineRule="auto"/>
      <w:ind w:left="737" w:hanging="397" w:firstLineChars="0"/>
      <w:textAlignment w:val="baseline"/>
    </w:pPr>
    <w:rPr>
      <w:rFonts w:ascii="宋体" w:cs="Times New Roman"/>
      <w:color w:val="FF0000"/>
      <w:kern w:val="28"/>
      <w:sz w:val="21"/>
      <w:szCs w:val="20"/>
    </w:rPr>
  </w:style>
  <w:style w:type="paragraph" w:customStyle="1" w:styleId="489">
    <w:name w:val="xl51"/>
    <w:basedOn w:val="1"/>
    <w:uiPriority w:val="0"/>
    <w:pPr>
      <w:widowControl/>
      <w:pBdr>
        <w:left w:val="single" w:color="auto" w:sz="4" w:space="0"/>
        <w:bottom w:val="single" w:color="auto" w:sz="4" w:space="0"/>
        <w:right w:val="single" w:color="auto" w:sz="4" w:space="0"/>
      </w:pBdr>
      <w:adjustRightInd/>
      <w:snapToGrid/>
      <w:spacing w:before="100" w:beforeAutospacing="1" w:after="100" w:afterAutospacing="1"/>
      <w:ind w:firstLine="0" w:firstLineChars="0"/>
      <w:jc w:val="center"/>
    </w:pPr>
    <w:rPr>
      <w:rFonts w:eastAsia="Arial Unicode MS" w:cs="Times New Roman"/>
      <w:kern w:val="0"/>
      <w:sz w:val="21"/>
      <w:szCs w:val="21"/>
    </w:rPr>
  </w:style>
  <w:style w:type="paragraph" w:customStyle="1" w:styleId="490">
    <w:name w:val="xl30"/>
    <w:basedOn w:val="1"/>
    <w:uiPriority w:val="0"/>
    <w:pPr>
      <w:widowControl/>
      <w:pBdr>
        <w:top w:val="single" w:color="auto" w:sz="4" w:space="0"/>
        <w:bottom w:val="single" w:color="auto" w:sz="4" w:space="0"/>
        <w:right w:val="single" w:color="auto" w:sz="4" w:space="0"/>
      </w:pBdr>
      <w:adjustRightInd/>
      <w:snapToGrid/>
      <w:spacing w:before="100" w:beforeAutospacing="1" w:after="100" w:afterAutospacing="1"/>
      <w:ind w:firstLine="0" w:firstLineChars="0"/>
      <w:jc w:val="center"/>
    </w:pPr>
    <w:rPr>
      <w:rFonts w:hint="eastAsia" w:ascii="方正仿宋_GB2312" w:hAnsi="宋体" w:eastAsia="方正仿宋_GB2312" w:cs="Times New Roman"/>
      <w:kern w:val="0"/>
      <w:sz w:val="21"/>
      <w:szCs w:val="21"/>
    </w:rPr>
  </w:style>
  <w:style w:type="paragraph" w:customStyle="1" w:styleId="491">
    <w:name w:val="xl31"/>
    <w:basedOn w:val="1"/>
    <w:uiPriority w:val="0"/>
    <w:pPr>
      <w:widowControl/>
      <w:pBdr>
        <w:left w:val="single" w:color="auto" w:sz="4" w:space="0"/>
        <w:bottom w:val="single" w:color="auto" w:sz="4" w:space="0"/>
        <w:right w:val="single" w:color="auto" w:sz="4" w:space="0"/>
      </w:pBdr>
      <w:adjustRightInd/>
      <w:snapToGrid/>
      <w:spacing w:before="100" w:beforeAutospacing="1" w:after="100" w:afterAutospacing="1"/>
      <w:ind w:firstLine="0" w:firstLineChars="0"/>
      <w:jc w:val="center"/>
    </w:pPr>
    <w:rPr>
      <w:rFonts w:hint="eastAsia" w:ascii="方正仿宋_GB2312" w:hAnsi="宋体" w:eastAsia="方正仿宋_GB2312" w:cs="Times New Roman"/>
      <w:kern w:val="0"/>
      <w:sz w:val="21"/>
      <w:szCs w:val="21"/>
    </w:rPr>
  </w:style>
  <w:style w:type="paragraph" w:customStyle="1" w:styleId="492">
    <w:name w:val="x2"/>
    <w:basedOn w:val="1"/>
    <w:uiPriority w:val="0"/>
    <w:pPr>
      <w:adjustRightInd/>
      <w:snapToGrid/>
      <w:ind w:firstLine="562"/>
    </w:pPr>
    <w:rPr>
      <w:rFonts w:cs="Times New Roman"/>
      <w:b/>
      <w:bCs/>
      <w:sz w:val="28"/>
      <w:szCs w:val="24"/>
    </w:rPr>
  </w:style>
  <w:style w:type="paragraph" w:customStyle="1" w:styleId="493">
    <w:name w:val="x3"/>
    <w:basedOn w:val="1"/>
    <w:uiPriority w:val="0"/>
    <w:pPr>
      <w:adjustRightInd/>
      <w:snapToGrid/>
      <w:ind w:firstLine="562"/>
    </w:pPr>
    <w:rPr>
      <w:rFonts w:ascii="宋体" w:cs="Times New Roman"/>
      <w:b/>
      <w:bCs/>
      <w:sz w:val="28"/>
      <w:szCs w:val="24"/>
    </w:rPr>
  </w:style>
  <w:style w:type="paragraph" w:customStyle="1" w:styleId="494">
    <w:name w:val="xl35"/>
    <w:basedOn w:val="1"/>
    <w:uiPriority w:val="0"/>
    <w:pPr>
      <w:widowControl/>
      <w:adjustRightInd/>
      <w:snapToGrid/>
      <w:spacing w:before="100" w:beforeAutospacing="1" w:after="100" w:afterAutospacing="1"/>
      <w:ind w:firstLine="0" w:firstLineChars="0"/>
      <w:jc w:val="center"/>
    </w:pPr>
    <w:rPr>
      <w:rFonts w:ascii="宋体" w:hAnsi="宋体" w:cs="Times New Roman"/>
      <w:kern w:val="0"/>
      <w:szCs w:val="24"/>
    </w:rPr>
  </w:style>
  <w:style w:type="character" w:customStyle="1" w:styleId="495">
    <w:name w:val="正文文本首行缩进 2 字符"/>
    <w:basedOn w:val="154"/>
    <w:link w:val="23"/>
    <w:uiPriority w:val="0"/>
    <w:rPr>
      <w:rFonts w:ascii="Times New Roman" w:hAnsi="Times New Roman" w:cs="宋体"/>
      <w:kern w:val="2"/>
      <w:sz w:val="24"/>
      <w:szCs w:val="22"/>
    </w:rPr>
  </w:style>
  <w:style w:type="character" w:customStyle="1" w:styleId="496">
    <w:name w:val="正文文字缩进 Char"/>
    <w:uiPriority w:val="0"/>
    <w:rPr>
      <w:rFonts w:eastAsia="宋体"/>
      <w:kern w:val="2"/>
      <w:sz w:val="21"/>
      <w:szCs w:val="24"/>
      <w:lang w:val="en-US" w:eastAsia="zh-CN" w:bidi="ar-SA"/>
    </w:rPr>
  </w:style>
  <w:style w:type="character" w:customStyle="1" w:styleId="497">
    <w:name w:val="HTML 预设格式 字符"/>
    <w:basedOn w:val="56"/>
    <w:link w:val="49"/>
    <w:uiPriority w:val="99"/>
    <w:rPr>
      <w:rFonts w:ascii="黑体" w:hAnsi="Courier New" w:eastAsia="黑体" w:cs="黑体"/>
    </w:rPr>
  </w:style>
  <w:style w:type="paragraph" w:customStyle="1" w:styleId="498">
    <w:name w:val="样式 标题 4 + 左侧:  0.42 厘米 右侧:  0.42 厘米"/>
    <w:basedOn w:val="5"/>
    <w:uiPriority w:val="0"/>
    <w:pPr>
      <w:numPr>
        <w:ilvl w:val="0"/>
        <w:numId w:val="0"/>
      </w:numPr>
      <w:tabs>
        <w:tab w:val="clear" w:pos="420"/>
      </w:tabs>
      <w:spacing w:before="280" w:beforeLines="50"/>
      <w:ind w:firstLine="482"/>
    </w:pPr>
    <w:rPr>
      <w:rFonts w:ascii="Times New Roman" w:hAnsi="Times New Roman" w:eastAsia="宋体"/>
      <w:color w:val="000000"/>
      <w:kern w:val="0"/>
      <w:sz w:val="24"/>
      <w:szCs w:val="24"/>
    </w:rPr>
  </w:style>
  <w:style w:type="character" w:customStyle="1" w:styleId="499">
    <w:name w:val="p11"/>
    <w:uiPriority w:val="0"/>
    <w:rPr>
      <w:rFonts w:ascii="宋体" w:hAnsi="宋体" w:eastAsia="宋体" w:cs="宋体"/>
      <w:sz w:val="18"/>
      <w:szCs w:val="18"/>
    </w:rPr>
  </w:style>
  <w:style w:type="character" w:customStyle="1" w:styleId="500">
    <w:name w:val="正文文本首行缩进 字符"/>
    <w:basedOn w:val="189"/>
    <w:link w:val="24"/>
    <w:uiPriority w:val="0"/>
    <w:rPr>
      <w:rFonts w:ascii="宋体" w:hAnsi="宋体" w:cs="宋体"/>
      <w:kern w:val="2"/>
      <w:sz w:val="24"/>
      <w:szCs w:val="24"/>
    </w:rPr>
  </w:style>
  <w:style w:type="paragraph" w:customStyle="1" w:styleId="501">
    <w:name w:val="版心内容为四号字的样式"/>
    <w:basedOn w:val="1"/>
    <w:uiPriority w:val="0"/>
    <w:pPr>
      <w:ind w:firstLine="560"/>
    </w:pPr>
    <w:rPr>
      <w:rFonts w:cs="Times New Roman"/>
      <w:color w:val="FF0000"/>
      <w:sz w:val="28"/>
      <w:szCs w:val="28"/>
    </w:rPr>
  </w:style>
  <w:style w:type="paragraph" w:customStyle="1" w:styleId="502">
    <w:name w:val="正文1"/>
    <w:basedOn w:val="1"/>
    <w:uiPriority w:val="0"/>
    <w:pPr>
      <w:tabs>
        <w:tab w:val="left" w:pos="600"/>
      </w:tabs>
      <w:snapToGrid/>
      <w:spacing w:line="396" w:lineRule="atLeast"/>
      <w:ind w:firstLine="0" w:firstLineChars="0"/>
      <w:textAlignment w:val="baseline"/>
    </w:pPr>
    <w:rPr>
      <w:rFonts w:ascii="宋体"/>
      <w:kern w:val="0"/>
      <w:szCs w:val="24"/>
    </w:rPr>
  </w:style>
  <w:style w:type="paragraph" w:customStyle="1" w:styleId="503">
    <w:name w:val="样式 样式 样式 首行缩进:  2 字符 段前: 0.5 行 + 首行缩进:  2 字符 段前: 0.5 行 + 首行缩进:  ..."/>
    <w:basedOn w:val="1"/>
    <w:uiPriority w:val="0"/>
    <w:pPr>
      <w:adjustRightInd/>
      <w:spacing w:beforeLines="50"/>
    </w:pPr>
    <w:rPr>
      <w:rFonts w:cs="Times New Roman"/>
      <w:szCs w:val="20"/>
    </w:rPr>
  </w:style>
  <w:style w:type="paragraph" w:customStyle="1" w:styleId="504">
    <w:name w:val="xl39"/>
    <w:basedOn w:val="1"/>
    <w:uiPriority w:val="0"/>
    <w:pPr>
      <w:widowControl/>
      <w:pBdr>
        <w:left w:val="single" w:color="auto" w:sz="4" w:space="0"/>
        <w:bottom w:val="single" w:color="auto" w:sz="4" w:space="0"/>
      </w:pBdr>
      <w:adjustRightInd/>
      <w:spacing w:beforeLines="50" w:beforeAutospacing="1" w:after="100" w:afterAutospacing="1"/>
      <w:ind w:firstLine="480"/>
      <w:jc w:val="center"/>
    </w:pPr>
    <w:rPr>
      <w:rFonts w:ascii="Arial Unicode MS" w:hAnsi="Arial Unicode MS" w:eastAsia="Arial Unicode MS" w:cs="Arial Unicode MS"/>
      <w:kern w:val="0"/>
      <w:szCs w:val="24"/>
    </w:rPr>
  </w:style>
  <w:style w:type="paragraph" w:customStyle="1" w:styleId="505">
    <w:name w:val="xl32"/>
    <w:basedOn w:val="1"/>
    <w:uiPriority w:val="0"/>
    <w:pPr>
      <w:widowControl/>
      <w:pBdr>
        <w:top w:val="single" w:color="auto" w:sz="4" w:space="0"/>
        <w:left w:val="single" w:color="auto" w:sz="4" w:space="0"/>
        <w:bottom w:val="single" w:color="auto" w:sz="4" w:space="0"/>
        <w:right w:val="single" w:color="auto" w:sz="4" w:space="0"/>
      </w:pBdr>
      <w:adjustRightInd/>
      <w:spacing w:beforeLines="50" w:beforeAutospacing="1" w:after="100" w:afterAutospacing="1"/>
      <w:ind w:firstLine="0" w:firstLineChars="0"/>
      <w:jc w:val="center"/>
      <w:textAlignment w:val="center"/>
    </w:pPr>
    <w:rPr>
      <w:rFonts w:hint="eastAsia" w:ascii="方正仿宋_GB2312" w:hAnsi="Arial Unicode MS" w:eastAsia="方正仿宋_GB2312" w:cs="Arial Unicode MS"/>
      <w:kern w:val="0"/>
      <w:sz w:val="20"/>
      <w:szCs w:val="20"/>
    </w:rPr>
  </w:style>
  <w:style w:type="paragraph" w:customStyle="1" w:styleId="506">
    <w:name w:val="xl33"/>
    <w:basedOn w:val="1"/>
    <w:uiPriority w:val="0"/>
    <w:pPr>
      <w:widowControl/>
      <w:pBdr>
        <w:top w:val="single" w:color="auto" w:sz="4" w:space="0"/>
        <w:left w:val="single" w:color="auto" w:sz="4" w:space="0"/>
        <w:bottom w:val="single" w:color="auto" w:sz="4" w:space="0"/>
        <w:right w:val="single" w:color="auto" w:sz="4" w:space="0"/>
      </w:pBdr>
      <w:adjustRightInd/>
      <w:spacing w:beforeLines="50" w:beforeAutospacing="1" w:after="100" w:afterAutospacing="1"/>
      <w:ind w:firstLine="0" w:firstLineChars="0"/>
      <w:jc w:val="center"/>
      <w:textAlignment w:val="center"/>
    </w:pPr>
    <w:rPr>
      <w:rFonts w:eastAsia="Arial Unicode MS" w:cs="Times New Roman"/>
      <w:kern w:val="0"/>
      <w:sz w:val="20"/>
      <w:szCs w:val="20"/>
    </w:rPr>
  </w:style>
  <w:style w:type="paragraph" w:customStyle="1" w:styleId="507">
    <w:name w:val="xl34"/>
    <w:basedOn w:val="1"/>
    <w:uiPriority w:val="0"/>
    <w:pPr>
      <w:widowControl/>
      <w:pBdr>
        <w:top w:val="single" w:color="auto" w:sz="4" w:space="0"/>
        <w:left w:val="single" w:color="auto" w:sz="4" w:space="0"/>
        <w:bottom w:val="single" w:color="auto" w:sz="4" w:space="0"/>
        <w:right w:val="single" w:color="auto" w:sz="4" w:space="0"/>
      </w:pBdr>
      <w:adjustRightInd/>
      <w:spacing w:beforeLines="50" w:beforeAutospacing="1" w:after="100" w:afterAutospacing="1"/>
      <w:ind w:firstLine="0" w:firstLineChars="0"/>
      <w:jc w:val="center"/>
      <w:textAlignment w:val="center"/>
    </w:pPr>
    <w:rPr>
      <w:rFonts w:eastAsia="Arial Unicode MS" w:cs="Times New Roman"/>
      <w:kern w:val="0"/>
      <w:sz w:val="20"/>
      <w:szCs w:val="20"/>
    </w:rPr>
  </w:style>
  <w:style w:type="paragraph" w:customStyle="1" w:styleId="508">
    <w:name w:val="xl37"/>
    <w:basedOn w:val="1"/>
    <w:uiPriority w:val="0"/>
    <w:pPr>
      <w:widowControl/>
      <w:pBdr>
        <w:top w:val="single" w:color="auto" w:sz="4" w:space="0"/>
        <w:left w:val="single" w:color="auto" w:sz="4" w:space="0"/>
        <w:bottom w:val="single" w:color="auto" w:sz="4" w:space="0"/>
        <w:right w:val="single" w:color="auto" w:sz="4" w:space="0"/>
      </w:pBdr>
      <w:adjustRightInd/>
      <w:spacing w:beforeLines="50" w:beforeAutospacing="1" w:after="100" w:afterAutospacing="1"/>
      <w:ind w:firstLine="0" w:firstLineChars="0"/>
      <w:jc w:val="center"/>
      <w:textAlignment w:val="center"/>
    </w:pPr>
    <w:rPr>
      <w:rFonts w:eastAsia="Arial Unicode MS" w:cs="Times New Roman"/>
      <w:kern w:val="0"/>
      <w:sz w:val="20"/>
      <w:szCs w:val="20"/>
    </w:rPr>
  </w:style>
  <w:style w:type="paragraph" w:customStyle="1" w:styleId="509">
    <w:name w:val="xl38"/>
    <w:basedOn w:val="1"/>
    <w:uiPriority w:val="0"/>
    <w:pPr>
      <w:widowControl/>
      <w:adjustRightInd/>
      <w:snapToGrid/>
      <w:spacing w:before="100" w:beforeAutospacing="1" w:after="100" w:afterAutospacing="1"/>
      <w:ind w:firstLine="0" w:firstLineChars="0"/>
      <w:jc w:val="center"/>
      <w:textAlignment w:val="center"/>
    </w:pPr>
    <w:rPr>
      <w:rFonts w:ascii="Arial Unicode MS" w:hAnsi="Arial Unicode MS" w:eastAsia="Arial Unicode MS" w:cs="Arial Unicode MS"/>
      <w:kern w:val="0"/>
      <w:szCs w:val="24"/>
    </w:rPr>
  </w:style>
  <w:style w:type="paragraph" w:customStyle="1" w:styleId="510">
    <w:name w:val="xl43"/>
    <w:basedOn w:val="1"/>
    <w:uiPriority w:val="0"/>
    <w:pPr>
      <w:widowControl/>
      <w:pBdr>
        <w:left w:val="single" w:color="auto" w:sz="4" w:space="0"/>
        <w:bottom w:val="single" w:color="auto" w:sz="4" w:space="0"/>
      </w:pBdr>
      <w:adjustRightInd/>
      <w:snapToGrid/>
      <w:spacing w:before="100" w:beforeAutospacing="1" w:after="100" w:afterAutospacing="1"/>
      <w:ind w:firstLine="0" w:firstLineChars="0"/>
      <w:jc w:val="center"/>
    </w:pPr>
    <w:rPr>
      <w:rFonts w:ascii="Arial Unicode MS" w:hAnsi="Arial Unicode MS" w:eastAsia="Arial Unicode MS" w:cs="Arial Unicode MS"/>
      <w:kern w:val="0"/>
      <w:sz w:val="21"/>
      <w:szCs w:val="21"/>
    </w:rPr>
  </w:style>
  <w:style w:type="paragraph" w:customStyle="1" w:styleId="511">
    <w:name w:val="td"/>
    <w:basedOn w:val="1"/>
    <w:uiPriority w:val="0"/>
    <w:pPr>
      <w:widowControl/>
      <w:adjustRightInd/>
      <w:snapToGrid/>
      <w:spacing w:before="100" w:beforeAutospacing="1" w:after="100" w:afterAutospacing="1"/>
      <w:ind w:firstLine="0" w:firstLineChars="0"/>
      <w:jc w:val="left"/>
    </w:pPr>
    <w:rPr>
      <w:rFonts w:hint="eastAsia" w:ascii="宋体" w:hAnsi="宋体" w:cs="Times New Roman"/>
      <w:color w:val="000000"/>
      <w:kern w:val="0"/>
      <w:sz w:val="18"/>
      <w:szCs w:val="18"/>
    </w:rPr>
  </w:style>
  <w:style w:type="paragraph" w:customStyle="1" w:styleId="512">
    <w:name w:val="样式 左侧:  0.42 厘米 右侧:  0.42 厘米"/>
    <w:basedOn w:val="1"/>
    <w:uiPriority w:val="0"/>
    <w:pPr>
      <w:adjustRightInd/>
      <w:spacing w:beforeLines="50"/>
      <w:ind w:firstLine="480"/>
    </w:pPr>
    <w:rPr>
      <w:rFonts w:cs="Times New Roman"/>
      <w:color w:val="FF0000"/>
      <w:szCs w:val="20"/>
    </w:rPr>
  </w:style>
  <w:style w:type="paragraph" w:customStyle="1" w:styleId="513">
    <w:name w:val="样式 标题 3 + 左侧:  0.42 厘米 右侧:  0.42 厘米"/>
    <w:basedOn w:val="4"/>
    <w:uiPriority w:val="0"/>
    <w:pPr>
      <w:keepNext/>
      <w:keepLines/>
      <w:numPr>
        <w:ilvl w:val="0"/>
        <w:numId w:val="0"/>
      </w:numPr>
      <w:tabs>
        <w:tab w:val="clear" w:pos="0"/>
      </w:tabs>
      <w:adjustRightInd/>
    </w:pPr>
    <w:rPr>
      <w:rFonts w:ascii="方正仿宋_GB2312" w:eastAsia="方正仿宋_GB2312" w:cs="Times New Roman"/>
      <w:b/>
      <w:bCs/>
      <w:sz w:val="24"/>
      <w:szCs w:val="20"/>
    </w:rPr>
  </w:style>
  <w:style w:type="paragraph" w:customStyle="1" w:styleId="514">
    <w:name w:val="xl60"/>
    <w:basedOn w:val="1"/>
    <w:uiPriority w:val="0"/>
    <w:pPr>
      <w:widowControl/>
      <w:pBdr>
        <w:bottom w:val="single" w:color="auto" w:sz="4" w:space="0"/>
        <w:right w:val="single" w:color="000000" w:sz="4" w:space="0"/>
      </w:pBdr>
      <w:adjustRightInd/>
      <w:snapToGrid/>
      <w:spacing w:before="100" w:beforeAutospacing="1" w:after="100" w:afterAutospacing="1"/>
      <w:ind w:firstLine="0" w:firstLineChars="0"/>
      <w:jc w:val="center"/>
    </w:pPr>
    <w:rPr>
      <w:rFonts w:hint="eastAsia" w:ascii="Arial Unicode MS" w:hAnsi="Arial Unicode MS" w:eastAsia="Arial Unicode MS" w:cs="Times New Roman"/>
      <w:kern w:val="0"/>
      <w:sz w:val="21"/>
      <w:szCs w:val="21"/>
    </w:rPr>
  </w:style>
  <w:style w:type="paragraph" w:customStyle="1" w:styleId="515">
    <w:name w:val="样式 标题 1 + 首行缩进:  2 字符 段前: 0.5 行"/>
    <w:basedOn w:val="2"/>
    <w:uiPriority w:val="0"/>
    <w:pPr>
      <w:keepNext/>
      <w:keepLines/>
      <w:numPr>
        <w:numId w:val="0"/>
      </w:numPr>
      <w:adjustRightInd/>
      <w:snapToGrid/>
      <w:spacing w:before="214" w:beforeLines="50"/>
      <w:ind w:right="0"/>
      <w:jc w:val="left"/>
    </w:pPr>
    <w:rPr>
      <w:rFonts w:ascii="黑体" w:cs="宋体"/>
      <w:b/>
      <w:bCs/>
      <w:kern w:val="44"/>
      <w:sz w:val="36"/>
      <w:szCs w:val="36"/>
      <w:lang w:val="zh-CN"/>
    </w:rPr>
  </w:style>
  <w:style w:type="paragraph" w:customStyle="1" w:styleId="516">
    <w:name w:val="日期1"/>
    <w:basedOn w:val="1"/>
    <w:next w:val="1"/>
    <w:uiPriority w:val="0"/>
    <w:pPr>
      <w:snapToGrid/>
      <w:ind w:firstLine="0" w:firstLineChars="0"/>
      <w:textAlignment w:val="baseline"/>
    </w:pPr>
    <w:rPr>
      <w:rFonts w:cs="Times New Roman"/>
      <w:snapToGrid w:val="0"/>
      <w:szCs w:val="20"/>
    </w:rPr>
  </w:style>
  <w:style w:type="paragraph" w:customStyle="1" w:styleId="517">
    <w:name w:val="样式 纯文本 + (中文) 宋体 二号 行距: 最小值 8 磅"/>
    <w:basedOn w:val="29"/>
    <w:uiPriority w:val="0"/>
    <w:pPr>
      <w:snapToGrid w:val="0"/>
      <w:spacing w:beforeLines="50" w:line="160" w:lineRule="atLeast"/>
      <w:jc w:val="center"/>
    </w:pPr>
    <w:rPr>
      <w:rFonts w:ascii="Times New Roman" w:hAnsi="Times New Roman" w:cs="宋体"/>
      <w:spacing w:val="34"/>
      <w:sz w:val="44"/>
    </w:rPr>
  </w:style>
  <w:style w:type="paragraph" w:customStyle="1" w:styleId="518">
    <w:name w:val="表格2"/>
    <w:basedOn w:val="134"/>
    <w:uiPriority w:val="0"/>
    <w:pPr>
      <w:spacing w:line="360" w:lineRule="auto"/>
      <w:jc w:val="left"/>
    </w:pPr>
    <w:rPr>
      <w:rFonts w:hAnsi="宋体"/>
      <w:snapToGrid w:val="0"/>
      <w:kern w:val="0"/>
      <w:sz w:val="18"/>
      <w:szCs w:val="18"/>
    </w:rPr>
  </w:style>
  <w:style w:type="paragraph" w:customStyle="1" w:styleId="519">
    <w:name w:val="xl40"/>
    <w:basedOn w:val="1"/>
    <w:uiPriority w:val="0"/>
    <w:pPr>
      <w:widowControl/>
      <w:pBdr>
        <w:top w:val="single" w:color="auto" w:sz="4" w:space="0"/>
        <w:left w:val="single" w:color="auto" w:sz="4" w:space="0"/>
        <w:bottom w:val="single" w:color="auto" w:sz="4" w:space="0"/>
        <w:right w:val="single" w:color="auto" w:sz="4" w:space="0"/>
      </w:pBdr>
      <w:shd w:val="clear" w:color="auto" w:fill="FF99CC"/>
      <w:adjustRightInd/>
      <w:snapToGrid/>
      <w:spacing w:before="100" w:beforeAutospacing="1" w:after="100" w:afterAutospacing="1"/>
      <w:ind w:firstLine="0" w:firstLineChars="0"/>
      <w:jc w:val="center"/>
    </w:pPr>
    <w:rPr>
      <w:rFonts w:eastAsia="Arial Unicode MS" w:cs="Times New Roman"/>
      <w:kern w:val="0"/>
      <w:sz w:val="22"/>
    </w:rPr>
  </w:style>
  <w:style w:type="paragraph" w:customStyle="1" w:styleId="520">
    <w:name w:val="xl41"/>
    <w:basedOn w:val="1"/>
    <w:uiPriority w:val="0"/>
    <w:pPr>
      <w:widowControl/>
      <w:pBdr>
        <w:top w:val="single" w:color="auto" w:sz="4" w:space="0"/>
        <w:left w:val="single" w:color="auto" w:sz="4" w:space="0"/>
        <w:bottom w:val="single" w:color="auto" w:sz="4" w:space="0"/>
        <w:right w:val="single" w:color="auto" w:sz="4" w:space="0"/>
      </w:pBdr>
      <w:shd w:val="clear" w:color="auto" w:fill="FFFF99"/>
      <w:adjustRightInd/>
      <w:snapToGrid/>
      <w:spacing w:before="100" w:beforeAutospacing="1" w:after="100" w:afterAutospacing="1"/>
      <w:ind w:firstLine="0" w:firstLineChars="0"/>
      <w:jc w:val="center"/>
    </w:pPr>
    <w:rPr>
      <w:rFonts w:eastAsia="Arial Unicode MS" w:cs="Times New Roman"/>
      <w:kern w:val="0"/>
      <w:sz w:val="22"/>
    </w:rPr>
  </w:style>
  <w:style w:type="paragraph" w:customStyle="1" w:styleId="521">
    <w:name w:val="xl42"/>
    <w:basedOn w:val="1"/>
    <w:uiPriority w:val="0"/>
    <w:pPr>
      <w:widowControl/>
      <w:pBdr>
        <w:top w:val="single" w:color="auto" w:sz="4" w:space="0"/>
        <w:left w:val="single" w:color="auto" w:sz="4" w:space="0"/>
        <w:bottom w:val="single" w:color="auto" w:sz="4" w:space="0"/>
        <w:right w:val="single" w:color="auto" w:sz="4" w:space="0"/>
      </w:pBdr>
      <w:shd w:val="clear" w:color="auto" w:fill="FF99CC"/>
      <w:adjustRightInd/>
      <w:snapToGrid/>
      <w:spacing w:before="100" w:beforeAutospacing="1" w:after="100" w:afterAutospacing="1"/>
      <w:ind w:firstLine="0" w:firstLineChars="0"/>
      <w:jc w:val="center"/>
    </w:pPr>
    <w:rPr>
      <w:rFonts w:eastAsia="Arial Unicode MS" w:cs="Times New Roman"/>
      <w:kern w:val="0"/>
      <w:sz w:val="22"/>
    </w:rPr>
  </w:style>
  <w:style w:type="paragraph" w:customStyle="1" w:styleId="522">
    <w:name w:val="xl44"/>
    <w:basedOn w:val="1"/>
    <w:uiPriority w:val="0"/>
    <w:pPr>
      <w:widowControl/>
      <w:adjustRightInd/>
      <w:snapToGrid/>
      <w:spacing w:before="100" w:beforeAutospacing="1" w:after="100" w:afterAutospacing="1"/>
      <w:ind w:firstLine="0" w:firstLineChars="0"/>
      <w:jc w:val="center"/>
    </w:pPr>
    <w:rPr>
      <w:rFonts w:ascii="Arial Unicode MS" w:hAnsi="Arial Unicode MS" w:eastAsia="Arial Unicode MS" w:cs="Arial Unicode MS"/>
      <w:b/>
      <w:bCs/>
      <w:kern w:val="0"/>
      <w:szCs w:val="24"/>
    </w:rPr>
  </w:style>
  <w:style w:type="paragraph" w:customStyle="1" w:styleId="523">
    <w:name w:val="xl45"/>
    <w:basedOn w:val="1"/>
    <w:uiPriority w:val="0"/>
    <w:pPr>
      <w:widowControl/>
      <w:pBdr>
        <w:top w:val="single" w:color="auto" w:sz="4" w:space="0"/>
        <w:left w:val="single" w:color="auto" w:sz="4" w:space="0"/>
        <w:right w:val="single" w:color="auto" w:sz="4" w:space="0"/>
      </w:pBdr>
      <w:adjustRightInd/>
      <w:snapToGrid/>
      <w:spacing w:before="100" w:beforeAutospacing="1" w:after="100" w:afterAutospacing="1"/>
      <w:ind w:firstLine="0" w:firstLineChars="0"/>
      <w:jc w:val="center"/>
    </w:pPr>
    <w:rPr>
      <w:rFonts w:ascii="Arial Unicode MS" w:hAnsi="Arial Unicode MS" w:eastAsia="Arial Unicode MS" w:cs="Arial Unicode MS"/>
      <w:kern w:val="0"/>
      <w:sz w:val="21"/>
      <w:szCs w:val="21"/>
    </w:rPr>
  </w:style>
  <w:style w:type="paragraph" w:customStyle="1" w:styleId="524">
    <w:name w:val="xl46"/>
    <w:basedOn w:val="1"/>
    <w:uiPriority w:val="0"/>
    <w:pPr>
      <w:widowControl/>
      <w:pBdr>
        <w:left w:val="single" w:color="auto" w:sz="4" w:space="0"/>
        <w:bottom w:val="single" w:color="auto" w:sz="4" w:space="0"/>
        <w:right w:val="single" w:color="auto" w:sz="4" w:space="0"/>
      </w:pBdr>
      <w:adjustRightInd/>
      <w:snapToGrid/>
      <w:spacing w:before="100" w:beforeAutospacing="1" w:after="100" w:afterAutospacing="1"/>
      <w:ind w:firstLine="0" w:firstLineChars="0"/>
      <w:jc w:val="center"/>
    </w:pPr>
    <w:rPr>
      <w:rFonts w:eastAsia="Arial Unicode MS" w:cs="Times New Roman"/>
      <w:kern w:val="0"/>
      <w:sz w:val="21"/>
      <w:szCs w:val="21"/>
    </w:rPr>
  </w:style>
  <w:style w:type="paragraph" w:customStyle="1" w:styleId="525">
    <w:name w:val="xl47"/>
    <w:basedOn w:val="1"/>
    <w:uiPriority w:val="0"/>
    <w:pPr>
      <w:widowControl/>
      <w:pBdr>
        <w:top w:val="single" w:color="auto" w:sz="4" w:space="0"/>
        <w:bottom w:val="single" w:color="auto" w:sz="4" w:space="0"/>
      </w:pBdr>
      <w:adjustRightInd/>
      <w:snapToGrid/>
      <w:spacing w:before="100" w:beforeAutospacing="1" w:after="100" w:afterAutospacing="1"/>
      <w:ind w:firstLine="0" w:firstLineChars="0"/>
      <w:jc w:val="center"/>
    </w:pPr>
    <w:rPr>
      <w:rFonts w:eastAsia="Arial Unicode MS" w:cs="Times New Roman"/>
      <w:kern w:val="0"/>
      <w:sz w:val="21"/>
      <w:szCs w:val="21"/>
    </w:rPr>
  </w:style>
  <w:style w:type="paragraph" w:customStyle="1" w:styleId="526">
    <w:name w:val="xl48"/>
    <w:basedOn w:val="1"/>
    <w:uiPriority w:val="0"/>
    <w:pPr>
      <w:widowControl/>
      <w:pBdr>
        <w:bottom w:val="single" w:color="auto" w:sz="4" w:space="0"/>
      </w:pBdr>
      <w:adjustRightInd/>
      <w:snapToGrid/>
      <w:spacing w:before="100" w:beforeAutospacing="1" w:after="100" w:afterAutospacing="1"/>
      <w:ind w:firstLine="0" w:firstLineChars="0"/>
      <w:jc w:val="left"/>
    </w:pPr>
    <w:rPr>
      <w:rFonts w:ascii="Arial Unicode MS" w:hAnsi="Arial Unicode MS" w:eastAsia="Arial Unicode MS" w:cs="Arial Unicode MS"/>
      <w:kern w:val="0"/>
      <w:sz w:val="21"/>
      <w:szCs w:val="21"/>
    </w:rPr>
  </w:style>
  <w:style w:type="paragraph" w:customStyle="1" w:styleId="527">
    <w:name w:val="xl49"/>
    <w:basedOn w:val="1"/>
    <w:uiPriority w:val="0"/>
    <w:pPr>
      <w:widowControl/>
      <w:pBdr>
        <w:bottom w:val="single" w:color="auto" w:sz="4" w:space="0"/>
      </w:pBdr>
      <w:adjustRightInd/>
      <w:snapToGrid/>
      <w:spacing w:before="100" w:beforeAutospacing="1" w:after="100" w:afterAutospacing="1"/>
      <w:ind w:firstLine="0" w:firstLineChars="0"/>
      <w:jc w:val="center"/>
    </w:pPr>
    <w:rPr>
      <w:rFonts w:ascii="Arial Unicode MS" w:hAnsi="Arial Unicode MS" w:eastAsia="Arial Unicode MS" w:cs="Arial Unicode MS"/>
      <w:kern w:val="0"/>
      <w:sz w:val="21"/>
      <w:szCs w:val="21"/>
    </w:rPr>
  </w:style>
  <w:style w:type="paragraph" w:customStyle="1" w:styleId="528">
    <w:name w:val="xl50"/>
    <w:basedOn w:val="1"/>
    <w:uiPriority w:val="0"/>
    <w:pPr>
      <w:widowControl/>
      <w:pBdr>
        <w:top w:val="single" w:color="auto" w:sz="4" w:space="0"/>
        <w:left w:val="single" w:color="auto" w:sz="4" w:space="0"/>
        <w:right w:val="single" w:color="auto" w:sz="4" w:space="0"/>
      </w:pBdr>
      <w:adjustRightInd/>
      <w:snapToGrid/>
      <w:spacing w:before="100" w:beforeAutospacing="1" w:after="100" w:afterAutospacing="1"/>
      <w:ind w:firstLine="0" w:firstLineChars="0"/>
      <w:jc w:val="center"/>
    </w:pPr>
    <w:rPr>
      <w:rFonts w:ascii="Arial Unicode MS" w:hAnsi="Arial Unicode MS" w:eastAsia="Arial Unicode MS" w:cs="Arial Unicode MS"/>
      <w:kern w:val="0"/>
      <w:sz w:val="21"/>
      <w:szCs w:val="21"/>
    </w:rPr>
  </w:style>
  <w:style w:type="paragraph" w:customStyle="1" w:styleId="529">
    <w:name w:val="xl52"/>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ind w:firstLine="0" w:firstLineChars="0"/>
      <w:jc w:val="center"/>
    </w:pPr>
    <w:rPr>
      <w:rFonts w:ascii="Arial Unicode MS" w:hAnsi="Arial Unicode MS" w:eastAsia="Arial Unicode MS" w:cs="Arial Unicode MS"/>
      <w:kern w:val="0"/>
      <w:sz w:val="20"/>
      <w:szCs w:val="20"/>
    </w:rPr>
  </w:style>
  <w:style w:type="paragraph" w:customStyle="1" w:styleId="530">
    <w:name w:val="xl53"/>
    <w:basedOn w:val="1"/>
    <w:uiPriority w:val="0"/>
    <w:pPr>
      <w:widowControl/>
      <w:pBdr>
        <w:left w:val="single" w:color="auto" w:sz="4" w:space="0"/>
        <w:bottom w:val="single" w:color="auto" w:sz="4" w:space="0"/>
        <w:right w:val="single" w:color="auto" w:sz="4" w:space="0"/>
      </w:pBdr>
      <w:adjustRightInd/>
      <w:snapToGrid/>
      <w:spacing w:before="100" w:beforeAutospacing="1" w:after="100" w:afterAutospacing="1"/>
      <w:ind w:firstLine="0" w:firstLineChars="0"/>
      <w:jc w:val="center"/>
    </w:pPr>
    <w:rPr>
      <w:rFonts w:eastAsia="Arial Unicode MS" w:cs="Times New Roman"/>
      <w:kern w:val="0"/>
      <w:sz w:val="20"/>
      <w:szCs w:val="20"/>
    </w:rPr>
  </w:style>
  <w:style w:type="paragraph" w:customStyle="1" w:styleId="531">
    <w:name w:val="xl54"/>
    <w:basedOn w:val="1"/>
    <w:uiPriority w:val="0"/>
    <w:pPr>
      <w:widowControl/>
      <w:pBdr>
        <w:top w:val="single" w:color="auto" w:sz="4" w:space="0"/>
        <w:left w:val="single" w:color="auto" w:sz="4" w:space="0"/>
        <w:right w:val="single" w:color="auto" w:sz="4" w:space="0"/>
      </w:pBdr>
      <w:adjustRightInd/>
      <w:snapToGrid/>
      <w:spacing w:before="100" w:beforeAutospacing="1" w:after="100" w:afterAutospacing="1"/>
      <w:ind w:firstLine="0" w:firstLineChars="0"/>
      <w:jc w:val="center"/>
    </w:pPr>
    <w:rPr>
      <w:rFonts w:ascii="Arial Unicode MS" w:hAnsi="Arial Unicode MS" w:eastAsia="Arial Unicode MS" w:cs="Arial Unicode MS"/>
      <w:kern w:val="0"/>
      <w:sz w:val="20"/>
      <w:szCs w:val="20"/>
    </w:rPr>
  </w:style>
  <w:style w:type="paragraph" w:customStyle="1" w:styleId="532">
    <w:name w:val="xl55"/>
    <w:basedOn w:val="1"/>
    <w:uiPriority w:val="0"/>
    <w:pPr>
      <w:widowControl/>
      <w:pBdr>
        <w:top w:val="single" w:color="auto" w:sz="4" w:space="0"/>
        <w:left w:val="single" w:color="auto" w:sz="4" w:space="0"/>
        <w:right w:val="single" w:color="auto" w:sz="4" w:space="0"/>
      </w:pBdr>
      <w:shd w:val="clear" w:color="auto" w:fill="CCFFCC"/>
      <w:adjustRightInd/>
      <w:snapToGrid/>
      <w:spacing w:before="100" w:beforeAutospacing="1" w:after="100" w:afterAutospacing="1"/>
      <w:ind w:firstLine="0" w:firstLineChars="0"/>
      <w:jc w:val="center"/>
    </w:pPr>
    <w:rPr>
      <w:rFonts w:ascii="Arial Unicode MS" w:hAnsi="Arial Unicode MS" w:eastAsia="Arial Unicode MS" w:cs="Arial Unicode MS"/>
      <w:kern w:val="0"/>
      <w:sz w:val="20"/>
      <w:szCs w:val="20"/>
    </w:rPr>
  </w:style>
  <w:style w:type="paragraph" w:customStyle="1" w:styleId="533">
    <w:name w:val="xl56"/>
    <w:basedOn w:val="1"/>
    <w:uiPriority w:val="0"/>
    <w:pPr>
      <w:widowControl/>
      <w:pBdr>
        <w:left w:val="single" w:color="auto" w:sz="4" w:space="0"/>
        <w:bottom w:val="single" w:color="auto" w:sz="4" w:space="0"/>
        <w:right w:val="single" w:color="auto" w:sz="4" w:space="0"/>
      </w:pBdr>
      <w:shd w:val="clear" w:color="auto" w:fill="CCFFCC"/>
      <w:adjustRightInd/>
      <w:snapToGrid/>
      <w:spacing w:before="100" w:beforeAutospacing="1" w:after="100" w:afterAutospacing="1"/>
      <w:ind w:firstLine="0" w:firstLineChars="0"/>
      <w:jc w:val="center"/>
    </w:pPr>
    <w:rPr>
      <w:rFonts w:eastAsia="Arial Unicode MS" w:cs="Times New Roman"/>
      <w:kern w:val="0"/>
      <w:sz w:val="20"/>
      <w:szCs w:val="20"/>
    </w:rPr>
  </w:style>
  <w:style w:type="paragraph" w:customStyle="1" w:styleId="534">
    <w:name w:val="xl58"/>
    <w:basedOn w:val="1"/>
    <w:uiPriority w:val="0"/>
    <w:pPr>
      <w:widowControl/>
      <w:adjustRightInd/>
      <w:snapToGrid/>
      <w:spacing w:before="100" w:beforeAutospacing="1" w:after="100" w:afterAutospacing="1"/>
      <w:ind w:firstLine="0" w:firstLineChars="0"/>
      <w:jc w:val="center"/>
    </w:pPr>
    <w:rPr>
      <w:rFonts w:ascii="Arial Unicode MS" w:hAnsi="Arial Unicode MS" w:eastAsia="Arial Unicode MS" w:cs="Arial Unicode MS"/>
      <w:b/>
      <w:bCs/>
      <w:kern w:val="0"/>
      <w:szCs w:val="24"/>
    </w:rPr>
  </w:style>
  <w:style w:type="paragraph" w:customStyle="1" w:styleId="535">
    <w:name w:val="xl61"/>
    <w:basedOn w:val="1"/>
    <w:uiPriority w:val="0"/>
    <w:pPr>
      <w:widowControl/>
      <w:pBdr>
        <w:top w:val="single" w:color="auto" w:sz="4" w:space="0"/>
        <w:left w:val="single" w:color="auto" w:sz="4" w:space="0"/>
        <w:bottom w:val="single" w:color="auto" w:sz="4" w:space="0"/>
      </w:pBdr>
      <w:adjustRightInd/>
      <w:snapToGrid/>
      <w:spacing w:before="100" w:beforeAutospacing="1" w:after="100" w:afterAutospacing="1"/>
      <w:ind w:firstLine="0" w:firstLineChars="0"/>
      <w:jc w:val="center"/>
    </w:pPr>
    <w:rPr>
      <w:rFonts w:ascii="Arial Unicode MS" w:hAnsi="Arial Unicode MS" w:eastAsia="Arial Unicode MS" w:cs="Arial Unicode MS"/>
      <w:kern w:val="0"/>
      <w:sz w:val="20"/>
      <w:szCs w:val="20"/>
    </w:rPr>
  </w:style>
  <w:style w:type="paragraph" w:customStyle="1" w:styleId="536">
    <w:name w:val="xl62"/>
    <w:basedOn w:val="1"/>
    <w:uiPriority w:val="0"/>
    <w:pPr>
      <w:widowControl/>
      <w:pBdr>
        <w:top w:val="single" w:color="auto" w:sz="4" w:space="0"/>
        <w:bottom w:val="single" w:color="auto" w:sz="4" w:space="0"/>
      </w:pBdr>
      <w:adjustRightInd/>
      <w:snapToGrid/>
      <w:spacing w:before="100" w:beforeAutospacing="1" w:after="100" w:afterAutospacing="1"/>
      <w:ind w:firstLine="0" w:firstLineChars="0"/>
      <w:jc w:val="center"/>
    </w:pPr>
    <w:rPr>
      <w:rFonts w:eastAsia="Arial Unicode MS" w:cs="Times New Roman"/>
      <w:kern w:val="0"/>
      <w:sz w:val="20"/>
      <w:szCs w:val="20"/>
    </w:rPr>
  </w:style>
  <w:style w:type="paragraph" w:customStyle="1" w:styleId="537">
    <w:name w:val="样式 五号 居中 段前: 0.5 行 行距: 最小值 12 磅"/>
    <w:basedOn w:val="1"/>
    <w:uiPriority w:val="0"/>
    <w:pPr>
      <w:adjustRightInd/>
      <w:spacing w:beforeLines="50" w:line="240" w:lineRule="atLeast"/>
      <w:ind w:firstLine="0" w:firstLineChars="0"/>
      <w:jc w:val="center"/>
    </w:pPr>
    <w:rPr>
      <w:sz w:val="21"/>
      <w:szCs w:val="20"/>
    </w:rPr>
  </w:style>
  <w:style w:type="paragraph" w:customStyle="1" w:styleId="538">
    <w:name w:val="表头1"/>
    <w:basedOn w:val="1"/>
    <w:uiPriority w:val="0"/>
    <w:pPr>
      <w:spacing w:before="100" w:beforeAutospacing="1" w:after="100" w:afterAutospacing="1"/>
      <w:ind w:firstLine="0" w:firstLineChars="0"/>
      <w:jc w:val="center"/>
    </w:pPr>
    <w:rPr>
      <w:rFonts w:cs="Times New Roman"/>
      <w:b/>
      <w:snapToGrid w:val="0"/>
      <w:szCs w:val="24"/>
    </w:rPr>
  </w:style>
  <w:style w:type="paragraph" w:customStyle="1" w:styleId="539">
    <w:name w:val="正文2"/>
    <w:basedOn w:val="1"/>
    <w:uiPriority w:val="0"/>
    <w:pPr>
      <w:adjustRightInd/>
      <w:snapToGrid/>
      <w:ind w:firstLine="630" w:firstLineChars="0"/>
    </w:pPr>
    <w:rPr>
      <w:rFonts w:eastAsia="方正仿宋简体" w:cs="Times New Roman"/>
      <w:sz w:val="32"/>
      <w:szCs w:val="24"/>
    </w:rPr>
  </w:style>
  <w:style w:type="paragraph" w:customStyle="1" w:styleId="540">
    <w:name w:val="77"/>
    <w:basedOn w:val="1"/>
    <w:link w:val="541"/>
    <w:uiPriority w:val="0"/>
    <w:pPr>
      <w:adjustRightInd/>
      <w:snapToGrid/>
      <w:contextualSpacing/>
      <w:jc w:val="left"/>
      <w:outlineLvl w:val="5"/>
    </w:pPr>
    <w:rPr>
      <w:rFonts w:ascii="方正仿宋_GB2312" w:hAnsi="宋体" w:eastAsia="方正仿宋_GB2312" w:cs="Times New Roman"/>
      <w:b/>
      <w:sz w:val="28"/>
      <w:szCs w:val="28"/>
    </w:rPr>
  </w:style>
  <w:style w:type="character" w:customStyle="1" w:styleId="541">
    <w:name w:val="77 Char"/>
    <w:link w:val="540"/>
    <w:uiPriority w:val="0"/>
    <w:rPr>
      <w:rFonts w:ascii="方正仿宋_GB2312" w:hAnsi="宋体" w:eastAsia="方正仿宋_GB2312"/>
      <w:b/>
      <w:kern w:val="2"/>
      <w:sz w:val="28"/>
      <w:szCs w:val="28"/>
    </w:rPr>
  </w:style>
  <w:style w:type="paragraph" w:customStyle="1" w:styleId="542">
    <w:name w:val="样式4"/>
    <w:basedOn w:val="2"/>
    <w:uiPriority w:val="0"/>
    <w:pPr>
      <w:keepNext/>
      <w:keepLines/>
      <w:numPr>
        <w:numId w:val="0"/>
      </w:numPr>
      <w:adjustRightInd/>
      <w:snapToGrid/>
      <w:spacing w:before="0" w:beforeLines="50" w:afterLines="50"/>
      <w:ind w:right="0"/>
    </w:pPr>
    <w:rPr>
      <w:rFonts w:ascii="方正仿宋_GB2312" w:hAnsi="方正仿宋_GB2312" w:eastAsia="宋体"/>
      <w:b/>
      <w:bCs/>
      <w:kern w:val="44"/>
      <w:sz w:val="36"/>
      <w:szCs w:val="36"/>
    </w:rPr>
  </w:style>
  <w:style w:type="paragraph" w:customStyle="1" w:styleId="543">
    <w:name w:val="样式5"/>
    <w:basedOn w:val="3"/>
    <w:uiPriority w:val="0"/>
    <w:pPr>
      <w:keepNext/>
      <w:keepLines/>
      <w:numPr>
        <w:ilvl w:val="0"/>
        <w:numId w:val="0"/>
      </w:numPr>
      <w:tabs>
        <w:tab w:val="clear" w:pos="420"/>
      </w:tabs>
      <w:adjustRightInd/>
      <w:snapToGrid/>
      <w:spacing w:before="260" w:after="260" w:line="416" w:lineRule="auto"/>
    </w:pPr>
    <w:rPr>
      <w:rFonts w:ascii="方正仿宋_GB2312" w:hAnsi="方正仿宋_GB2312"/>
      <w:bCs/>
      <w:color w:val="0070C0"/>
      <w:kern w:val="0"/>
    </w:rPr>
  </w:style>
  <w:style w:type="paragraph" w:customStyle="1" w:styleId="544">
    <w:name w:val="样式6"/>
    <w:basedOn w:val="3"/>
    <w:uiPriority w:val="0"/>
    <w:pPr>
      <w:keepNext/>
      <w:keepLines/>
      <w:numPr>
        <w:ilvl w:val="0"/>
        <w:numId w:val="0"/>
      </w:numPr>
      <w:tabs>
        <w:tab w:val="clear" w:pos="420"/>
      </w:tabs>
      <w:adjustRightInd/>
      <w:snapToGrid/>
      <w:spacing w:before="260" w:after="260" w:line="416" w:lineRule="auto"/>
    </w:pPr>
    <w:rPr>
      <w:rFonts w:ascii="方正仿宋_GB2312" w:hAnsi="方正仿宋_GB2312"/>
      <w:bCs/>
      <w:color w:val="0070C0"/>
      <w:kern w:val="0"/>
    </w:rPr>
  </w:style>
  <w:style w:type="paragraph" w:customStyle="1" w:styleId="545">
    <w:name w:val="样式7"/>
    <w:basedOn w:val="4"/>
    <w:uiPriority w:val="0"/>
    <w:pPr>
      <w:keepNext/>
      <w:keepLines/>
      <w:numPr>
        <w:ilvl w:val="0"/>
        <w:numId w:val="0"/>
      </w:numPr>
      <w:tabs>
        <w:tab w:val="clear" w:pos="0"/>
      </w:tabs>
      <w:adjustRightInd/>
      <w:snapToGrid/>
      <w:spacing w:before="0"/>
    </w:pPr>
    <w:rPr>
      <w:rFonts w:ascii="方正仿宋_GB2312" w:hAnsi="方正仿宋_GB2312" w:eastAsia="方正仿宋_GB2312" w:cs="Times New Roman"/>
      <w:b/>
      <w:bCs/>
      <w:szCs w:val="30"/>
    </w:rPr>
  </w:style>
  <w:style w:type="paragraph" w:customStyle="1" w:styleId="546">
    <w:name w:val="样式8"/>
    <w:basedOn w:val="4"/>
    <w:uiPriority w:val="0"/>
    <w:pPr>
      <w:keepNext/>
      <w:keepLines/>
      <w:numPr>
        <w:ilvl w:val="0"/>
        <w:numId w:val="0"/>
      </w:numPr>
      <w:tabs>
        <w:tab w:val="clear" w:pos="0"/>
      </w:tabs>
      <w:adjustRightInd/>
      <w:snapToGrid/>
      <w:spacing w:before="0"/>
    </w:pPr>
    <w:rPr>
      <w:rFonts w:ascii="方正仿宋_GB2312" w:hAnsi="方正仿宋_GB2312" w:eastAsia="方正仿宋_GB2312" w:cs="Times New Roman"/>
      <w:b/>
      <w:bCs/>
      <w:szCs w:val="30"/>
    </w:rPr>
  </w:style>
  <w:style w:type="paragraph" w:customStyle="1" w:styleId="547">
    <w:name w:val="样式10"/>
    <w:basedOn w:val="2"/>
    <w:uiPriority w:val="0"/>
    <w:pPr>
      <w:keepNext/>
      <w:keepLines/>
      <w:numPr>
        <w:numId w:val="0"/>
      </w:numPr>
      <w:adjustRightInd/>
      <w:snapToGrid/>
      <w:spacing w:before="0" w:beforeLines="50" w:afterLines="50"/>
      <w:ind w:right="0"/>
    </w:pPr>
    <w:rPr>
      <w:rFonts w:ascii="方正仿宋_GB2312" w:hAnsi="方正仿宋_GB2312" w:eastAsia="宋体"/>
      <w:b/>
      <w:bCs/>
      <w:kern w:val="44"/>
      <w:sz w:val="36"/>
      <w:szCs w:val="36"/>
    </w:rPr>
  </w:style>
  <w:style w:type="paragraph" w:customStyle="1" w:styleId="548">
    <w:name w:val="样式11"/>
    <w:basedOn w:val="4"/>
    <w:uiPriority w:val="0"/>
    <w:pPr>
      <w:keepNext/>
      <w:keepLines/>
      <w:numPr>
        <w:ilvl w:val="0"/>
        <w:numId w:val="0"/>
      </w:numPr>
      <w:tabs>
        <w:tab w:val="clear" w:pos="0"/>
      </w:tabs>
      <w:adjustRightInd/>
      <w:snapToGrid/>
      <w:spacing w:before="0"/>
    </w:pPr>
    <w:rPr>
      <w:rFonts w:ascii="方正仿宋_GB2312" w:eastAsia="方正仿宋_GB2312" w:cs="Times New Roman"/>
      <w:b/>
      <w:bCs/>
      <w:szCs w:val="28"/>
    </w:rPr>
  </w:style>
  <w:style w:type="paragraph" w:customStyle="1" w:styleId="549">
    <w:name w:val="样式12"/>
    <w:basedOn w:val="4"/>
    <w:uiPriority w:val="0"/>
    <w:pPr>
      <w:keepNext/>
      <w:keepLines/>
      <w:numPr>
        <w:ilvl w:val="0"/>
        <w:numId w:val="0"/>
      </w:numPr>
      <w:tabs>
        <w:tab w:val="clear" w:pos="0"/>
      </w:tabs>
      <w:adjustRightInd/>
      <w:snapToGrid/>
      <w:spacing w:before="0"/>
    </w:pPr>
    <w:rPr>
      <w:rFonts w:ascii="方正仿宋_GB2312" w:eastAsia="方正仿宋_GB2312" w:cs="Times New Roman"/>
      <w:b/>
      <w:bCs/>
      <w:szCs w:val="28"/>
    </w:rPr>
  </w:style>
  <w:style w:type="paragraph" w:customStyle="1" w:styleId="550">
    <w:name w:val="样式13"/>
    <w:basedOn w:val="4"/>
    <w:uiPriority w:val="0"/>
    <w:pPr>
      <w:keepNext/>
      <w:keepLines/>
      <w:numPr>
        <w:ilvl w:val="0"/>
        <w:numId w:val="0"/>
      </w:numPr>
      <w:tabs>
        <w:tab w:val="clear" w:pos="0"/>
      </w:tabs>
      <w:adjustRightInd/>
      <w:snapToGrid/>
      <w:spacing w:before="0"/>
    </w:pPr>
    <w:rPr>
      <w:rFonts w:ascii="方正仿宋_GB2312" w:eastAsia="方正仿宋_GB2312" w:cs="Times New Roman"/>
      <w:b/>
      <w:bCs/>
      <w:sz w:val="84"/>
      <w:szCs w:val="28"/>
    </w:rPr>
  </w:style>
  <w:style w:type="paragraph" w:customStyle="1" w:styleId="551">
    <w:name w:val="样式14"/>
    <w:basedOn w:val="4"/>
    <w:uiPriority w:val="0"/>
    <w:pPr>
      <w:keepNext/>
      <w:keepLines/>
      <w:numPr>
        <w:ilvl w:val="0"/>
        <w:numId w:val="0"/>
      </w:numPr>
      <w:tabs>
        <w:tab w:val="clear" w:pos="0"/>
      </w:tabs>
      <w:adjustRightInd/>
      <w:snapToGrid/>
      <w:spacing w:before="0"/>
    </w:pPr>
    <w:rPr>
      <w:rFonts w:ascii="方正仿宋_GB2312" w:eastAsia="方正仿宋_GB2312" w:cs="Times New Roman"/>
      <w:b/>
      <w:bCs/>
      <w:sz w:val="52"/>
      <w:szCs w:val="28"/>
    </w:rPr>
  </w:style>
  <w:style w:type="paragraph" w:customStyle="1" w:styleId="552">
    <w:name w:val="5"/>
    <w:basedOn w:val="1"/>
    <w:next w:val="13"/>
    <w:uiPriority w:val="0"/>
    <w:pPr>
      <w:adjustRightInd/>
      <w:snapToGrid/>
      <w:ind w:firstLine="420" w:firstLineChars="0"/>
    </w:pPr>
    <w:rPr>
      <w:rFonts w:cs="Times New Roman"/>
      <w:sz w:val="17"/>
      <w:szCs w:val="20"/>
    </w:rPr>
  </w:style>
  <w:style w:type="paragraph" w:customStyle="1" w:styleId="553">
    <w:name w:val="标题11"/>
    <w:basedOn w:val="1"/>
    <w:uiPriority w:val="0"/>
    <w:pPr>
      <w:tabs>
        <w:tab w:val="left" w:pos="720"/>
      </w:tabs>
      <w:ind w:left="567" w:hanging="567" w:firstLineChars="0"/>
    </w:pPr>
    <w:rPr>
      <w:rFonts w:cs="Times New Roman"/>
      <w:sz w:val="28"/>
      <w:szCs w:val="20"/>
    </w:rPr>
  </w:style>
  <w:style w:type="paragraph" w:customStyle="1" w:styleId="554">
    <w:name w:val="图表头"/>
    <w:basedOn w:val="1"/>
    <w:link w:val="555"/>
    <w:uiPriority w:val="0"/>
    <w:pPr>
      <w:tabs>
        <w:tab w:val="center" w:pos="4231"/>
        <w:tab w:val="right" w:pos="8463"/>
      </w:tabs>
      <w:snapToGrid/>
      <w:spacing w:line="540" w:lineRule="exact"/>
      <w:ind w:firstLine="0" w:firstLineChars="0"/>
      <w:jc w:val="center"/>
      <w:textAlignment w:val="baseline"/>
    </w:pPr>
    <w:rPr>
      <w:rFonts w:ascii="宋体" w:hAnsi="宋体" w:cs="Times New Roman"/>
      <w:b/>
      <w:spacing w:val="4"/>
      <w:sz w:val="28"/>
      <w:szCs w:val="28"/>
    </w:rPr>
  </w:style>
  <w:style w:type="character" w:customStyle="1" w:styleId="555">
    <w:name w:val="图表头 Char"/>
    <w:link w:val="554"/>
    <w:uiPriority w:val="0"/>
    <w:rPr>
      <w:rFonts w:ascii="宋体" w:hAnsi="宋体"/>
      <w:b/>
      <w:spacing w:val="4"/>
      <w:kern w:val="2"/>
      <w:sz w:val="28"/>
      <w:szCs w:val="28"/>
    </w:rPr>
  </w:style>
  <w:style w:type="paragraph" w:customStyle="1" w:styleId="556">
    <w:name w:val="图表头2"/>
    <w:basedOn w:val="554"/>
    <w:uiPriority w:val="0"/>
  </w:style>
  <w:style w:type="paragraph" w:customStyle="1" w:styleId="557">
    <w:name w:val="XCHG论文正文"/>
    <w:basedOn w:val="1"/>
    <w:uiPriority w:val="0"/>
    <w:pPr>
      <w:adjustRightInd/>
      <w:snapToGrid/>
      <w:spacing w:line="300" w:lineRule="auto"/>
      <w:ind w:firstLine="480"/>
    </w:pPr>
    <w:rPr>
      <w:rFonts w:cs="Times New Roman"/>
      <w:color w:val="000000"/>
      <w:szCs w:val="24"/>
    </w:rPr>
  </w:style>
  <w:style w:type="paragraph" w:customStyle="1" w:styleId="558">
    <w:name w:val="公式"/>
    <w:next w:val="1"/>
    <w:uiPriority w:val="0"/>
    <w:pPr>
      <w:spacing w:line="360" w:lineRule="auto"/>
      <w:jc w:val="center"/>
    </w:pPr>
    <w:rPr>
      <w:rFonts w:ascii="Times New Roman" w:hAnsi="Times New Roman" w:eastAsia="宋体" w:cs="Times New Roman"/>
      <w:kern w:val="2"/>
      <w:sz w:val="24"/>
      <w:szCs w:val="24"/>
      <w:lang w:val="en-US" w:eastAsia="zh-CN" w:bidi="ar-SA"/>
    </w:rPr>
  </w:style>
  <w:style w:type="paragraph" w:customStyle="1" w:styleId="559">
    <w:name w:val="表格文字居中"/>
    <w:uiPriority w:val="0"/>
    <w:pPr>
      <w:adjustRightInd w:val="0"/>
      <w:snapToGrid w:val="0"/>
      <w:spacing w:beforeLines="10" w:afterLines="10" w:line="360" w:lineRule="auto"/>
      <w:jc w:val="center"/>
    </w:pPr>
    <w:rPr>
      <w:rFonts w:ascii="宋体" w:hAnsi="宋体" w:eastAsia="宋体" w:cs="Times New Roman"/>
      <w:sz w:val="24"/>
      <w:lang w:val="en-US" w:eastAsia="zh-CN" w:bidi="ar-SA"/>
    </w:rPr>
  </w:style>
  <w:style w:type="paragraph" w:customStyle="1" w:styleId="560">
    <w:name w:val="正文A"/>
    <w:uiPriority w:val="0"/>
    <w:pPr>
      <w:widowControl w:val="0"/>
      <w:tabs>
        <w:tab w:val="left" w:pos="0"/>
      </w:tabs>
      <w:adjustRightInd w:val="0"/>
      <w:spacing w:line="360" w:lineRule="auto"/>
      <w:ind w:firstLine="200" w:firstLineChars="200"/>
      <w:jc w:val="both"/>
      <w:textAlignment w:val="baseline"/>
    </w:pPr>
    <w:rPr>
      <w:rFonts w:ascii="Times New Roman" w:hAnsi="Times New Roman" w:eastAsia="宋体" w:cs="Times New Roman"/>
      <w:snapToGrid w:val="0"/>
      <w:sz w:val="24"/>
      <w:lang w:val="en-US" w:eastAsia="zh-CN" w:bidi="ar-SA"/>
    </w:rPr>
  </w:style>
  <w:style w:type="paragraph" w:customStyle="1" w:styleId="561">
    <w:name w:val="报告书正文 Char Char Char Char Char"/>
    <w:basedOn w:val="1"/>
    <w:link w:val="562"/>
    <w:uiPriority w:val="0"/>
    <w:pPr>
      <w:adjustRightInd/>
      <w:snapToGrid/>
      <w:spacing w:line="300" w:lineRule="auto"/>
      <w:ind w:firstLine="480"/>
    </w:pPr>
    <w:rPr>
      <w:rFonts w:cs="Times New Roman"/>
      <w:color w:val="000000"/>
      <w:szCs w:val="24"/>
    </w:rPr>
  </w:style>
  <w:style w:type="character" w:customStyle="1" w:styleId="562">
    <w:name w:val="报告书正文 Char Char Char Char Char Char"/>
    <w:link w:val="561"/>
    <w:uiPriority w:val="0"/>
    <w:rPr>
      <w:rFonts w:ascii="Times New Roman" w:hAnsi="Times New Roman"/>
      <w:color w:val="000000"/>
      <w:kern w:val="2"/>
      <w:sz w:val="24"/>
      <w:szCs w:val="24"/>
    </w:rPr>
  </w:style>
  <w:style w:type="character" w:customStyle="1" w:styleId="563">
    <w:name w:val="报告书正文 Char Char Char Char"/>
    <w:uiPriority w:val="0"/>
    <w:rPr>
      <w:rFonts w:eastAsia="宋体"/>
      <w:color w:val="000000"/>
      <w:kern w:val="2"/>
      <w:sz w:val="24"/>
      <w:szCs w:val="24"/>
      <w:lang w:val="en-US" w:eastAsia="zh-CN" w:bidi="ar-SA"/>
    </w:rPr>
  </w:style>
  <w:style w:type="paragraph" w:customStyle="1" w:styleId="564">
    <w:name w:val="自定义正文 Char Char Char Char"/>
    <w:link w:val="565"/>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character" w:customStyle="1" w:styleId="565">
    <w:name w:val="自定义正文 Char Char Char Char Char"/>
    <w:link w:val="564"/>
    <w:uiPriority w:val="0"/>
    <w:rPr>
      <w:rFonts w:ascii="Times New Roman" w:hAnsi="Times New Roman"/>
      <w:kern w:val="2"/>
      <w:position w:val="-28"/>
      <w:sz w:val="28"/>
      <w:szCs w:val="28"/>
    </w:rPr>
  </w:style>
  <w:style w:type="paragraph" w:customStyle="1" w:styleId="566">
    <w:name w:val="自定义正文 Char Char Char"/>
    <w:uiPriority w:val="0"/>
    <w:pPr>
      <w:widowControl w:val="0"/>
      <w:topLinePunct/>
      <w:adjustRightInd w:val="0"/>
      <w:snapToGrid w:val="0"/>
      <w:spacing w:line="360" w:lineRule="auto"/>
      <w:ind w:firstLine="510"/>
      <w:jc w:val="both"/>
    </w:pPr>
    <w:rPr>
      <w:rFonts w:ascii="Times New Roman" w:hAnsi="Times New Roman" w:eastAsia="宋体" w:cs="Times New Roman"/>
      <w:kern w:val="2"/>
      <w:position w:val="-28"/>
      <w:sz w:val="28"/>
      <w:szCs w:val="28"/>
      <w:lang w:val="en-US" w:eastAsia="zh-CN" w:bidi="ar-SA"/>
    </w:rPr>
  </w:style>
  <w:style w:type="character" w:customStyle="1" w:styleId="567">
    <w:name w:val="脚注文本 字符"/>
    <w:basedOn w:val="56"/>
    <w:link w:val="42"/>
    <w:uiPriority w:val="0"/>
    <w:rPr>
      <w:rFonts w:ascii="Times New Roman" w:hAnsi="Times New Roman"/>
      <w:sz w:val="18"/>
      <w:szCs w:val="18"/>
    </w:rPr>
  </w:style>
  <w:style w:type="paragraph" w:customStyle="1" w:styleId="568">
    <w:name w:val="xl22"/>
    <w:basedOn w:val="1"/>
    <w:uiPriority w:val="0"/>
    <w:pPr>
      <w:widowControl/>
      <w:pBdr>
        <w:bottom w:val="single" w:color="auto" w:sz="4" w:space="0"/>
        <w:right w:val="single" w:color="auto" w:sz="4" w:space="0"/>
      </w:pBdr>
      <w:adjustRightInd/>
      <w:snapToGrid/>
      <w:spacing w:before="100" w:beforeAutospacing="1" w:after="100" w:afterAutospacing="1"/>
      <w:ind w:firstLine="0" w:firstLineChars="0"/>
      <w:jc w:val="center"/>
    </w:pPr>
    <w:rPr>
      <w:rFonts w:ascii="宋体" w:hAnsi="宋体" w:cs="Times New Roman"/>
      <w:kern w:val="0"/>
      <w:sz w:val="21"/>
      <w:szCs w:val="21"/>
    </w:rPr>
  </w:style>
  <w:style w:type="paragraph" w:customStyle="1" w:styleId="569">
    <w:name w:val="表格（小）"/>
    <w:basedOn w:val="1"/>
    <w:uiPriority w:val="0"/>
    <w:pPr>
      <w:ind w:firstLine="0" w:firstLineChars="0"/>
    </w:pPr>
    <w:rPr>
      <w:rFonts w:cs="Times New Roman"/>
      <w:snapToGrid w:val="0"/>
      <w:kern w:val="0"/>
      <w:sz w:val="21"/>
      <w:szCs w:val="20"/>
    </w:rPr>
  </w:style>
  <w:style w:type="paragraph" w:customStyle="1" w:styleId="570">
    <w:name w:val="Char Char Char Char Char Char Char"/>
    <w:basedOn w:val="1"/>
    <w:uiPriority w:val="0"/>
    <w:pPr>
      <w:jc w:val="left"/>
    </w:pPr>
    <w:rPr>
      <w:rFonts w:ascii="方正仿宋_GB2312" w:hAnsi="方正仿宋_GB2312" w:eastAsia="方正仿宋_GB2312"/>
      <w:szCs w:val="24"/>
    </w:rPr>
  </w:style>
  <w:style w:type="paragraph" w:customStyle="1" w:styleId="571">
    <w:name w:val="表头 Char"/>
    <w:basedOn w:val="1"/>
    <w:uiPriority w:val="0"/>
    <w:pPr>
      <w:spacing w:before="120" w:after="120" w:line="460" w:lineRule="atLeast"/>
      <w:ind w:firstLine="0" w:firstLineChars="0"/>
      <w:jc w:val="center"/>
    </w:pPr>
    <w:rPr>
      <w:rFonts w:ascii="黑体" w:eastAsia="黑体" w:cs="Times New Roman"/>
      <w:b/>
      <w:szCs w:val="20"/>
    </w:rPr>
  </w:style>
  <w:style w:type="paragraph" w:customStyle="1" w:styleId="572">
    <w:name w:val="样式 标题 1 + Times New Roman 行距: 1.5 倍行距"/>
    <w:basedOn w:val="2"/>
    <w:uiPriority w:val="0"/>
    <w:pPr>
      <w:keepNext/>
      <w:keepLines/>
      <w:numPr>
        <w:numId w:val="0"/>
      </w:numPr>
      <w:adjustRightInd/>
      <w:snapToGrid/>
      <w:spacing w:before="0"/>
      <w:ind w:right="0"/>
      <w:jc w:val="left"/>
    </w:pPr>
    <w:rPr>
      <w:rFonts w:eastAsia="宋体" w:cs="宋体"/>
      <w:b/>
      <w:bCs/>
      <w:kern w:val="44"/>
      <w:sz w:val="36"/>
      <w:szCs w:val="20"/>
    </w:rPr>
  </w:style>
  <w:style w:type="paragraph" w:customStyle="1" w:styleId="573">
    <w:name w:val="Char Char Char1 Char Char Char2 Char Char Char Char"/>
    <w:basedOn w:val="1"/>
    <w:uiPriority w:val="0"/>
    <w:pPr>
      <w:adjustRightInd/>
      <w:snapToGrid/>
    </w:pPr>
    <w:rPr>
      <w:rFonts w:ascii="宋体" w:hAnsi="宋体"/>
      <w:szCs w:val="24"/>
    </w:rPr>
  </w:style>
  <w:style w:type="character" w:customStyle="1" w:styleId="574">
    <w:name w:val="txt181"/>
    <w:uiPriority w:val="0"/>
    <w:rPr>
      <w:rFonts w:hint="eastAsia" w:ascii="宋体" w:hAnsi="宋体" w:eastAsia="宋体"/>
      <w:b/>
      <w:bCs/>
      <w:color w:val="003CC8"/>
      <w:sz w:val="39"/>
      <w:szCs w:val="39"/>
      <w:u w:val="none"/>
    </w:rPr>
  </w:style>
  <w:style w:type="character" w:customStyle="1" w:styleId="575">
    <w:name w:val="正文文字缩进 Char Char1"/>
    <w:uiPriority w:val="0"/>
    <w:rPr>
      <w:rFonts w:ascii="宋体" w:hAnsi="宋体" w:eastAsia="宋体"/>
      <w:kern w:val="2"/>
      <w:sz w:val="24"/>
      <w:szCs w:val="24"/>
      <w:lang w:val="en-US" w:eastAsia="zh-CN" w:bidi="ar-SA"/>
    </w:rPr>
  </w:style>
  <w:style w:type="paragraph" w:customStyle="1" w:styleId="576">
    <w:name w:val="HZZH正文"/>
    <w:basedOn w:val="1"/>
    <w:link w:val="577"/>
    <w:uiPriority w:val="0"/>
    <w:pPr>
      <w:overflowPunct w:val="0"/>
      <w:adjustRightInd/>
      <w:snapToGrid/>
      <w:ind w:firstLine="540" w:firstLineChars="225"/>
    </w:pPr>
    <w:rPr>
      <w:rFonts w:ascii="宋体" w:hAnsi="宋体"/>
      <w:kern w:val="0"/>
      <w:szCs w:val="24"/>
    </w:rPr>
  </w:style>
  <w:style w:type="character" w:customStyle="1" w:styleId="577">
    <w:name w:val="HZZH正文 Char"/>
    <w:link w:val="576"/>
    <w:uiPriority w:val="0"/>
    <w:rPr>
      <w:rFonts w:ascii="宋体" w:hAnsi="宋体" w:cs="宋体"/>
      <w:sz w:val="24"/>
      <w:szCs w:val="24"/>
    </w:rPr>
  </w:style>
  <w:style w:type="paragraph" w:customStyle="1" w:styleId="578">
    <w:name w:val="Normal1"/>
    <w:uiPriority w:val="0"/>
    <w:pPr>
      <w:widowControl w:val="0"/>
      <w:adjustRightInd w:val="0"/>
      <w:spacing w:line="360" w:lineRule="auto"/>
      <w:jc w:val="both"/>
      <w:textAlignment w:val="baseline"/>
    </w:pPr>
    <w:rPr>
      <w:rFonts w:ascii="宋体" w:hAnsi="Times New Roman" w:eastAsia="宋体" w:cs="Times New Roman"/>
      <w:sz w:val="24"/>
      <w:lang w:val="en-US" w:eastAsia="zh-CN" w:bidi="ar-SA"/>
    </w:rPr>
  </w:style>
  <w:style w:type="character" w:customStyle="1" w:styleId="579">
    <w:name w:val="t_tag"/>
    <w:basedOn w:val="56"/>
    <w:uiPriority w:val="0"/>
  </w:style>
  <w:style w:type="character" w:customStyle="1" w:styleId="580">
    <w:name w:val="标题1.1.1.1.1.1 Char"/>
    <w:uiPriority w:val="0"/>
    <w:rPr>
      <w:rFonts w:ascii="Arial" w:hAnsi="Arial" w:eastAsia="黑体" w:cs="Arial"/>
      <w:b/>
      <w:bCs/>
      <w:sz w:val="24"/>
      <w:szCs w:val="24"/>
      <w:lang w:val="en-US" w:eastAsia="zh-CN" w:bidi="ar-SA"/>
    </w:rPr>
  </w:style>
  <w:style w:type="character" w:customStyle="1" w:styleId="581">
    <w:name w:val="项标题(1) Char Char"/>
    <w:uiPriority w:val="0"/>
    <w:rPr>
      <w:rFonts w:eastAsia="宋体"/>
      <w:b/>
      <w:bCs/>
      <w:sz w:val="24"/>
      <w:szCs w:val="24"/>
      <w:lang w:val="en-US" w:eastAsia="zh-CN" w:bidi="ar-SA"/>
    </w:rPr>
  </w:style>
  <w:style w:type="character" w:customStyle="1" w:styleId="582">
    <w:name w:val="目标题 1) Char Char"/>
    <w:uiPriority w:val="0"/>
    <w:rPr>
      <w:rFonts w:eastAsia="宋体"/>
      <w:sz w:val="24"/>
      <w:szCs w:val="24"/>
      <w:lang w:val="en-US" w:eastAsia="zh-CN" w:bidi="ar-SA"/>
    </w:rPr>
  </w:style>
  <w:style w:type="character" w:customStyle="1" w:styleId="583">
    <w:name w:val="正文文字缩进 Char Char"/>
    <w:uiPriority w:val="0"/>
    <w:rPr>
      <w:rFonts w:ascii="宋体" w:hAnsi="宋体" w:eastAsia="宋体"/>
      <w:kern w:val="2"/>
      <w:sz w:val="24"/>
      <w:szCs w:val="24"/>
      <w:lang w:val="en-US" w:eastAsia="zh-CN" w:bidi="ar-SA"/>
    </w:rPr>
  </w:style>
  <w:style w:type="character" w:customStyle="1" w:styleId="584">
    <w:name w:val="123YJ Char"/>
    <w:uiPriority w:val="0"/>
    <w:rPr>
      <w:rFonts w:eastAsia="宋体"/>
      <w:kern w:val="2"/>
      <w:sz w:val="18"/>
      <w:szCs w:val="18"/>
      <w:lang w:val="en-US" w:eastAsia="zh-CN" w:bidi="ar-SA"/>
    </w:rPr>
  </w:style>
  <w:style w:type="paragraph" w:customStyle="1" w:styleId="585">
    <w:name w:val="正文文本1.35"/>
    <w:basedOn w:val="19"/>
    <w:link w:val="586"/>
    <w:uiPriority w:val="0"/>
    <w:pPr>
      <w:spacing w:line="324" w:lineRule="auto"/>
      <w:ind w:firstLine="560"/>
    </w:pPr>
    <w:rPr>
      <w:rFonts w:ascii="Times New Roman" w:hAnsi="Times New Roman"/>
      <w:sz w:val="28"/>
      <w:szCs w:val="28"/>
    </w:rPr>
  </w:style>
  <w:style w:type="character" w:customStyle="1" w:styleId="586">
    <w:name w:val="正文文本1.35 Char"/>
    <w:link w:val="585"/>
    <w:uiPriority w:val="0"/>
    <w:rPr>
      <w:rFonts w:ascii="Times New Roman" w:hAnsi="Times New Roman" w:cs="宋体"/>
      <w:kern w:val="2"/>
      <w:sz w:val="28"/>
      <w:szCs w:val="28"/>
    </w:rPr>
  </w:style>
  <w:style w:type="paragraph" w:customStyle="1" w:styleId="587">
    <w:name w:val="表、图名"/>
    <w:basedOn w:val="1"/>
    <w:uiPriority w:val="0"/>
    <w:pPr>
      <w:adjustRightInd/>
      <w:snapToGrid/>
      <w:spacing w:before="156" w:after="156"/>
      <w:ind w:firstLine="840" w:firstLineChars="300"/>
      <w:jc w:val="center"/>
    </w:pPr>
    <w:rPr>
      <w:rFonts w:ascii="黑体" w:hAnsi="宋体" w:eastAsia="黑体"/>
      <w:bCs/>
      <w:sz w:val="28"/>
      <w:szCs w:val="28"/>
    </w:rPr>
  </w:style>
  <w:style w:type="character" w:customStyle="1" w:styleId="588">
    <w:name w:val="f141"/>
    <w:uiPriority w:val="0"/>
    <w:rPr>
      <w:sz w:val="21"/>
      <w:szCs w:val="21"/>
    </w:rPr>
  </w:style>
  <w:style w:type="character" w:customStyle="1" w:styleId="589">
    <w:name w:val="正文文本 Char"/>
    <w:uiPriority w:val="0"/>
    <w:rPr>
      <w:rFonts w:eastAsia="宋体"/>
      <w:kern w:val="2"/>
      <w:sz w:val="21"/>
      <w:szCs w:val="24"/>
      <w:lang w:val="en-US" w:eastAsia="zh-CN" w:bidi="ar-SA"/>
    </w:rPr>
  </w:style>
  <w:style w:type="character" w:customStyle="1" w:styleId="590">
    <w:name w:val="样式 加宽量  12.9 磅"/>
    <w:uiPriority w:val="0"/>
    <w:rPr>
      <w:spacing w:val="0"/>
      <w:kern w:val="0"/>
    </w:rPr>
  </w:style>
  <w:style w:type="paragraph" w:customStyle="1" w:styleId="591">
    <w:name w:val="Char Char Char2 Char"/>
    <w:basedOn w:val="1"/>
    <w:qFormat/>
    <w:uiPriority w:val="0"/>
    <w:pPr>
      <w:adjustRightInd/>
      <w:snapToGrid/>
    </w:pPr>
    <w:rPr>
      <w:rFonts w:ascii="宋体" w:hAnsi="宋体"/>
      <w:szCs w:val="24"/>
    </w:rPr>
  </w:style>
  <w:style w:type="paragraph" w:customStyle="1" w:styleId="592">
    <w:name w:val="Char11"/>
    <w:basedOn w:val="16"/>
    <w:uiPriority w:val="0"/>
    <w:pPr>
      <w:shd w:val="clear" w:color="auto" w:fill="000080"/>
      <w:adjustRightInd/>
      <w:snapToGrid/>
      <w:ind w:firstLine="0" w:firstLineChars="0"/>
    </w:pPr>
    <w:rPr>
      <w:rFonts w:ascii="Tahoma" w:hAnsi="Tahoma"/>
      <w:kern w:val="2"/>
      <w:sz w:val="24"/>
      <w:szCs w:val="24"/>
    </w:rPr>
  </w:style>
  <w:style w:type="paragraph" w:customStyle="1" w:styleId="593">
    <w:name w:val="Char1 Char Char Char1"/>
    <w:basedOn w:val="1"/>
    <w:qFormat/>
    <w:uiPriority w:val="0"/>
    <w:pPr>
      <w:adjustRightInd/>
      <w:snapToGrid/>
    </w:pPr>
    <w:rPr>
      <w:rFonts w:ascii="宋体" w:hAnsi="宋体"/>
      <w:szCs w:val="24"/>
    </w:rPr>
  </w:style>
  <w:style w:type="character" w:customStyle="1" w:styleId="594">
    <w:name w:val="文档结构图 Char"/>
    <w:qFormat/>
    <w:uiPriority w:val="0"/>
    <w:rPr>
      <w:rFonts w:eastAsia="宋体"/>
      <w:kern w:val="2"/>
      <w:sz w:val="21"/>
      <w:szCs w:val="24"/>
      <w:lang w:val="en-US" w:eastAsia="zh-CN" w:bidi="ar-SA"/>
    </w:rPr>
  </w:style>
  <w:style w:type="paragraph" w:customStyle="1" w:styleId="595">
    <w:name w:val="Char2"/>
    <w:basedOn w:val="1"/>
    <w:uiPriority w:val="0"/>
    <w:pPr>
      <w:adjustRightInd/>
      <w:snapToGrid/>
      <w:ind w:firstLine="487"/>
    </w:pPr>
    <w:rPr>
      <w:rFonts w:ascii="宋体" w:hAnsi="宋体"/>
      <w:szCs w:val="24"/>
    </w:rPr>
  </w:style>
  <w:style w:type="paragraph" w:customStyle="1" w:styleId="596">
    <w:name w:val="正文3"/>
    <w:uiPriority w:val="0"/>
    <w:pPr>
      <w:widowControl w:val="0"/>
      <w:adjustRightInd w:val="0"/>
      <w:spacing w:line="360" w:lineRule="auto"/>
      <w:jc w:val="both"/>
      <w:textAlignment w:val="baseline"/>
    </w:pPr>
    <w:rPr>
      <w:rFonts w:ascii="宋体" w:hAnsi="Times New Roman" w:eastAsia="宋体" w:cs="Times New Roman"/>
      <w:sz w:val="24"/>
      <w:lang w:val="en-US" w:eastAsia="zh-CN" w:bidi="ar-SA"/>
    </w:rPr>
  </w:style>
  <w:style w:type="paragraph" w:customStyle="1" w:styleId="597">
    <w:name w:val="样式 标题 2节标题 1.11.1标题2b2Seh2l22nd levelTitre22Header 2二..."/>
    <w:basedOn w:val="3"/>
    <w:uiPriority w:val="0"/>
    <w:pPr>
      <w:keepNext/>
      <w:keepLines/>
      <w:numPr>
        <w:ilvl w:val="0"/>
        <w:numId w:val="0"/>
      </w:numPr>
      <w:tabs>
        <w:tab w:val="clear" w:pos="420"/>
      </w:tabs>
      <w:adjustRightInd/>
      <w:snapToGrid/>
      <w:spacing w:before="260" w:after="260" w:line="416" w:lineRule="auto"/>
    </w:pPr>
    <w:rPr>
      <w:rFonts w:ascii="宋体" w:hAnsi="宋体" w:eastAsia="宋体"/>
      <w:bCs/>
      <w:color w:val="0070C0"/>
      <w:kern w:val="0"/>
      <w:sz w:val="30"/>
    </w:rPr>
  </w:style>
  <w:style w:type="paragraph" w:customStyle="1" w:styleId="598">
    <w:name w:val="样式 图表头2 + 宋体 加粗"/>
    <w:basedOn w:val="556"/>
    <w:uiPriority w:val="0"/>
    <w:rPr>
      <w:b w:val="0"/>
      <w:bCs/>
      <w:sz w:val="24"/>
    </w:rPr>
  </w:style>
  <w:style w:type="paragraph" w:customStyle="1" w:styleId="599">
    <w:name w:val="样式 图表头 + 宋体 加粗"/>
    <w:basedOn w:val="554"/>
    <w:link w:val="600"/>
    <w:uiPriority w:val="0"/>
    <w:rPr>
      <w:bCs/>
      <w:sz w:val="24"/>
    </w:rPr>
  </w:style>
  <w:style w:type="character" w:customStyle="1" w:styleId="600">
    <w:name w:val="样式 图表头 + 宋体 加粗 Char"/>
    <w:link w:val="599"/>
    <w:uiPriority w:val="0"/>
    <w:rPr>
      <w:rFonts w:ascii="宋体" w:hAnsi="宋体"/>
      <w:b/>
      <w:bCs/>
      <w:spacing w:val="4"/>
      <w:kern w:val="2"/>
      <w:sz w:val="24"/>
      <w:szCs w:val="28"/>
    </w:rPr>
  </w:style>
  <w:style w:type="paragraph" w:customStyle="1" w:styleId="601">
    <w:name w:val="Balloon Text1"/>
    <w:basedOn w:val="1"/>
    <w:uiPriority w:val="0"/>
    <w:pPr>
      <w:adjustRightInd/>
      <w:spacing w:beforeLines="50"/>
      <w:ind w:firstLine="0" w:firstLineChars="0"/>
    </w:pPr>
    <w:rPr>
      <w:rFonts w:cs="Times New Roman"/>
      <w:sz w:val="18"/>
      <w:szCs w:val="18"/>
    </w:rPr>
  </w:style>
  <w:style w:type="paragraph" w:customStyle="1" w:styleId="602">
    <w:name w:val="Plain Text1"/>
    <w:basedOn w:val="1"/>
    <w:uiPriority w:val="0"/>
    <w:pPr>
      <w:snapToGrid/>
      <w:ind w:firstLine="0" w:firstLineChars="0"/>
      <w:textAlignment w:val="baseline"/>
    </w:pPr>
    <w:rPr>
      <w:rFonts w:ascii="宋体" w:cs="Times New Roman"/>
      <w:kern w:val="0"/>
      <w:sz w:val="21"/>
      <w:szCs w:val="20"/>
    </w:rPr>
  </w:style>
  <w:style w:type="paragraph" w:customStyle="1" w:styleId="603">
    <w:name w:val="Date1"/>
    <w:basedOn w:val="1"/>
    <w:next w:val="1"/>
    <w:uiPriority w:val="0"/>
    <w:pPr>
      <w:snapToGrid/>
      <w:ind w:firstLine="0" w:firstLineChars="0"/>
      <w:textAlignment w:val="baseline"/>
    </w:pPr>
    <w:rPr>
      <w:rFonts w:cs="Times New Roman"/>
      <w:snapToGrid w:val="0"/>
      <w:szCs w:val="20"/>
    </w:rPr>
  </w:style>
  <w:style w:type="paragraph" w:customStyle="1" w:styleId="604">
    <w:name w:val="Char4"/>
    <w:basedOn w:val="1"/>
    <w:uiPriority w:val="0"/>
    <w:pPr>
      <w:adjustRightInd/>
      <w:snapToGrid/>
      <w:ind w:firstLine="0" w:firstLineChars="0"/>
    </w:pPr>
    <w:rPr>
      <w:rFonts w:cs="Times New Roman"/>
      <w:sz w:val="21"/>
      <w:szCs w:val="24"/>
    </w:rPr>
  </w:style>
  <w:style w:type="character" w:customStyle="1" w:styleId="605">
    <w:name w:val="grame"/>
    <w:basedOn w:val="56"/>
    <w:uiPriority w:val="0"/>
  </w:style>
  <w:style w:type="character" w:customStyle="1" w:styleId="606">
    <w:name w:val="正文文字缩进 3 Char"/>
    <w:uiPriority w:val="0"/>
    <w:rPr>
      <w:rFonts w:eastAsia="宋体"/>
      <w:kern w:val="2"/>
      <w:sz w:val="16"/>
      <w:szCs w:val="16"/>
      <w:lang w:val="en-US" w:eastAsia="zh-CN" w:bidi="ar-SA"/>
    </w:rPr>
  </w:style>
  <w:style w:type="paragraph" w:customStyle="1" w:styleId="607">
    <w:name w:val="统一正文"/>
    <w:basedOn w:val="1"/>
    <w:uiPriority w:val="0"/>
    <w:pPr>
      <w:autoSpaceDE w:val="0"/>
      <w:autoSpaceDN w:val="0"/>
      <w:adjustRightInd/>
      <w:snapToGrid/>
      <w:ind w:firstLine="567"/>
      <w:jc w:val="left"/>
      <w:textAlignment w:val="baseline"/>
    </w:pPr>
    <w:rPr>
      <w:rFonts w:cs="Times New Roman"/>
      <w:kern w:val="0"/>
      <w:sz w:val="28"/>
      <w:szCs w:val="20"/>
      <w:lang w:bidi="he-IL"/>
    </w:rPr>
  </w:style>
  <w:style w:type="character" w:customStyle="1" w:styleId="608">
    <w:name w:val="标题1.1.1.1.1.1 Char1"/>
    <w:uiPriority w:val="0"/>
    <w:rPr>
      <w:rFonts w:ascii="Arial" w:hAnsi="Arial" w:eastAsia="黑体" w:cs="Arial"/>
      <w:b/>
      <w:bCs/>
      <w:sz w:val="24"/>
      <w:szCs w:val="24"/>
      <w:lang w:val="en-US" w:eastAsia="zh-CN" w:bidi="ar-SA"/>
    </w:rPr>
  </w:style>
  <w:style w:type="character" w:customStyle="1" w:styleId="609">
    <w:name w:val="项标题(1) Char Char1"/>
    <w:uiPriority w:val="0"/>
    <w:rPr>
      <w:rFonts w:eastAsia="宋体"/>
      <w:b/>
      <w:bCs/>
      <w:sz w:val="24"/>
      <w:szCs w:val="24"/>
      <w:lang w:val="en-US" w:eastAsia="zh-CN" w:bidi="ar-SA"/>
    </w:rPr>
  </w:style>
  <w:style w:type="character" w:customStyle="1" w:styleId="610">
    <w:name w:val="目标题 1) Char Char1"/>
    <w:uiPriority w:val="0"/>
    <w:rPr>
      <w:rFonts w:eastAsia="宋体"/>
      <w:sz w:val="24"/>
      <w:szCs w:val="24"/>
      <w:lang w:val="en-US" w:eastAsia="zh-CN" w:bidi="ar-SA"/>
    </w:rPr>
  </w:style>
  <w:style w:type="character" w:customStyle="1" w:styleId="611">
    <w:name w:val="123YJ Char2"/>
    <w:uiPriority w:val="0"/>
    <w:rPr>
      <w:rFonts w:eastAsia="宋体"/>
      <w:kern w:val="2"/>
      <w:sz w:val="18"/>
      <w:szCs w:val="18"/>
      <w:lang w:val="en-US" w:eastAsia="zh-CN" w:bidi="ar-SA"/>
    </w:rPr>
  </w:style>
  <w:style w:type="character" w:customStyle="1" w:styleId="612">
    <w:name w:val="普通文字 Char3"/>
    <w:uiPriority w:val="0"/>
    <w:rPr>
      <w:rFonts w:ascii="宋体" w:hAnsi="Courier New" w:eastAsia="宋体" w:cs="Courier New"/>
      <w:kern w:val="2"/>
      <w:sz w:val="21"/>
      <w:szCs w:val="21"/>
      <w:lang w:val="en-US" w:eastAsia="zh-CN" w:bidi="ar-SA"/>
    </w:rPr>
  </w:style>
  <w:style w:type="character" w:customStyle="1" w:styleId="613">
    <w:name w:val="正文文字缩进 Char Char2"/>
    <w:uiPriority w:val="0"/>
    <w:rPr>
      <w:rFonts w:eastAsia="宋体"/>
      <w:kern w:val="2"/>
      <w:sz w:val="21"/>
      <w:szCs w:val="24"/>
      <w:lang w:val="en-US" w:eastAsia="zh-CN" w:bidi="ar-SA"/>
    </w:rPr>
  </w:style>
  <w:style w:type="character" w:customStyle="1" w:styleId="614">
    <w:name w:val="正文文字缩进 3 Char1"/>
    <w:uiPriority w:val="0"/>
    <w:rPr>
      <w:rFonts w:eastAsia="宋体"/>
      <w:kern w:val="2"/>
      <w:sz w:val="16"/>
      <w:szCs w:val="16"/>
      <w:lang w:val="en-US" w:eastAsia="zh-CN" w:bidi="ar-SA"/>
    </w:rPr>
  </w:style>
  <w:style w:type="character" w:customStyle="1" w:styleId="615">
    <w:name w:val="特点标题 Char1"/>
    <w:uiPriority w:val="0"/>
    <w:rPr>
      <w:rFonts w:eastAsia="宋体"/>
      <w:kern w:val="2"/>
      <w:sz w:val="21"/>
      <w:szCs w:val="24"/>
      <w:lang w:val="en-US" w:eastAsia="zh-CN" w:bidi="ar-SA"/>
    </w:rPr>
  </w:style>
  <w:style w:type="paragraph" w:customStyle="1" w:styleId="616">
    <w:name w:val="wlj表格内文字"/>
    <w:basedOn w:val="1"/>
    <w:uiPriority w:val="0"/>
    <w:pPr>
      <w:adjustRightInd/>
      <w:snapToGrid/>
      <w:spacing w:line="240" w:lineRule="auto"/>
      <w:ind w:firstLine="0" w:firstLineChars="0"/>
      <w:jc w:val="center"/>
    </w:pPr>
    <w:rPr>
      <w:rFonts w:cs="Times New Roman"/>
      <w:color w:val="000080"/>
      <w:kern w:val="0"/>
      <w:sz w:val="21"/>
      <w:szCs w:val="24"/>
    </w:rPr>
  </w:style>
  <w:style w:type="paragraph" w:customStyle="1" w:styleId="617">
    <w:name w:val="样式 标题 1章标题 1h11st levelSection Headl1-*+b1章节名称标题11标题 ..."/>
    <w:basedOn w:val="2"/>
    <w:uiPriority w:val="0"/>
    <w:pPr>
      <w:keepNext/>
      <w:keepLines/>
      <w:numPr>
        <w:numId w:val="0"/>
      </w:numPr>
      <w:adjustRightInd/>
      <w:snapToGrid/>
      <w:spacing w:before="120" w:beforeLines="50" w:after="120" w:afterLines="50"/>
      <w:ind w:right="0"/>
    </w:pPr>
    <w:rPr>
      <w:rFonts w:eastAsia="宋体"/>
      <w:b/>
      <w:bCs/>
      <w:kern w:val="44"/>
      <w:sz w:val="36"/>
    </w:rPr>
  </w:style>
  <w:style w:type="paragraph" w:customStyle="1" w:styleId="618">
    <w:name w:val="样式 标题 2节标题 1.11.1标题2b2Seh2l22nd levelTitre22Header 2二...2"/>
    <w:basedOn w:val="3"/>
    <w:link w:val="619"/>
    <w:uiPriority w:val="0"/>
    <w:pPr>
      <w:keepNext/>
      <w:keepLines/>
      <w:numPr>
        <w:ilvl w:val="0"/>
        <w:numId w:val="0"/>
      </w:numPr>
      <w:tabs>
        <w:tab w:val="clear" w:pos="420"/>
      </w:tabs>
      <w:adjustRightInd/>
      <w:snapToGrid/>
      <w:spacing w:before="0"/>
    </w:pPr>
    <w:rPr>
      <w:color w:val="0070C0"/>
      <w:kern w:val="0"/>
    </w:rPr>
  </w:style>
  <w:style w:type="character" w:customStyle="1" w:styleId="619">
    <w:name w:val="样式 标题 2节标题 1.11.1标题2b2Seh2l22nd levelTitre22Header 2二...2 Char"/>
    <w:link w:val="618"/>
    <w:uiPriority w:val="0"/>
    <w:rPr>
      <w:rFonts w:ascii="Times New Roman" w:hAnsi="Times New Roman" w:eastAsia="黑体"/>
      <w:color w:val="0070C0"/>
      <w:sz w:val="32"/>
      <w:szCs w:val="32"/>
    </w:rPr>
  </w:style>
  <w:style w:type="paragraph" w:customStyle="1" w:styleId="620">
    <w:name w:val="标题2"/>
    <w:basedOn w:val="1"/>
    <w:uiPriority w:val="0"/>
    <w:pPr>
      <w:adjustRightInd/>
      <w:snapToGrid/>
      <w:ind w:firstLine="0" w:firstLineChars="0"/>
      <w:outlineLvl w:val="1"/>
    </w:pPr>
    <w:rPr>
      <w:rFonts w:eastAsia="仿宋" w:cs="Times New Roman"/>
      <w:b/>
      <w:color w:val="000000"/>
      <w:sz w:val="30"/>
      <w:szCs w:val="30"/>
    </w:rPr>
  </w:style>
  <w:style w:type="paragraph" w:customStyle="1" w:styleId="621">
    <w:name w:val="wlj正文"/>
    <w:link w:val="622"/>
    <w:uiPriority w:val="0"/>
    <w:pPr>
      <w:adjustRightInd w:val="0"/>
      <w:snapToGrid w:val="0"/>
      <w:spacing w:line="360" w:lineRule="auto"/>
      <w:ind w:firstLine="560" w:firstLineChars="200"/>
    </w:pPr>
    <w:rPr>
      <w:rFonts w:ascii="宋体" w:hAnsi="宋体" w:eastAsia="宋体" w:cs="Times New Roman"/>
      <w:color w:val="000000"/>
      <w:sz w:val="28"/>
      <w:szCs w:val="28"/>
      <w:lang w:val="en-US" w:eastAsia="zh-CN" w:bidi="ar-SA"/>
    </w:rPr>
  </w:style>
  <w:style w:type="character" w:customStyle="1" w:styleId="622">
    <w:name w:val="wlj正文 Char"/>
    <w:link w:val="621"/>
    <w:uiPriority w:val="0"/>
    <w:rPr>
      <w:rFonts w:ascii="宋体" w:hAnsi="宋体"/>
      <w:color w:val="000000"/>
      <w:sz w:val="28"/>
      <w:szCs w:val="28"/>
    </w:rPr>
  </w:style>
  <w:style w:type="paragraph" w:customStyle="1" w:styleId="623">
    <w:name w:val="王秀中"/>
    <w:basedOn w:val="1"/>
    <w:uiPriority w:val="0"/>
    <w:pPr>
      <w:autoSpaceDE w:val="0"/>
      <w:autoSpaceDN w:val="0"/>
      <w:spacing w:line="312" w:lineRule="auto"/>
      <w:ind w:firstLine="567" w:firstLineChars="0"/>
    </w:pPr>
    <w:rPr>
      <w:rFonts w:cs="Times New Roman"/>
      <w:kern w:val="0"/>
      <w:sz w:val="28"/>
      <w:szCs w:val="24"/>
    </w:rPr>
  </w:style>
  <w:style w:type="paragraph" w:customStyle="1" w:styleId="624">
    <w:name w:val="样式 样式 标题 2节标题 1.11.1标题2b2Seh2l22nd levelTitre22Header 2二...2 + (..."/>
    <w:basedOn w:val="618"/>
    <w:uiPriority w:val="0"/>
    <w:pPr/>
    <w:rPr>
      <w:color w:val="auto"/>
    </w:rPr>
  </w:style>
  <w:style w:type="paragraph" w:customStyle="1" w:styleId="625">
    <w:name w:val="pic-info"/>
    <w:basedOn w:val="1"/>
    <w:uiPriority w:val="0"/>
    <w:pPr>
      <w:widowControl/>
      <w:adjustRightInd/>
      <w:snapToGrid/>
      <w:spacing w:before="100" w:beforeAutospacing="1" w:after="100" w:afterAutospacing="1" w:line="240" w:lineRule="auto"/>
      <w:ind w:firstLine="0" w:firstLineChars="0"/>
      <w:jc w:val="left"/>
    </w:pPr>
    <w:rPr>
      <w:rFonts w:ascii="宋体" w:hAnsi="宋体"/>
      <w:kern w:val="0"/>
      <w:szCs w:val="24"/>
    </w:rPr>
  </w:style>
  <w:style w:type="paragraph" w:customStyle="1" w:styleId="626">
    <w:name w:val="样式 行距: 固定值 28 磅"/>
    <w:basedOn w:val="1"/>
    <w:uiPriority w:val="0"/>
    <w:pPr>
      <w:adjustRightInd/>
      <w:snapToGrid/>
      <w:spacing w:line="560" w:lineRule="exact"/>
      <w:ind w:firstLine="420"/>
    </w:pPr>
    <w:rPr>
      <w:sz w:val="28"/>
      <w:szCs w:val="20"/>
    </w:rPr>
  </w:style>
  <w:style w:type="paragraph" w:customStyle="1" w:styleId="627">
    <w:name w:val="Char Char1 Char Char Char"/>
    <w:basedOn w:val="1"/>
    <w:uiPriority w:val="0"/>
    <w:pPr>
      <w:adjustRightInd/>
      <w:snapToGrid/>
      <w:spacing w:line="240" w:lineRule="auto"/>
      <w:ind w:firstLine="0" w:firstLineChars="0"/>
    </w:pPr>
    <w:rPr>
      <w:rFonts w:cs="Times New Roman"/>
      <w:sz w:val="21"/>
      <w:szCs w:val="20"/>
    </w:rPr>
  </w:style>
  <w:style w:type="paragraph" w:customStyle="1" w:styleId="628">
    <w:name w:val="Char Char9 Char Char Char Char"/>
    <w:basedOn w:val="1"/>
    <w:semiHidden/>
    <w:uiPriority w:val="0"/>
    <w:pPr>
      <w:adjustRightInd/>
      <w:snapToGrid/>
      <w:spacing w:line="240" w:lineRule="auto"/>
      <w:ind w:firstLine="0" w:firstLineChars="0"/>
    </w:pPr>
    <w:rPr>
      <w:rFonts w:cs="Times New Roman"/>
      <w:sz w:val="21"/>
      <w:szCs w:val="24"/>
    </w:rPr>
  </w:style>
  <w:style w:type="paragraph" w:customStyle="1" w:styleId="629">
    <w:name w:val="邵光高速小四号宋体"/>
    <w:link w:val="630"/>
    <w:uiPriority w:val="0"/>
    <w:pPr>
      <w:widowControl w:val="0"/>
      <w:snapToGrid w:val="0"/>
      <w:spacing w:line="360" w:lineRule="auto"/>
      <w:ind w:firstLine="480" w:firstLineChars="200"/>
      <w:jc w:val="both"/>
    </w:pPr>
    <w:rPr>
      <w:rFonts w:ascii="宋体" w:hAnsi="宋体" w:eastAsia="宋体" w:cs="Times New Roman"/>
      <w:sz w:val="24"/>
      <w:szCs w:val="24"/>
      <w:lang w:val="en-US" w:eastAsia="zh-CN" w:bidi="ar-SA"/>
    </w:rPr>
  </w:style>
  <w:style w:type="character" w:customStyle="1" w:styleId="630">
    <w:name w:val="邵光高速小四号宋体 Char"/>
    <w:link w:val="629"/>
    <w:uiPriority w:val="0"/>
    <w:rPr>
      <w:rFonts w:ascii="宋体" w:hAnsi="宋体"/>
      <w:sz w:val="24"/>
      <w:szCs w:val="24"/>
    </w:rPr>
  </w:style>
  <w:style w:type="character" w:customStyle="1" w:styleId="631">
    <w:name w:val="样式 宋体 小四 黑色"/>
    <w:uiPriority w:val="0"/>
    <w:rPr>
      <w:rFonts w:ascii="宋体" w:hAnsi="宋体"/>
      <w:color w:val="000000"/>
      <w:sz w:val="24"/>
    </w:rPr>
  </w:style>
  <w:style w:type="paragraph" w:customStyle="1" w:styleId="632">
    <w:name w:val="表中"/>
    <w:uiPriority w:val="0"/>
    <w:pPr>
      <w:spacing w:line="240" w:lineRule="atLeast"/>
      <w:jc w:val="center"/>
    </w:pPr>
    <w:rPr>
      <w:rFonts w:ascii="Times New Roman" w:hAnsi="Times New Roman" w:eastAsia="宋体" w:cs="Times New Roman"/>
      <w:sz w:val="24"/>
      <w:lang w:val="en-US" w:eastAsia="zh-CN" w:bidi="ar-SA"/>
    </w:rPr>
  </w:style>
  <w:style w:type="paragraph" w:customStyle="1" w:styleId="633">
    <w:name w:val="简单回函地址"/>
    <w:basedOn w:val="1"/>
    <w:uiPriority w:val="0"/>
    <w:pPr>
      <w:adjustRightInd/>
      <w:snapToGrid/>
      <w:spacing w:line="240" w:lineRule="auto"/>
      <w:ind w:firstLine="0" w:firstLineChars="0"/>
      <w:jc w:val="center"/>
    </w:pPr>
    <w:rPr>
      <w:rFonts w:cs="Times New Roman"/>
      <w:sz w:val="21"/>
      <w:szCs w:val="24"/>
    </w:rPr>
  </w:style>
  <w:style w:type="paragraph" w:customStyle="1" w:styleId="634">
    <w:name w:val="Char Char9 Char Char Char Char1"/>
    <w:basedOn w:val="1"/>
    <w:semiHidden/>
    <w:uiPriority w:val="0"/>
    <w:pPr>
      <w:adjustRightInd/>
      <w:snapToGrid/>
      <w:spacing w:line="240" w:lineRule="auto"/>
      <w:ind w:firstLine="0" w:firstLineChars="0"/>
    </w:pPr>
    <w:rPr>
      <w:rFonts w:cs="Times New Roman"/>
      <w:sz w:val="21"/>
      <w:szCs w:val="24"/>
    </w:rPr>
  </w:style>
  <w:style w:type="paragraph" w:customStyle="1" w:styleId="635">
    <w:name w:val="p15"/>
    <w:basedOn w:val="1"/>
    <w:uiPriority w:val="0"/>
    <w:pPr>
      <w:widowControl/>
      <w:adjustRightInd/>
      <w:snapToGrid/>
      <w:spacing w:line="240" w:lineRule="auto"/>
      <w:ind w:firstLine="0" w:firstLineChars="0"/>
      <w:jc w:val="left"/>
    </w:pPr>
    <w:rPr>
      <w:rFonts w:cs="Times New Roman"/>
      <w:kern w:val="0"/>
      <w:sz w:val="21"/>
      <w:szCs w:val="21"/>
    </w:rPr>
  </w:style>
  <w:style w:type="paragraph" w:customStyle="1" w:styleId="636">
    <w:name w:val="宋体四号"/>
    <w:uiPriority w:val="0"/>
    <w:pPr>
      <w:widowControl w:val="0"/>
      <w:adjustRightInd w:val="0"/>
      <w:snapToGrid w:val="0"/>
      <w:spacing w:line="360" w:lineRule="auto"/>
      <w:ind w:firstLine="480" w:firstLineChars="200"/>
      <w:jc w:val="both"/>
    </w:pPr>
    <w:rPr>
      <w:rFonts w:ascii="Times New Roman" w:hAnsi="Times New Roman" w:eastAsia="宋体" w:cs="Times New Roman"/>
      <w:sz w:val="24"/>
      <w:szCs w:val="28"/>
      <w:lang w:val="en-US" w:eastAsia="zh-CN" w:bidi="ar-SA"/>
    </w:rPr>
  </w:style>
  <w:style w:type="paragraph" w:customStyle="1" w:styleId="637">
    <w:name w:val="正文标题样式"/>
    <w:basedOn w:val="418"/>
    <w:link w:val="638"/>
    <w:uiPriority w:val="0"/>
    <w:pPr>
      <w:adjustRightInd w:val="0"/>
      <w:snapToGrid w:val="0"/>
      <w:ind w:firstLine="456" w:firstLineChars="200"/>
    </w:pPr>
    <w:rPr>
      <w:rFonts w:ascii="Times New Roman" w:hAnsi="Times New Roman" w:cs="Times New Roman"/>
      <w:spacing w:val="-6"/>
      <w:kern w:val="28"/>
      <w:szCs w:val="24"/>
    </w:rPr>
  </w:style>
  <w:style w:type="character" w:customStyle="1" w:styleId="638">
    <w:name w:val="正文标题样式 Char"/>
    <w:link w:val="637"/>
    <w:uiPriority w:val="0"/>
    <w:rPr>
      <w:rFonts w:ascii="Times New Roman" w:hAnsi="Times New Roman"/>
      <w:spacing w:val="-6"/>
      <w:kern w:val="28"/>
      <w:sz w:val="24"/>
      <w:szCs w:val="24"/>
      <w:lang w:eastAsia="ar-SA"/>
    </w:rPr>
  </w:style>
  <w:style w:type="paragraph" w:customStyle="1" w:styleId="639">
    <w:name w:val="Char Char9 Char Char Char Char2"/>
    <w:basedOn w:val="1"/>
    <w:semiHidden/>
    <w:uiPriority w:val="0"/>
    <w:pPr>
      <w:adjustRightInd/>
      <w:snapToGrid/>
      <w:spacing w:line="240" w:lineRule="auto"/>
      <w:ind w:firstLine="0" w:firstLineChars="0"/>
    </w:pPr>
    <w:rPr>
      <w:rFonts w:cs="Times New Roman"/>
      <w:sz w:val="21"/>
      <w:szCs w:val="24"/>
    </w:rPr>
  </w:style>
  <w:style w:type="paragraph" w:customStyle="1" w:styleId="640">
    <w:name w:val="7修改内容"/>
    <w:basedOn w:val="130"/>
    <w:link w:val="641"/>
    <w:uiPriority w:val="0"/>
    <w:rPr>
      <w:color w:val="0000FF"/>
      <w:u w:val="single"/>
    </w:rPr>
  </w:style>
  <w:style w:type="character" w:customStyle="1" w:styleId="641">
    <w:name w:val="7修改内容 Char"/>
    <w:link w:val="640"/>
    <w:uiPriority w:val="0"/>
    <w:rPr>
      <w:rFonts w:ascii="Times New Roman" w:hAnsi="Times New Roman"/>
      <w:color w:val="0000FF"/>
      <w:kern w:val="2"/>
      <w:sz w:val="24"/>
      <w:szCs w:val="24"/>
      <w:u w:val="single"/>
    </w:rPr>
  </w:style>
  <w:style w:type="character" w:customStyle="1" w:styleId="642">
    <w:name w:val="表内文字 Char"/>
    <w:uiPriority w:val="0"/>
    <w:rPr>
      <w:color w:val="000000"/>
      <w:kern w:val="2"/>
      <w:sz w:val="21"/>
      <w:szCs w:val="21"/>
    </w:rPr>
  </w:style>
  <w:style w:type="paragraph" w:customStyle="1" w:styleId="643">
    <w:name w:val="Char Char Char Char Char Char Char Char Char Char Char Char Char Char Char Char Char Char Char Char Char Char"/>
    <w:basedOn w:val="1"/>
    <w:uiPriority w:val="0"/>
    <w:pPr>
      <w:adjustRightInd/>
      <w:snapToGrid/>
      <w:spacing w:line="240" w:lineRule="auto"/>
      <w:ind w:firstLine="0" w:firstLineChars="0"/>
    </w:pPr>
    <w:rPr>
      <w:rFonts w:cs="Times New Roman"/>
      <w:sz w:val="21"/>
      <w:szCs w:val="24"/>
    </w:rPr>
  </w:style>
  <w:style w:type="paragraph" w:customStyle="1" w:styleId="644">
    <w:name w:val="样式 四号 首行缩进:  2 字符"/>
    <w:basedOn w:val="1"/>
    <w:uiPriority w:val="0"/>
    <w:pPr>
      <w:adjustRightInd/>
      <w:snapToGrid/>
      <w:spacing w:line="240" w:lineRule="auto"/>
    </w:pPr>
    <w:rPr>
      <w:rFonts w:cs="Times New Roman"/>
      <w:sz w:val="28"/>
      <w:szCs w:val="28"/>
    </w:rPr>
  </w:style>
  <w:style w:type="paragraph" w:customStyle="1" w:styleId="645">
    <w:name w:val="样式 宋体 四号 红色 行距: 固定值 28 磅"/>
    <w:basedOn w:val="1"/>
    <w:uiPriority w:val="0"/>
    <w:pPr>
      <w:adjustRightInd/>
      <w:snapToGrid/>
      <w:spacing w:line="560" w:lineRule="exact"/>
    </w:pPr>
    <w:rPr>
      <w:color w:val="FF0000"/>
      <w:sz w:val="28"/>
      <w:szCs w:val="20"/>
    </w:rPr>
  </w:style>
  <w:style w:type="paragraph" w:customStyle="1" w:styleId="646">
    <w:name w:val="正文样式"/>
    <w:basedOn w:val="1"/>
    <w:link w:val="647"/>
    <w:uiPriority w:val="0"/>
    <w:pPr>
      <w:tabs>
        <w:tab w:val="left" w:pos="525"/>
      </w:tabs>
      <w:adjustRightInd/>
      <w:snapToGrid/>
      <w:ind w:firstLine="480"/>
    </w:pPr>
    <w:rPr>
      <w:rFonts w:ascii="宋体" w:hAnsi="宋体" w:cs="Times New Roman"/>
      <w:kern w:val="0"/>
      <w:szCs w:val="24"/>
    </w:rPr>
  </w:style>
  <w:style w:type="character" w:customStyle="1" w:styleId="647">
    <w:name w:val="正文样式 Char"/>
    <w:link w:val="646"/>
    <w:uiPriority w:val="0"/>
    <w:rPr>
      <w:rFonts w:ascii="宋体" w:hAnsi="宋体"/>
      <w:sz w:val="24"/>
      <w:szCs w:val="24"/>
    </w:rPr>
  </w:style>
  <w:style w:type="paragraph" w:customStyle="1" w:styleId="648">
    <w:name w:val="表头样式"/>
    <w:basedOn w:val="1"/>
    <w:link w:val="649"/>
    <w:uiPriority w:val="0"/>
    <w:pPr>
      <w:adjustRightInd/>
      <w:snapToGrid/>
      <w:ind w:firstLine="0" w:firstLineChars="0"/>
      <w:jc w:val="center"/>
    </w:pPr>
    <w:rPr>
      <w:rFonts w:eastAsia="黑体" w:cs="Times New Roman"/>
      <w:kern w:val="0"/>
      <w:szCs w:val="28"/>
    </w:rPr>
  </w:style>
  <w:style w:type="character" w:customStyle="1" w:styleId="649">
    <w:name w:val="表头样式 Char"/>
    <w:link w:val="648"/>
    <w:uiPriority w:val="0"/>
    <w:rPr>
      <w:rFonts w:ascii="Times New Roman" w:hAnsi="Times New Roman" w:eastAsia="黑体"/>
      <w:sz w:val="24"/>
      <w:szCs w:val="28"/>
    </w:rPr>
  </w:style>
  <w:style w:type="paragraph" w:customStyle="1" w:styleId="650">
    <w:name w:val="水保方案正文+字体: 四号"/>
    <w:basedOn w:val="1"/>
    <w:link w:val="651"/>
    <w:uiPriority w:val="0"/>
    <w:pPr>
      <w:adjustRightInd/>
      <w:snapToGrid/>
      <w:ind w:firstLine="560"/>
    </w:pPr>
    <w:rPr>
      <w:rFonts w:cs="Times New Roman"/>
      <w:kern w:val="0"/>
      <w:sz w:val="28"/>
      <w:szCs w:val="28"/>
    </w:rPr>
  </w:style>
  <w:style w:type="character" w:customStyle="1" w:styleId="651">
    <w:name w:val="水保方案正文+字体: 四号 Char"/>
    <w:link w:val="650"/>
    <w:uiPriority w:val="0"/>
    <w:rPr>
      <w:rFonts w:ascii="Times New Roman" w:hAnsi="Times New Roman"/>
      <w:sz w:val="28"/>
      <w:szCs w:val="28"/>
    </w:rPr>
  </w:style>
  <w:style w:type="character" w:customStyle="1" w:styleId="652">
    <w:name w:val="样式 首行缩进:  0.99 厘米 Char"/>
    <w:link w:val="418"/>
    <w:uiPriority w:val="0"/>
    <w:rPr>
      <w:rFonts w:ascii="宋体" w:hAnsi="宋体" w:cs="宋体"/>
      <w:kern w:val="1"/>
      <w:sz w:val="24"/>
      <w:lang w:eastAsia="ar-SA"/>
    </w:rPr>
  </w:style>
  <w:style w:type="character" w:customStyle="1" w:styleId="653">
    <w:name w:val="样式 样式 标题 2节标题 1.11.1标题2b2Seh2l22nd levelTitre22Header 2二...2 + (...6 Char"/>
    <w:basedOn w:val="619"/>
    <w:link w:val="654"/>
    <w:uiPriority w:val="0"/>
    <w:rPr>
      <w:rFonts w:ascii="Times New Roman" w:hAnsi="Times New Roman" w:eastAsia="黑体"/>
      <w:bCs/>
      <w:color w:val="0070C0"/>
      <w:sz w:val="32"/>
      <w:szCs w:val="32"/>
    </w:rPr>
  </w:style>
  <w:style w:type="paragraph" w:customStyle="1" w:styleId="654">
    <w:name w:val="样式 样式 标题 2节标题 1.11.1标题2b2Seh2l22nd levelTitre22Header 2二...2 + (...6"/>
    <w:basedOn w:val="618"/>
    <w:link w:val="653"/>
    <w:qFormat/>
    <w:uiPriority w:val="0"/>
    <w:pPr/>
    <w:rPr>
      <w:bCs/>
    </w:rPr>
  </w:style>
  <w:style w:type="paragraph" w:customStyle="1" w:styleId="655">
    <w:name w:val="表格内字体样式"/>
    <w:basedOn w:val="1"/>
    <w:qFormat/>
    <w:uiPriority w:val="0"/>
    <w:pPr>
      <w:widowControl/>
      <w:adjustRightInd/>
      <w:snapToGrid/>
      <w:spacing w:line="240" w:lineRule="auto"/>
      <w:ind w:firstLine="0" w:firstLineChars="0"/>
      <w:jc w:val="center"/>
    </w:pPr>
    <w:rPr>
      <w:rFonts w:cs="Times New Roman"/>
      <w:kern w:val="21"/>
      <w:sz w:val="21"/>
      <w:szCs w:val="21"/>
    </w:rPr>
  </w:style>
  <w:style w:type="character" w:customStyle="1" w:styleId="656">
    <w:name w:val="访问过的超链接1"/>
    <w:uiPriority w:val="0"/>
    <w:rPr>
      <w:color w:val="800080"/>
      <w:u w:val="single"/>
    </w:rPr>
  </w:style>
  <w:style w:type="character" w:customStyle="1" w:styleId="657">
    <w:name w:val="样式 样式 标题 2节标题 1.11.1标题2b2Seh2l22nd levelTitre22Header 2二...2 + (...3 Char"/>
    <w:basedOn w:val="619"/>
    <w:link w:val="658"/>
    <w:uiPriority w:val="0"/>
    <w:rPr>
      <w:rFonts w:ascii="Times New Roman" w:hAnsi="Times New Roman" w:eastAsia="黑体"/>
      <w:bCs/>
      <w:color w:val="0070C0"/>
      <w:sz w:val="32"/>
      <w:szCs w:val="32"/>
    </w:rPr>
  </w:style>
  <w:style w:type="paragraph" w:customStyle="1" w:styleId="658">
    <w:name w:val="样式 样式 标题 2节标题 1.11.1标题2b2Seh2l22nd levelTitre22Header 2二...2 + (...3"/>
    <w:basedOn w:val="618"/>
    <w:link w:val="657"/>
    <w:uiPriority w:val="0"/>
    <w:pPr/>
    <w:rPr>
      <w:bCs/>
    </w:rPr>
  </w:style>
  <w:style w:type="character" w:customStyle="1" w:styleId="659">
    <w:name w:val="样式 样式 标题 2节标题 1.11.1标题2b2Seh2l22nd levelTitre22Header 2二...2 + (...4 Char"/>
    <w:basedOn w:val="619"/>
    <w:link w:val="660"/>
    <w:uiPriority w:val="0"/>
    <w:rPr>
      <w:rFonts w:ascii="Times New Roman" w:hAnsi="Times New Roman" w:eastAsia="黑体"/>
      <w:bCs/>
      <w:color w:val="0070C0"/>
      <w:sz w:val="32"/>
      <w:szCs w:val="32"/>
    </w:rPr>
  </w:style>
  <w:style w:type="paragraph" w:customStyle="1" w:styleId="660">
    <w:name w:val="样式 样式 标题 2节标题 1.11.1标题2b2Seh2l22nd levelTitre22Header 2二...2 + (...4"/>
    <w:basedOn w:val="618"/>
    <w:link w:val="659"/>
    <w:uiPriority w:val="0"/>
    <w:pPr/>
    <w:rPr>
      <w:bCs/>
    </w:rPr>
  </w:style>
  <w:style w:type="character" w:customStyle="1" w:styleId="661">
    <w:name w:val="样式 样式 标题 2节标题 1.11.1标题2b2Seh2l22nd levelTitre22Header 2二...2 + (...2 Char"/>
    <w:link w:val="662"/>
    <w:uiPriority w:val="0"/>
    <w:rPr>
      <w:b/>
      <w:bCs/>
      <w:color w:val="0070C0"/>
      <w:sz w:val="32"/>
      <w:szCs w:val="32"/>
    </w:rPr>
  </w:style>
  <w:style w:type="paragraph" w:customStyle="1" w:styleId="662">
    <w:name w:val="样式 样式 标题 2节标题 1.11.1标题2b2Seh2l22nd levelTitre22Header 2二...2 + (...2"/>
    <w:basedOn w:val="618"/>
    <w:link w:val="661"/>
    <w:uiPriority w:val="0"/>
    <w:pPr>
      <w:adjustRightInd w:val="0"/>
      <w:snapToGrid w:val="0"/>
      <w:spacing w:beforeLines="0"/>
    </w:pPr>
    <w:rPr>
      <w:rFonts w:ascii="Calibri" w:hAnsi="Calibri" w:eastAsia="宋体"/>
      <w:b/>
      <w:bCs/>
    </w:rPr>
  </w:style>
  <w:style w:type="character" w:customStyle="1" w:styleId="663">
    <w:name w:val="样式 样式 标题 2节标题 1.11.1标题2b2Seh2l22nd levelTitre22Header 2二...2 + (...10 Char"/>
    <w:basedOn w:val="619"/>
    <w:link w:val="664"/>
    <w:uiPriority w:val="0"/>
    <w:rPr>
      <w:rFonts w:ascii="Times New Roman" w:hAnsi="Times New Roman" w:eastAsia="黑体"/>
      <w:bCs/>
      <w:color w:val="0070C0"/>
      <w:sz w:val="32"/>
      <w:szCs w:val="32"/>
    </w:rPr>
  </w:style>
  <w:style w:type="paragraph" w:customStyle="1" w:styleId="664">
    <w:name w:val="样式 样式 标题 2节标题 1.11.1标题2b2Seh2l22nd levelTitre22Header 2二...2 + (...10"/>
    <w:basedOn w:val="618"/>
    <w:link w:val="663"/>
    <w:uiPriority w:val="0"/>
    <w:pPr/>
    <w:rPr>
      <w:bCs/>
    </w:rPr>
  </w:style>
  <w:style w:type="character" w:customStyle="1" w:styleId="665">
    <w:name w:val="样式 样式 标题 2节标题 1.11.1标题2b2Seh2l22nd levelTitre22Header 2二...2 + (...12 Char"/>
    <w:basedOn w:val="619"/>
    <w:link w:val="666"/>
    <w:uiPriority w:val="0"/>
    <w:rPr>
      <w:rFonts w:ascii="Times New Roman" w:hAnsi="Times New Roman" w:eastAsia="黑体"/>
      <w:bCs/>
      <w:color w:val="0070C0"/>
      <w:sz w:val="32"/>
      <w:szCs w:val="32"/>
    </w:rPr>
  </w:style>
  <w:style w:type="paragraph" w:customStyle="1" w:styleId="666">
    <w:name w:val="样式 样式 标题 2节标题 1.11.1标题2b2Seh2l22nd levelTitre22Header 2二...2 + (...12"/>
    <w:basedOn w:val="618"/>
    <w:link w:val="665"/>
    <w:uiPriority w:val="0"/>
    <w:pPr/>
    <w:rPr>
      <w:bCs/>
    </w:rPr>
  </w:style>
  <w:style w:type="character" w:customStyle="1" w:styleId="667">
    <w:name w:val="样式 样式 标题 2节标题 1.11.1标题2b2Seh2l22nd levelTitre22Header 2二...2 + (...9 Char"/>
    <w:basedOn w:val="619"/>
    <w:link w:val="668"/>
    <w:uiPriority w:val="0"/>
    <w:rPr>
      <w:rFonts w:ascii="Times New Roman" w:hAnsi="Times New Roman" w:eastAsia="黑体"/>
      <w:bCs/>
      <w:color w:val="0070C0"/>
      <w:sz w:val="32"/>
      <w:szCs w:val="32"/>
    </w:rPr>
  </w:style>
  <w:style w:type="paragraph" w:customStyle="1" w:styleId="668">
    <w:name w:val="样式 样式 标题 2节标题 1.11.1标题2b2Seh2l22nd levelTitre22Header 2二...2 + (...9"/>
    <w:basedOn w:val="618"/>
    <w:link w:val="667"/>
    <w:uiPriority w:val="0"/>
    <w:pPr/>
    <w:rPr>
      <w:bCs/>
    </w:rPr>
  </w:style>
  <w:style w:type="character" w:customStyle="1" w:styleId="669">
    <w:name w:val="样式 小四2 Char"/>
    <w:link w:val="670"/>
    <w:uiPriority w:val="0"/>
    <w:rPr>
      <w:kern w:val="2"/>
      <w:sz w:val="24"/>
      <w:szCs w:val="24"/>
    </w:rPr>
  </w:style>
  <w:style w:type="paragraph" w:customStyle="1" w:styleId="670">
    <w:name w:val="样式 小四2"/>
    <w:basedOn w:val="1"/>
    <w:link w:val="669"/>
    <w:uiPriority w:val="0"/>
    <w:pPr>
      <w:adjustRightInd/>
      <w:snapToGrid/>
    </w:pPr>
    <w:rPr>
      <w:rFonts w:ascii="Calibri" w:hAnsi="Calibri" w:cs="Times New Roman"/>
      <w:szCs w:val="24"/>
    </w:rPr>
  </w:style>
  <w:style w:type="character" w:customStyle="1" w:styleId="671">
    <w:name w:val="正文 小四 蓝 Char"/>
    <w:link w:val="672"/>
    <w:uiPriority w:val="0"/>
    <w:rPr>
      <w:rFonts w:ascii="宋体" w:hAnsi="宋体"/>
      <w:color w:val="0000FF"/>
      <w:kern w:val="24"/>
      <w:sz w:val="24"/>
      <w:szCs w:val="24"/>
      <w:lang w:eastAsia="ar-SA"/>
    </w:rPr>
  </w:style>
  <w:style w:type="paragraph" w:customStyle="1" w:styleId="672">
    <w:name w:val="正文 小四 蓝"/>
    <w:basedOn w:val="1"/>
    <w:link w:val="671"/>
    <w:uiPriority w:val="0"/>
    <w:pPr>
      <w:adjustRightInd/>
      <w:snapToGrid/>
    </w:pPr>
    <w:rPr>
      <w:rFonts w:ascii="宋体" w:hAnsi="宋体" w:cs="Times New Roman"/>
      <w:color w:val="0000FF"/>
      <w:kern w:val="24"/>
      <w:szCs w:val="24"/>
      <w:lang w:eastAsia="ar-SA"/>
    </w:rPr>
  </w:style>
  <w:style w:type="character" w:customStyle="1" w:styleId="673">
    <w:name w:val="表内文字（居中）-wd Char"/>
    <w:link w:val="674"/>
    <w:uiPriority w:val="0"/>
    <w:rPr>
      <w:bCs/>
      <w:kern w:val="28"/>
      <w:sz w:val="21"/>
      <w:szCs w:val="21"/>
    </w:rPr>
  </w:style>
  <w:style w:type="paragraph" w:customStyle="1" w:styleId="674">
    <w:name w:val="表内文字（居中）-wd"/>
    <w:basedOn w:val="1"/>
    <w:link w:val="673"/>
    <w:uiPriority w:val="0"/>
    <w:pPr>
      <w:tabs>
        <w:tab w:val="left" w:pos="3600"/>
      </w:tabs>
      <w:adjustRightInd/>
      <w:snapToGrid/>
      <w:spacing w:line="240" w:lineRule="auto"/>
      <w:ind w:left="-126" w:leftChars="-60" w:right="-153" w:rightChars="-73" w:firstLine="0" w:firstLineChars="0"/>
      <w:jc w:val="center"/>
    </w:pPr>
    <w:rPr>
      <w:rFonts w:ascii="Calibri" w:hAnsi="Calibri" w:cs="Times New Roman"/>
      <w:bCs/>
      <w:kern w:val="28"/>
      <w:sz w:val="21"/>
      <w:szCs w:val="21"/>
    </w:rPr>
  </w:style>
  <w:style w:type="character" w:customStyle="1" w:styleId="675">
    <w:name w:val="表编号-wd Char"/>
    <w:link w:val="676"/>
    <w:uiPriority w:val="0"/>
    <w:rPr>
      <w:color w:val="0000FF"/>
      <w:kern w:val="2"/>
      <w:sz w:val="24"/>
      <w:szCs w:val="24"/>
    </w:rPr>
  </w:style>
  <w:style w:type="paragraph" w:customStyle="1" w:styleId="676">
    <w:name w:val="表编号-wd"/>
    <w:basedOn w:val="1"/>
    <w:next w:val="1"/>
    <w:link w:val="675"/>
    <w:uiPriority w:val="0"/>
    <w:pPr>
      <w:widowControl/>
      <w:adjustRightInd/>
      <w:snapToGrid/>
      <w:spacing w:line="500" w:lineRule="exact"/>
      <w:ind w:firstLine="0" w:firstLineChars="0"/>
      <w:jc w:val="left"/>
    </w:pPr>
    <w:rPr>
      <w:rFonts w:ascii="Calibri" w:hAnsi="Calibri" w:cs="Times New Roman"/>
      <w:color w:val="0000FF"/>
      <w:szCs w:val="24"/>
    </w:rPr>
  </w:style>
  <w:style w:type="character" w:customStyle="1" w:styleId="677">
    <w:name w:val="正文-wd Char"/>
    <w:link w:val="678"/>
    <w:uiPriority w:val="0"/>
    <w:rPr>
      <w:rFonts w:cs="宋体"/>
      <w:color w:val="000000"/>
      <w:sz w:val="28"/>
      <w:szCs w:val="28"/>
    </w:rPr>
  </w:style>
  <w:style w:type="paragraph" w:customStyle="1" w:styleId="678">
    <w:name w:val="正文-wd"/>
    <w:basedOn w:val="1"/>
    <w:link w:val="677"/>
    <w:uiPriority w:val="0"/>
    <w:pPr>
      <w:widowControl/>
      <w:adjustRightInd/>
      <w:snapToGrid/>
      <w:ind w:firstLine="560"/>
      <w:jc w:val="left"/>
    </w:pPr>
    <w:rPr>
      <w:rFonts w:ascii="Calibri" w:hAnsi="Calibri"/>
      <w:color w:val="000000"/>
      <w:kern w:val="0"/>
      <w:sz w:val="28"/>
      <w:szCs w:val="28"/>
    </w:rPr>
  </w:style>
  <w:style w:type="character" w:customStyle="1" w:styleId="679">
    <w:name w:val="表格标题 Char"/>
    <w:uiPriority w:val="0"/>
    <w:rPr>
      <w:rFonts w:eastAsia="黑体"/>
      <w:spacing w:val="15"/>
      <w:kern w:val="2"/>
      <w:sz w:val="28"/>
    </w:rPr>
  </w:style>
  <w:style w:type="character" w:customStyle="1" w:styleId="680">
    <w:name w:val="样式 样式 样式 标题 2节标题 1.11.1标题2b2Seh2l22nd levelTitre22Header 2二...2 ...2 Char"/>
    <w:link w:val="681"/>
    <w:uiPriority w:val="0"/>
    <w:rPr>
      <w:b/>
      <w:color w:val="000000"/>
      <w:sz w:val="28"/>
      <w:szCs w:val="28"/>
    </w:rPr>
  </w:style>
  <w:style w:type="paragraph" w:customStyle="1" w:styleId="681">
    <w:name w:val="样式 样式 样式 标题 2节标题 1.11.1标题2b2Seh2l22nd levelTitre22Header 2二...2 ...2"/>
    <w:basedOn w:val="658"/>
    <w:link w:val="680"/>
    <w:uiPriority w:val="0"/>
    <w:pPr>
      <w:adjustRightInd w:val="0"/>
      <w:snapToGrid w:val="0"/>
      <w:spacing w:beforeLines="0"/>
    </w:pPr>
    <w:rPr>
      <w:rFonts w:ascii="Calibri" w:hAnsi="Calibri" w:eastAsia="宋体"/>
      <w:b/>
      <w:bCs w:val="0"/>
      <w:color w:val="000000"/>
      <w:sz w:val="28"/>
      <w:szCs w:val="28"/>
    </w:rPr>
  </w:style>
  <w:style w:type="character" w:customStyle="1" w:styleId="682">
    <w:name w:val="样式 样式 标题 2节标题 1.11.1标题2b2Seh2l22nd levelTitre22Header 2二...2 + (...5 Char"/>
    <w:basedOn w:val="619"/>
    <w:link w:val="683"/>
    <w:uiPriority w:val="0"/>
    <w:rPr>
      <w:rFonts w:ascii="Times New Roman" w:hAnsi="Times New Roman" w:eastAsia="黑体"/>
      <w:bCs/>
      <w:color w:val="0070C0"/>
      <w:sz w:val="32"/>
      <w:szCs w:val="32"/>
    </w:rPr>
  </w:style>
  <w:style w:type="paragraph" w:customStyle="1" w:styleId="683">
    <w:name w:val="样式 样式 标题 2节标题 1.11.1标题2b2Seh2l22nd levelTitre22Header 2二...2 + (...5"/>
    <w:basedOn w:val="618"/>
    <w:link w:val="682"/>
    <w:uiPriority w:val="0"/>
    <w:pPr/>
    <w:rPr>
      <w:bCs/>
    </w:rPr>
  </w:style>
  <w:style w:type="character" w:customStyle="1" w:styleId="684">
    <w:name w:val="样式 样式 标题 2节标题 1.11.1标题2b2Seh2l22nd levelTitre22Header 2二...2 + (...8 Char"/>
    <w:basedOn w:val="619"/>
    <w:link w:val="685"/>
    <w:uiPriority w:val="0"/>
    <w:rPr>
      <w:rFonts w:ascii="Times New Roman" w:hAnsi="Times New Roman" w:eastAsia="黑体"/>
      <w:bCs/>
      <w:color w:val="0070C0"/>
      <w:sz w:val="32"/>
      <w:szCs w:val="32"/>
    </w:rPr>
  </w:style>
  <w:style w:type="paragraph" w:customStyle="1" w:styleId="685">
    <w:name w:val="样式 样式 标题 2节标题 1.11.1标题2b2Seh2l22nd levelTitre22Header 2二...2 + (...8"/>
    <w:basedOn w:val="618"/>
    <w:link w:val="684"/>
    <w:uiPriority w:val="0"/>
    <w:pPr/>
    <w:rPr>
      <w:bCs/>
    </w:rPr>
  </w:style>
  <w:style w:type="character" w:customStyle="1" w:styleId="686">
    <w:name w:val="样式6 正文 Char1"/>
    <w:link w:val="687"/>
    <w:uiPriority w:val="0"/>
    <w:rPr>
      <w:sz w:val="24"/>
    </w:rPr>
  </w:style>
  <w:style w:type="paragraph" w:customStyle="1" w:styleId="687">
    <w:name w:val="样式6 正文"/>
    <w:link w:val="686"/>
    <w:uiPriority w:val="0"/>
    <w:pPr>
      <w:spacing w:line="360" w:lineRule="auto"/>
      <w:ind w:firstLine="510"/>
      <w:jc w:val="both"/>
    </w:pPr>
    <w:rPr>
      <w:rFonts w:ascii="Calibri" w:hAnsi="Calibri" w:eastAsia="宋体" w:cs="Times New Roman"/>
      <w:sz w:val="24"/>
      <w:lang w:val="en-US" w:eastAsia="zh-CN" w:bidi="ar-SA"/>
    </w:rPr>
  </w:style>
  <w:style w:type="character" w:customStyle="1" w:styleId="688">
    <w:name w:val="样式 样式 样式 标题 2节标题 1.11.1标题2b2Seh2l22nd levelTitre22Header 2二...2 ...3 Char"/>
    <w:link w:val="689"/>
    <w:uiPriority w:val="0"/>
    <w:rPr>
      <w:rFonts w:ascii="宋体" w:hAnsi="宋体"/>
      <w:b/>
      <w:bCs/>
      <w:color w:val="0070C0"/>
      <w:sz w:val="28"/>
      <w:szCs w:val="28"/>
    </w:rPr>
  </w:style>
  <w:style w:type="paragraph" w:customStyle="1" w:styleId="689">
    <w:name w:val="样式 样式 样式 标题 2节标题 1.11.1标题2b2Seh2l22nd levelTitre22Header 2二...2 ...3"/>
    <w:basedOn w:val="666"/>
    <w:link w:val="688"/>
    <w:uiPriority w:val="0"/>
    <w:pPr>
      <w:adjustRightInd w:val="0"/>
      <w:snapToGrid w:val="0"/>
      <w:spacing w:beforeLines="0"/>
    </w:pPr>
    <w:rPr>
      <w:rFonts w:ascii="宋体" w:hAnsi="宋体" w:eastAsia="宋体"/>
      <w:b/>
      <w:sz w:val="28"/>
      <w:szCs w:val="28"/>
    </w:rPr>
  </w:style>
  <w:style w:type="character" w:customStyle="1" w:styleId="690">
    <w:name w:val="apple-converted-space"/>
    <w:basedOn w:val="56"/>
    <w:uiPriority w:val="0"/>
  </w:style>
  <w:style w:type="character" w:customStyle="1" w:styleId="691">
    <w:name w:val="headline-content"/>
    <w:basedOn w:val="56"/>
    <w:uiPriority w:val="0"/>
  </w:style>
  <w:style w:type="character" w:customStyle="1" w:styleId="692">
    <w:name w:val="apple-style-span"/>
    <w:basedOn w:val="56"/>
    <w:uiPriority w:val="0"/>
  </w:style>
  <w:style w:type="character" w:customStyle="1" w:styleId="693">
    <w:name w:val="样式 样式 标题 2节标题 1.11.1标题2b2Seh2l22nd levelTitre22Header 2二...2 + (...7 Char"/>
    <w:basedOn w:val="619"/>
    <w:link w:val="694"/>
    <w:uiPriority w:val="0"/>
    <w:rPr>
      <w:rFonts w:ascii="Times New Roman" w:hAnsi="Times New Roman" w:eastAsia="黑体"/>
      <w:bCs/>
      <w:color w:val="0070C0"/>
      <w:sz w:val="32"/>
      <w:szCs w:val="32"/>
    </w:rPr>
  </w:style>
  <w:style w:type="paragraph" w:customStyle="1" w:styleId="694">
    <w:name w:val="样式 样式 标题 2节标题 1.11.1标题2b2Seh2l22nd levelTitre22Header 2二...2 + (...7"/>
    <w:basedOn w:val="618"/>
    <w:link w:val="693"/>
    <w:uiPriority w:val="0"/>
    <w:pPr/>
    <w:rPr>
      <w:bCs/>
    </w:rPr>
  </w:style>
  <w:style w:type="character" w:customStyle="1" w:styleId="695">
    <w:name w:val="样式 样式 标题 2节标题 1.11.1标题2b2Seh2l22nd levelTitre22Header 2二...2 + (...11 Char"/>
    <w:basedOn w:val="619"/>
    <w:link w:val="696"/>
    <w:uiPriority w:val="0"/>
    <w:rPr>
      <w:rFonts w:ascii="Times New Roman" w:hAnsi="Times New Roman" w:eastAsia="黑体"/>
      <w:bCs/>
      <w:color w:val="0070C0"/>
      <w:sz w:val="32"/>
      <w:szCs w:val="32"/>
    </w:rPr>
  </w:style>
  <w:style w:type="paragraph" w:customStyle="1" w:styleId="696">
    <w:name w:val="样式 样式 标题 2节标题 1.11.1标题2b2Seh2l22nd levelTitre22Header 2二...2 + (...11"/>
    <w:basedOn w:val="618"/>
    <w:link w:val="695"/>
    <w:uiPriority w:val="0"/>
    <w:pPr/>
    <w:rPr>
      <w:bCs/>
    </w:rPr>
  </w:style>
  <w:style w:type="character" w:customStyle="1" w:styleId="697">
    <w:name w:val="表中正文 Char"/>
    <w:link w:val="485"/>
    <w:qFormat/>
    <w:uiPriority w:val="0"/>
    <w:rPr>
      <w:rFonts w:ascii="宋体" w:hAnsi="Times New Roman"/>
      <w:kern w:val="2"/>
      <w:sz w:val="21"/>
      <w:szCs w:val="21"/>
    </w:rPr>
  </w:style>
  <w:style w:type="paragraph" w:customStyle="1" w:styleId="698">
    <w:name w:val="正文11"/>
    <w:basedOn w:val="1"/>
    <w:uiPriority w:val="0"/>
    <w:pPr>
      <w:tabs>
        <w:tab w:val="left" w:pos="600"/>
      </w:tabs>
      <w:snapToGrid/>
      <w:spacing w:line="396" w:lineRule="atLeast"/>
      <w:ind w:firstLine="0" w:firstLineChars="0"/>
      <w:textAlignment w:val="baseline"/>
    </w:pPr>
    <w:rPr>
      <w:rFonts w:ascii="宋体"/>
      <w:kern w:val="0"/>
      <w:szCs w:val="24"/>
    </w:rPr>
  </w:style>
  <w:style w:type="paragraph" w:customStyle="1" w:styleId="699">
    <w:name w:val="Char Char1 Char Char Char Char Char"/>
    <w:basedOn w:val="1"/>
    <w:semiHidden/>
    <w:uiPriority w:val="0"/>
    <w:pPr>
      <w:adjustRightInd/>
      <w:snapToGrid/>
    </w:pPr>
    <w:rPr>
      <w:rFonts w:ascii="宋体" w:hAnsi="宋体"/>
      <w:szCs w:val="28"/>
    </w:rPr>
  </w:style>
  <w:style w:type="paragraph" w:customStyle="1" w:styleId="700">
    <w:name w:val="样式 样式 标题 2节标题 1.11.1标题2b2Seh2l22nd levelTitre22Header 2二...2 + (...1"/>
    <w:basedOn w:val="618"/>
    <w:uiPriority w:val="0"/>
    <w:pPr/>
    <w:rPr>
      <w:bCs/>
      <w:color w:val="auto"/>
    </w:rPr>
  </w:style>
  <w:style w:type="paragraph" w:customStyle="1" w:styleId="701">
    <w:name w:val="表格标题--wd"/>
    <w:basedOn w:val="41"/>
    <w:next w:val="1"/>
    <w:uiPriority w:val="0"/>
    <w:pPr>
      <w:tabs>
        <w:tab w:val="left" w:pos="4035"/>
        <w:tab w:val="center" w:pos="6747"/>
      </w:tabs>
      <w:adjustRightInd/>
      <w:snapToGrid/>
      <w:ind w:left="0" w:firstLine="0" w:firstLineChars="0"/>
      <w:jc w:val="center"/>
    </w:pPr>
    <w:rPr>
      <w:rFonts w:cs="Times New Roman"/>
      <w:b/>
      <w:kern w:val="24"/>
      <w:sz w:val="28"/>
      <w:szCs w:val="24"/>
    </w:rPr>
  </w:style>
  <w:style w:type="paragraph" w:customStyle="1" w:styleId="702">
    <w:name w:val="王秀中1"/>
    <w:basedOn w:val="1"/>
    <w:uiPriority w:val="0"/>
    <w:pPr>
      <w:autoSpaceDE w:val="0"/>
      <w:autoSpaceDN w:val="0"/>
      <w:spacing w:line="312" w:lineRule="auto"/>
      <w:ind w:firstLine="567" w:firstLineChars="0"/>
    </w:pPr>
    <w:rPr>
      <w:rFonts w:cs="Times New Roman"/>
      <w:color w:val="000080"/>
      <w:kern w:val="0"/>
      <w:sz w:val="28"/>
      <w:szCs w:val="20"/>
    </w:rPr>
  </w:style>
  <w:style w:type="paragraph" w:customStyle="1" w:styleId="703">
    <w:name w:val="样式 样式 样式 标题 2节标题 1.11.1标题2b2Seh2l22nd levelTitre22Header 2二...2 ..."/>
    <w:basedOn w:val="624"/>
    <w:uiPriority w:val="0"/>
    <w:pPr>
      <w:adjustRightInd w:val="0"/>
      <w:snapToGrid w:val="0"/>
      <w:spacing w:beforeLines="0"/>
    </w:pPr>
    <w:rPr>
      <w:rFonts w:ascii="宋体" w:hAnsi="宋体" w:eastAsia="宋体"/>
      <w:b/>
      <w:bCs/>
      <w:sz w:val="28"/>
      <w:szCs w:val="28"/>
    </w:rPr>
  </w:style>
  <w:style w:type="paragraph" w:customStyle="1" w:styleId="704">
    <w:name w:val="样式 样式 样式 标题 2节标题 1.11.1标题2b2Seh2l22nd levelTitre22Header 2二...2 ...1"/>
    <w:basedOn w:val="700"/>
    <w:uiPriority w:val="0"/>
    <w:pPr>
      <w:adjustRightInd w:val="0"/>
      <w:snapToGrid w:val="0"/>
      <w:spacing w:beforeLines="0"/>
    </w:pPr>
    <w:rPr>
      <w:rFonts w:ascii="宋体" w:hAnsi="宋体" w:eastAsia="宋体"/>
      <w:b/>
      <w:sz w:val="28"/>
      <w:szCs w:val="28"/>
    </w:rPr>
  </w:style>
  <w:style w:type="paragraph" w:customStyle="1" w:styleId="705">
    <w:name w:val="样式 样式 样式 标题 2节标题 1.11.1标题2b2Seh2l22nd levelTitre22Header 2二...2 ...4"/>
    <w:basedOn w:val="660"/>
    <w:qFormat/>
    <w:uiPriority w:val="0"/>
    <w:pPr>
      <w:adjustRightInd w:val="0"/>
      <w:snapToGrid w:val="0"/>
      <w:spacing w:beforeLines="100"/>
    </w:pPr>
    <w:rPr>
      <w:rFonts w:ascii="宋体" w:hAnsi="宋体" w:eastAsia="宋体"/>
      <w:b/>
      <w:sz w:val="28"/>
      <w:szCs w:val="28"/>
    </w:rPr>
  </w:style>
  <w:style w:type="paragraph" w:customStyle="1" w:styleId="706">
    <w:name w:val="样式 样式 样式 标题 2节标题 1.11.1标题2b2Seh2l22nd levelTitre22Header 2二...2 ...5"/>
    <w:basedOn w:val="654"/>
    <w:uiPriority w:val="0"/>
    <w:pPr>
      <w:adjustRightInd w:val="0"/>
      <w:snapToGrid w:val="0"/>
      <w:spacing w:beforeLines="0"/>
    </w:pPr>
    <w:rPr>
      <w:rFonts w:ascii="宋体" w:hAnsi="宋体" w:eastAsia="宋体"/>
      <w:b/>
      <w:color w:val="auto"/>
      <w:sz w:val="28"/>
      <w:szCs w:val="28"/>
    </w:rPr>
  </w:style>
  <w:style w:type="paragraph" w:customStyle="1" w:styleId="707">
    <w:name w:val="样式 样式 样式 标题 2节标题 1.11.1标题2b2Seh2l22nd levelTitre22Header 2二...2 ...6"/>
    <w:basedOn w:val="694"/>
    <w:uiPriority w:val="0"/>
    <w:pPr>
      <w:adjustRightInd w:val="0"/>
      <w:snapToGrid w:val="0"/>
      <w:spacing w:beforeLines="0"/>
    </w:pPr>
    <w:rPr>
      <w:rFonts w:ascii="宋体" w:hAnsi="宋体" w:eastAsia="宋体"/>
      <w:b/>
      <w:sz w:val="28"/>
      <w:szCs w:val="28"/>
    </w:rPr>
  </w:style>
  <w:style w:type="paragraph" w:customStyle="1" w:styleId="708">
    <w:name w:val="CM7"/>
    <w:basedOn w:val="1"/>
    <w:next w:val="1"/>
    <w:uiPriority w:val="0"/>
    <w:pPr>
      <w:autoSpaceDE w:val="0"/>
      <w:autoSpaceDN w:val="0"/>
      <w:snapToGrid/>
      <w:spacing w:line="546" w:lineRule="atLeast"/>
      <w:ind w:firstLine="0" w:firstLineChars="0"/>
      <w:jc w:val="left"/>
    </w:pPr>
    <w:rPr>
      <w:rFonts w:ascii="宋体" w:hAnsi="Calibri" w:cs="Times New Roman"/>
      <w:kern w:val="0"/>
      <w:szCs w:val="24"/>
    </w:rPr>
  </w:style>
  <w:style w:type="paragraph" w:customStyle="1" w:styleId="709">
    <w:name w:val="样式 四号 (西文)粗体 居中"/>
    <w:basedOn w:val="1"/>
    <w:uiPriority w:val="0"/>
    <w:pPr>
      <w:adjustRightInd/>
      <w:snapToGrid/>
      <w:ind w:firstLine="0" w:firstLineChars="0"/>
      <w:jc w:val="center"/>
    </w:pPr>
    <w:rPr>
      <w:rFonts w:cs="Times New Roman"/>
      <w:b/>
      <w:sz w:val="28"/>
      <w:szCs w:val="28"/>
    </w:rPr>
  </w:style>
  <w:style w:type="paragraph" w:customStyle="1" w:styleId="710">
    <w:name w:val="样式 四号 首行缩进:  2 字符1"/>
    <w:basedOn w:val="1"/>
    <w:uiPriority w:val="0"/>
    <w:pPr>
      <w:adjustRightInd/>
      <w:snapToGrid/>
      <w:ind w:firstLine="560"/>
    </w:pPr>
    <w:rPr>
      <w:rFonts w:cs="Times New Roman"/>
      <w:kern w:val="0"/>
      <w:sz w:val="28"/>
      <w:szCs w:val="28"/>
    </w:rPr>
  </w:style>
  <w:style w:type="paragraph" w:customStyle="1" w:styleId="711">
    <w:name w:val="正文（正式）"/>
    <w:basedOn w:val="1"/>
    <w:uiPriority w:val="0"/>
    <w:pPr>
      <w:widowControl/>
      <w:adjustRightInd/>
      <w:snapToGrid/>
      <w:spacing w:after="160" w:line="240" w:lineRule="exact"/>
      <w:ind w:firstLine="0" w:firstLineChars="0"/>
      <w:jc w:val="left"/>
    </w:pPr>
    <w:rPr>
      <w:rFonts w:cs="Times New Roman"/>
      <w:sz w:val="21"/>
      <w:szCs w:val="24"/>
    </w:rPr>
  </w:style>
  <w:style w:type="paragraph" w:customStyle="1" w:styleId="712">
    <w:name w:val="封面"/>
    <w:basedOn w:val="1"/>
    <w:next w:val="1"/>
    <w:uiPriority w:val="0"/>
    <w:pPr>
      <w:adjustRightInd/>
      <w:snapToGrid/>
      <w:spacing w:line="240" w:lineRule="auto"/>
      <w:ind w:firstLine="0" w:firstLineChars="0"/>
      <w:jc w:val="center"/>
    </w:pPr>
    <w:rPr>
      <w:rFonts w:eastAsia="楷体_GB2312" w:cs="Times New Roman"/>
      <w:sz w:val="48"/>
      <w:szCs w:val="48"/>
    </w:rPr>
  </w:style>
  <w:style w:type="paragraph" w:customStyle="1" w:styleId="713">
    <w:name w:val="表格5"/>
    <w:next w:val="1"/>
    <w:uiPriority w:val="0"/>
    <w:pPr>
      <w:spacing w:line="360" w:lineRule="exact"/>
      <w:jc w:val="center"/>
    </w:pPr>
    <w:rPr>
      <w:rFonts w:ascii="Times New Roman" w:hAnsi="Times New Roman" w:eastAsia="宋体" w:cs="Times New Roman"/>
      <w:kern w:val="2"/>
      <w:sz w:val="21"/>
      <w:lang w:val="en-US" w:eastAsia="zh-CN" w:bidi="ar-SA"/>
    </w:rPr>
  </w:style>
  <w:style w:type="paragraph" w:customStyle="1" w:styleId="714">
    <w:name w:val="样式 样式 四号 段后: 5 磅 行距: 1.5 倍行距 首行缩进:  2 字符 + 首行缩进:  2 字符"/>
    <w:basedOn w:val="1"/>
    <w:uiPriority w:val="0"/>
    <w:pPr>
      <w:topLinePunct/>
      <w:adjustRightInd/>
      <w:snapToGrid/>
    </w:pPr>
    <w:rPr>
      <w:sz w:val="28"/>
      <w:szCs w:val="20"/>
    </w:rPr>
  </w:style>
  <w:style w:type="paragraph" w:customStyle="1" w:styleId="715">
    <w:name w:val="样式 节2-wd + 黑色 行距: 单倍行距"/>
    <w:basedOn w:val="1"/>
    <w:uiPriority w:val="0"/>
    <w:pPr>
      <w:keepNext/>
      <w:keepLines/>
      <w:adjustRightInd/>
      <w:snapToGrid/>
      <w:ind w:firstLine="0" w:firstLineChars="0"/>
      <w:outlineLvl w:val="2"/>
    </w:pPr>
    <w:rPr>
      <w:rFonts w:ascii="宋体" w:hAnsi="Arial"/>
      <w:b/>
      <w:bCs/>
      <w:kern w:val="0"/>
      <w:sz w:val="28"/>
      <w:szCs w:val="28"/>
    </w:rPr>
  </w:style>
  <w:style w:type="paragraph" w:customStyle="1" w:styleId="716">
    <w:name w:val="正文LA"/>
    <w:uiPriority w:val="0"/>
    <w:pPr>
      <w:tabs>
        <w:tab w:val="left" w:pos="0"/>
      </w:tabs>
      <w:adjustRightInd w:val="0"/>
      <w:spacing w:beforeLines="50" w:line="360" w:lineRule="auto"/>
      <w:ind w:firstLine="225" w:firstLineChars="225"/>
      <w:jc w:val="both"/>
    </w:pPr>
    <w:rPr>
      <w:rFonts w:ascii="宋体" w:hAnsi="宋体" w:eastAsia="宋体" w:cs="Times New Roman"/>
      <w:snapToGrid w:val="0"/>
      <w:sz w:val="24"/>
      <w:lang w:val="en-US" w:eastAsia="zh-CN" w:bidi="ar-SA"/>
    </w:rPr>
  </w:style>
  <w:style w:type="paragraph" w:customStyle="1" w:styleId="717">
    <w:name w:val="表格表题"/>
    <w:basedOn w:val="1"/>
    <w:next w:val="1"/>
    <w:uiPriority w:val="0"/>
    <w:pPr>
      <w:tabs>
        <w:tab w:val="left" w:pos="525"/>
      </w:tabs>
      <w:adjustRightInd/>
      <w:snapToGrid/>
      <w:ind w:firstLine="0" w:firstLineChars="0"/>
      <w:jc w:val="center"/>
    </w:pPr>
    <w:rPr>
      <w:rFonts w:cs="Times New Roman"/>
      <w:b/>
      <w:kern w:val="28"/>
      <w:sz w:val="28"/>
      <w:szCs w:val="20"/>
    </w:rPr>
  </w:style>
  <w:style w:type="paragraph" w:customStyle="1" w:styleId="718">
    <w:name w:val="Char41"/>
    <w:basedOn w:val="1"/>
    <w:uiPriority w:val="0"/>
    <w:pPr>
      <w:adjustRightInd/>
      <w:snapToGrid/>
    </w:pPr>
    <w:rPr>
      <w:rFonts w:ascii="宋体" w:hAnsi="宋体"/>
      <w:szCs w:val="24"/>
    </w:rPr>
  </w:style>
  <w:style w:type="character" w:customStyle="1" w:styleId="719">
    <w:name w:val="5文章(治) Char1"/>
    <w:link w:val="720"/>
    <w:locked/>
    <w:uiPriority w:val="0"/>
    <w:rPr>
      <w:sz w:val="24"/>
    </w:rPr>
  </w:style>
  <w:style w:type="paragraph" w:customStyle="1" w:styleId="720">
    <w:name w:val="5文章(治)"/>
    <w:basedOn w:val="1"/>
    <w:link w:val="719"/>
    <w:uiPriority w:val="0"/>
    <w:pPr>
      <w:adjustRightInd/>
      <w:snapToGrid/>
      <w:ind w:firstLine="560"/>
    </w:pPr>
    <w:rPr>
      <w:rFonts w:ascii="Calibri" w:hAnsi="Calibri" w:cs="Times New Roman"/>
      <w:kern w:val="0"/>
      <w:szCs w:val="20"/>
    </w:rPr>
  </w:style>
  <w:style w:type="paragraph" w:customStyle="1" w:styleId="721">
    <w:name w:val="表内容"/>
    <w:basedOn w:val="1"/>
    <w:uiPriority w:val="0"/>
    <w:pPr>
      <w:adjustRightInd/>
      <w:snapToGrid/>
      <w:spacing w:line="240" w:lineRule="auto"/>
      <w:ind w:firstLine="0" w:firstLineChars="0"/>
      <w:jc w:val="center"/>
    </w:pPr>
    <w:rPr>
      <w:rFonts w:cs="Times New Roman"/>
      <w:sz w:val="21"/>
      <w:szCs w:val="24"/>
    </w:rPr>
  </w:style>
  <w:style w:type="character" w:customStyle="1" w:styleId="722">
    <w:name w:val="show-img-bd"/>
    <w:uiPriority w:val="0"/>
  </w:style>
  <w:style w:type="character" w:customStyle="1" w:styleId="723">
    <w:name w:val="报告正文 Char Char"/>
    <w:link w:val="188"/>
    <w:uiPriority w:val="0"/>
    <w:rPr>
      <w:rFonts w:ascii="Times New Roman" w:hAnsi="Times New Roman"/>
      <w:kern w:val="2"/>
      <w:sz w:val="24"/>
    </w:rPr>
  </w:style>
  <w:style w:type="character" w:customStyle="1" w:styleId="724">
    <w:name w:val="王勇 Char Char"/>
    <w:link w:val="725"/>
    <w:uiPriority w:val="0"/>
    <w:rPr>
      <w:sz w:val="24"/>
      <w:szCs w:val="24"/>
    </w:rPr>
  </w:style>
  <w:style w:type="paragraph" w:customStyle="1" w:styleId="725">
    <w:name w:val="王勇"/>
    <w:basedOn w:val="1"/>
    <w:link w:val="724"/>
    <w:uiPriority w:val="0"/>
    <w:pPr>
      <w:adjustRightInd/>
      <w:snapToGrid/>
    </w:pPr>
    <w:rPr>
      <w:rFonts w:ascii="Calibri" w:hAnsi="Calibri" w:cs="Times New Roman"/>
      <w:kern w:val="0"/>
      <w:szCs w:val="24"/>
    </w:rPr>
  </w:style>
  <w:style w:type="paragraph" w:customStyle="1" w:styleId="726">
    <w:name w:val="reader-word-layer"/>
    <w:basedOn w:val="1"/>
    <w:uiPriority w:val="0"/>
    <w:pPr>
      <w:widowControl/>
      <w:adjustRightInd/>
      <w:snapToGrid/>
      <w:spacing w:before="100" w:beforeAutospacing="1" w:after="100" w:afterAutospacing="1" w:line="240" w:lineRule="auto"/>
      <w:ind w:firstLine="0" w:firstLineChars="0"/>
      <w:jc w:val="left"/>
    </w:pPr>
    <w:rPr>
      <w:rFonts w:ascii="宋体" w:hAnsi="宋体"/>
      <w:kern w:val="0"/>
      <w:szCs w:val="24"/>
    </w:rPr>
  </w:style>
  <w:style w:type="paragraph" w:customStyle="1" w:styleId="727">
    <w:name w:val="表格后段落"/>
    <w:basedOn w:val="130"/>
    <w:link w:val="728"/>
    <w:uiPriority w:val="0"/>
    <w:pPr>
      <w:spacing w:beforeLines="100"/>
      <w:ind w:firstLine="200"/>
    </w:pPr>
  </w:style>
  <w:style w:type="character" w:customStyle="1" w:styleId="728">
    <w:name w:val="表格后段落 Char"/>
    <w:link w:val="727"/>
    <w:uiPriority w:val="0"/>
    <w:rPr>
      <w:rFonts w:ascii="Times New Roman" w:hAnsi="Times New Roman"/>
      <w:color w:val="000000"/>
      <w:kern w:val="2"/>
      <w:sz w:val="24"/>
      <w:szCs w:val="24"/>
    </w:rPr>
  </w:style>
  <w:style w:type="character" w:customStyle="1" w:styleId="729">
    <w:name w:val="图文 Char"/>
    <w:uiPriority w:val="0"/>
    <w:rPr>
      <w:color w:val="000000"/>
      <w:kern w:val="2"/>
      <w:sz w:val="24"/>
      <w:szCs w:val="24"/>
      <w:lang w:val="en-US" w:eastAsia="zh-CN" w:bidi="ar-SA"/>
    </w:rPr>
  </w:style>
  <w:style w:type="paragraph" w:customStyle="1" w:styleId="730">
    <w:name w:val="font1"/>
    <w:basedOn w:val="1"/>
    <w:uiPriority w:val="0"/>
    <w:pPr>
      <w:widowControl/>
      <w:adjustRightInd/>
      <w:snapToGrid/>
      <w:spacing w:before="100" w:beforeAutospacing="1" w:after="100" w:afterAutospacing="1" w:line="240" w:lineRule="auto"/>
      <w:ind w:firstLine="0" w:firstLineChars="0"/>
      <w:jc w:val="left"/>
    </w:pPr>
    <w:rPr>
      <w:rFonts w:ascii="宋体" w:hAnsi="宋体"/>
      <w:color w:val="000000"/>
      <w:kern w:val="0"/>
      <w:sz w:val="22"/>
    </w:rPr>
  </w:style>
  <w:style w:type="paragraph" w:customStyle="1" w:styleId="731">
    <w:name w:val="font17"/>
    <w:basedOn w:val="1"/>
    <w:uiPriority w:val="0"/>
    <w:pPr>
      <w:widowControl/>
      <w:adjustRightInd/>
      <w:snapToGrid/>
      <w:spacing w:before="100" w:beforeAutospacing="1" w:after="100" w:afterAutospacing="1" w:line="240" w:lineRule="auto"/>
      <w:ind w:firstLine="0" w:firstLineChars="0"/>
      <w:jc w:val="left"/>
    </w:pPr>
    <w:rPr>
      <w:rFonts w:ascii="仿宋" w:hAnsi="仿宋" w:eastAsia="仿宋"/>
      <w:color w:val="C00000"/>
      <w:kern w:val="0"/>
      <w:sz w:val="18"/>
      <w:szCs w:val="18"/>
    </w:rPr>
  </w:style>
  <w:style w:type="paragraph" w:customStyle="1" w:styleId="732">
    <w:name w:val="font18"/>
    <w:basedOn w:val="1"/>
    <w:uiPriority w:val="0"/>
    <w:pPr>
      <w:widowControl/>
      <w:adjustRightInd/>
      <w:snapToGrid/>
      <w:spacing w:before="100" w:beforeAutospacing="1" w:after="100" w:afterAutospacing="1" w:line="240" w:lineRule="auto"/>
      <w:ind w:firstLine="0" w:firstLineChars="0"/>
      <w:jc w:val="left"/>
    </w:pPr>
    <w:rPr>
      <w:rFonts w:ascii="仿宋" w:hAnsi="仿宋" w:eastAsia="仿宋"/>
      <w:b/>
      <w:bCs/>
      <w:color w:val="C00000"/>
      <w:kern w:val="0"/>
      <w:sz w:val="18"/>
      <w:szCs w:val="18"/>
    </w:rPr>
  </w:style>
  <w:style w:type="paragraph" w:customStyle="1" w:styleId="733">
    <w:name w:val="样式 标题 2 + 宋体 小三 段前: 0 磅 段后: 0 磅 行距: 1.5 倍行距"/>
    <w:basedOn w:val="3"/>
    <w:uiPriority w:val="0"/>
    <w:pPr>
      <w:keepNext/>
      <w:keepLines/>
      <w:numPr>
        <w:ilvl w:val="0"/>
        <w:numId w:val="0"/>
      </w:numPr>
      <w:tabs>
        <w:tab w:val="clear" w:pos="420"/>
      </w:tabs>
      <w:adjustRightInd/>
      <w:snapToGrid/>
      <w:spacing w:before="0" w:beforeLines="0"/>
    </w:pPr>
    <w:rPr>
      <w:rFonts w:ascii="宋体" w:hAnsi="宋体" w:eastAsia="宋体" w:cs="宋体"/>
      <w:b/>
      <w:bCs/>
      <w:sz w:val="30"/>
      <w:szCs w:val="20"/>
    </w:rPr>
  </w:style>
  <w:style w:type="paragraph" w:customStyle="1" w:styleId="734">
    <w:name w:val="Char Char Char Char1"/>
    <w:basedOn w:val="1"/>
    <w:uiPriority w:val="0"/>
    <w:pPr>
      <w:adjustRightInd/>
      <w:snapToGrid/>
    </w:pPr>
    <w:rPr>
      <w:rFonts w:ascii="宋体" w:hAnsi="宋体"/>
      <w:szCs w:val="24"/>
    </w:rPr>
  </w:style>
  <w:style w:type="character" w:customStyle="1" w:styleId="735">
    <w:name w:val="正文缩进 Char1"/>
    <w:uiPriority w:val="0"/>
    <w:rPr>
      <w:rFonts w:eastAsia="宋体"/>
      <w:kern w:val="2"/>
      <w:sz w:val="21"/>
      <w:szCs w:val="24"/>
      <w:lang w:val="en-US" w:eastAsia="zh-CN" w:bidi="ar-SA"/>
    </w:rPr>
  </w:style>
  <w:style w:type="paragraph" w:customStyle="1" w:styleId="736">
    <w:name w:val="样式 正文缩进"/>
    <w:basedOn w:val="13"/>
    <w:uiPriority w:val="0"/>
    <w:pPr>
      <w:adjustRightInd/>
      <w:snapToGrid/>
      <w:ind w:firstLine="480"/>
      <w:jc w:val="left"/>
    </w:pPr>
    <w:rPr>
      <w:rFonts w:cs="宋体"/>
      <w:szCs w:val="20"/>
    </w:rPr>
  </w:style>
  <w:style w:type="paragraph" w:customStyle="1" w:styleId="737">
    <w:name w:val="xl188"/>
    <w:basedOn w:val="1"/>
    <w:uiPriority w:val="0"/>
    <w:pPr>
      <w:widowControl/>
      <w:pBdr>
        <w:top w:val="single" w:color="auto" w:sz="4" w:space="0"/>
        <w:left w:val="single" w:color="auto" w:sz="4" w:space="0"/>
        <w:bottom w:val="single" w:color="auto" w:sz="4" w:space="0"/>
        <w:right w:val="single" w:color="auto" w:sz="4" w:space="0"/>
      </w:pBdr>
      <w:shd w:val="clear" w:color="000000" w:fill="92D050"/>
      <w:adjustRightInd/>
      <w:snapToGrid/>
      <w:spacing w:before="100" w:beforeAutospacing="1" w:after="100" w:afterAutospacing="1" w:line="240" w:lineRule="auto"/>
      <w:ind w:firstLine="0" w:firstLineChars="0"/>
      <w:jc w:val="center"/>
    </w:pPr>
    <w:rPr>
      <w:rFonts w:cs="Times New Roman"/>
      <w:b/>
      <w:bCs/>
      <w:kern w:val="0"/>
      <w:sz w:val="18"/>
      <w:szCs w:val="18"/>
    </w:rPr>
  </w:style>
  <w:style w:type="paragraph" w:customStyle="1" w:styleId="738">
    <w:name w:val="xl189"/>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39">
    <w:name w:val="xl190"/>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40">
    <w:name w:val="xl191"/>
    <w:basedOn w:val="1"/>
    <w:uiPriority w:val="0"/>
    <w:pPr>
      <w:widowControl/>
      <w:adjustRightInd/>
      <w:snapToGrid/>
      <w:spacing w:before="100" w:beforeAutospacing="1" w:after="100" w:afterAutospacing="1" w:line="240" w:lineRule="auto"/>
      <w:ind w:firstLine="0" w:firstLineChars="0"/>
      <w:jc w:val="left"/>
    </w:pPr>
    <w:rPr>
      <w:rFonts w:cs="Times New Roman"/>
      <w:color w:val="000000"/>
      <w:kern w:val="0"/>
      <w:szCs w:val="24"/>
    </w:rPr>
  </w:style>
  <w:style w:type="paragraph" w:customStyle="1" w:styleId="741">
    <w:name w:val="xl192"/>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42">
    <w:name w:val="xl193"/>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43">
    <w:name w:val="xl194"/>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44">
    <w:name w:val="xl195"/>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45">
    <w:name w:val="xl196"/>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46">
    <w:name w:val="xl197"/>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47">
    <w:name w:val="xl198"/>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48">
    <w:name w:val="xl199"/>
    <w:basedOn w:val="1"/>
    <w:uiPriority w:val="0"/>
    <w:pPr>
      <w:widowControl/>
      <w:pBdr>
        <w:top w:val="single" w:color="auto" w:sz="4" w:space="0"/>
        <w:left w:val="single" w:color="auto" w:sz="4" w:space="0"/>
        <w:bottom w:val="single" w:color="auto" w:sz="4" w:space="0"/>
        <w:right w:val="single" w:color="auto" w:sz="4" w:space="0"/>
      </w:pBdr>
      <w:shd w:val="clear" w:color="000000" w:fill="76933C"/>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49">
    <w:name w:val="xl200"/>
    <w:basedOn w:val="1"/>
    <w:uiPriority w:val="0"/>
    <w:pPr>
      <w:widowControl/>
      <w:pBdr>
        <w:top w:val="single" w:color="auto" w:sz="4" w:space="0"/>
        <w:left w:val="single" w:color="auto" w:sz="4" w:space="0"/>
        <w:bottom w:val="single" w:color="auto" w:sz="4" w:space="0"/>
        <w:right w:val="single" w:color="auto" w:sz="4" w:space="0"/>
      </w:pBdr>
      <w:shd w:val="clear" w:color="000000" w:fill="8DB4E2"/>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50">
    <w:name w:val="xl201"/>
    <w:basedOn w:val="1"/>
    <w:uiPriority w:val="0"/>
    <w:pPr>
      <w:widowControl/>
      <w:pBdr>
        <w:top w:val="single" w:color="auto" w:sz="4" w:space="0"/>
        <w:left w:val="single" w:color="auto" w:sz="4" w:space="0"/>
        <w:bottom w:val="single" w:color="auto" w:sz="4" w:space="0"/>
        <w:right w:val="single" w:color="auto" w:sz="4" w:space="0"/>
      </w:pBdr>
      <w:shd w:val="clear" w:color="000000" w:fill="8DB4E2"/>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51">
    <w:name w:val="xl202"/>
    <w:basedOn w:val="1"/>
    <w:uiPriority w:val="0"/>
    <w:pPr>
      <w:widowControl/>
      <w:pBdr>
        <w:top w:val="single" w:color="auto" w:sz="4" w:space="0"/>
        <w:left w:val="single" w:color="auto" w:sz="4" w:space="0"/>
        <w:bottom w:val="single" w:color="auto" w:sz="4" w:space="0"/>
        <w:right w:val="single" w:color="auto" w:sz="4" w:space="0"/>
      </w:pBdr>
      <w:shd w:val="clear" w:color="000000" w:fill="FFFF00"/>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52">
    <w:name w:val="xl203"/>
    <w:basedOn w:val="1"/>
    <w:uiPriority w:val="0"/>
    <w:pPr>
      <w:widowControl/>
      <w:pBdr>
        <w:top w:val="single" w:color="auto" w:sz="4" w:space="0"/>
        <w:left w:val="single" w:color="auto" w:sz="4" w:space="0"/>
        <w:bottom w:val="single" w:color="auto" w:sz="4" w:space="0"/>
        <w:right w:val="single" w:color="auto" w:sz="4" w:space="0"/>
      </w:pBdr>
      <w:shd w:val="clear" w:color="000000" w:fill="FFC000"/>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53">
    <w:name w:val="xl204"/>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54">
    <w:name w:val="xl205"/>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55">
    <w:name w:val="xl206"/>
    <w:basedOn w:val="1"/>
    <w:qFormat/>
    <w:uiPriority w:val="0"/>
    <w:pPr>
      <w:widowControl/>
      <w:adjustRightInd/>
      <w:snapToGrid/>
      <w:spacing w:before="100" w:beforeAutospacing="1" w:after="100" w:afterAutospacing="1" w:line="240" w:lineRule="auto"/>
      <w:ind w:firstLine="0" w:firstLineChars="0"/>
      <w:jc w:val="left"/>
    </w:pPr>
    <w:rPr>
      <w:rFonts w:cs="Times New Roman"/>
      <w:b/>
      <w:bCs/>
      <w:color w:val="000000"/>
      <w:kern w:val="0"/>
      <w:szCs w:val="24"/>
    </w:rPr>
  </w:style>
  <w:style w:type="paragraph" w:customStyle="1" w:styleId="756">
    <w:name w:val="xl207"/>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57">
    <w:name w:val="xl208"/>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58">
    <w:name w:val="xl209"/>
    <w:basedOn w:val="1"/>
    <w:uiPriority w:val="0"/>
    <w:pPr>
      <w:widowControl/>
      <w:pBdr>
        <w:top w:val="single" w:color="auto" w:sz="4" w:space="0"/>
        <w:left w:val="single" w:color="auto" w:sz="4" w:space="0"/>
        <w:bottom w:val="single" w:color="auto" w:sz="4" w:space="0"/>
        <w:right w:val="single" w:color="auto" w:sz="4" w:space="0"/>
      </w:pBdr>
      <w:shd w:val="clear" w:color="000000" w:fill="C00000"/>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59">
    <w:name w:val="xl210"/>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0">
    <w:name w:val="xl211"/>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61">
    <w:name w:val="xl212"/>
    <w:basedOn w:val="1"/>
    <w:uiPriority w:val="0"/>
    <w:pPr>
      <w:widowControl/>
      <w:pBdr>
        <w:top w:val="single" w:color="auto" w:sz="4" w:space="0"/>
        <w:left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2">
    <w:name w:val="xl213"/>
    <w:basedOn w:val="1"/>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3">
    <w:name w:val="xl214"/>
    <w:basedOn w:val="1"/>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4">
    <w:name w:val="xl215"/>
    <w:basedOn w:val="1"/>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5">
    <w:name w:val="xl216"/>
    <w:basedOn w:val="1"/>
    <w:uiPriority w:val="0"/>
    <w:pPr>
      <w:widowControl/>
      <w:pBdr>
        <w:left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6">
    <w:name w:val="xl217"/>
    <w:basedOn w:val="1"/>
    <w:uiPriority w:val="0"/>
    <w:pPr>
      <w:widowControl/>
      <w:pBdr>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7">
    <w:name w:val="xl218"/>
    <w:basedOn w:val="1"/>
    <w:uiPriority w:val="0"/>
    <w:pPr>
      <w:widowControl/>
      <w:pBdr>
        <w:top w:val="single" w:color="auto" w:sz="4" w:space="0"/>
        <w:left w:val="single" w:color="auto" w:sz="4" w:space="0"/>
        <w:bottom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8">
    <w:name w:val="xl219"/>
    <w:basedOn w:val="1"/>
    <w:uiPriority w:val="0"/>
    <w:pPr>
      <w:widowControl/>
      <w:pBdr>
        <w:top w:val="single" w:color="auto" w:sz="4" w:space="0"/>
        <w:bottom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69">
    <w:name w:val="xl220"/>
    <w:basedOn w:val="1"/>
    <w:uiPriority w:val="0"/>
    <w:pPr>
      <w:widowControl/>
      <w:pBdr>
        <w:top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70">
    <w:name w:val="xl221"/>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71">
    <w:name w:val="xl222"/>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72">
    <w:name w:val="xl223"/>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73">
    <w:name w:val="xl224"/>
    <w:basedOn w:val="1"/>
    <w:uiPriority w:val="0"/>
    <w:pPr>
      <w:widowControl/>
      <w:pBdr>
        <w:top w:val="single" w:color="auto" w:sz="4" w:space="0"/>
        <w:left w:val="single" w:color="auto" w:sz="4" w:space="0"/>
        <w:bottom w:val="single" w:color="auto" w:sz="4" w:space="0"/>
      </w:pBdr>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74">
    <w:name w:val="xl225"/>
    <w:basedOn w:val="1"/>
    <w:uiPriority w:val="0"/>
    <w:pPr>
      <w:widowControl/>
      <w:pBdr>
        <w:top w:val="single" w:color="auto" w:sz="4" w:space="0"/>
        <w:bottom w:val="single" w:color="auto" w:sz="4" w:space="0"/>
      </w:pBdr>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75">
    <w:name w:val="xl226"/>
    <w:basedOn w:val="1"/>
    <w:uiPriority w:val="0"/>
    <w:pPr>
      <w:widowControl/>
      <w:pBdr>
        <w:top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76">
    <w:name w:val="xl227"/>
    <w:basedOn w:val="1"/>
    <w:uiPriority w:val="0"/>
    <w:pPr>
      <w:widowControl/>
      <w:pBdr>
        <w:top w:val="single" w:color="auto" w:sz="4" w:space="0"/>
        <w:left w:val="single" w:color="auto" w:sz="4" w:space="0"/>
        <w:bottom w:val="single" w:color="auto" w:sz="4" w:space="0"/>
        <w:right w:val="single" w:color="auto" w:sz="4" w:space="0"/>
      </w:pBdr>
      <w:shd w:val="clear" w:color="000000" w:fill="92D050"/>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77">
    <w:name w:val="xl228"/>
    <w:basedOn w:val="1"/>
    <w:uiPriority w:val="0"/>
    <w:pPr>
      <w:widowControl/>
      <w:pBdr>
        <w:top w:val="single" w:color="auto" w:sz="4" w:space="0"/>
        <w:left w:val="single" w:color="auto" w:sz="4" w:space="0"/>
        <w:bottom w:val="single" w:color="auto" w:sz="4" w:space="0"/>
        <w:right w:val="single" w:color="auto" w:sz="4" w:space="0"/>
      </w:pBdr>
      <w:shd w:val="clear" w:color="000000" w:fill="92D050"/>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778">
    <w:name w:val="xl229"/>
    <w:basedOn w:val="1"/>
    <w:uiPriority w:val="0"/>
    <w:pPr>
      <w:widowControl/>
      <w:shd w:val="clear" w:color="000000" w:fill="EBF1DE"/>
      <w:adjustRightInd/>
      <w:snapToGrid/>
      <w:spacing w:before="100" w:beforeAutospacing="1" w:after="100" w:afterAutospacing="1" w:line="240" w:lineRule="auto"/>
      <w:ind w:firstLine="0" w:firstLineChars="0"/>
      <w:jc w:val="left"/>
    </w:pPr>
    <w:rPr>
      <w:rFonts w:cs="Times New Roman"/>
      <w:b/>
      <w:bCs/>
      <w:color w:val="000000"/>
      <w:kern w:val="0"/>
      <w:szCs w:val="24"/>
    </w:rPr>
  </w:style>
  <w:style w:type="paragraph" w:customStyle="1" w:styleId="779">
    <w:name w:val="xl230"/>
    <w:basedOn w:val="1"/>
    <w:uiPriority w:val="0"/>
    <w:pPr>
      <w:widowControl/>
      <w:pBdr>
        <w:top w:val="single" w:color="auto" w:sz="4" w:space="0"/>
        <w:left w:val="single" w:color="auto" w:sz="4" w:space="0"/>
        <w:bottom w:val="single" w:color="auto" w:sz="4" w:space="0"/>
        <w:right w:val="single" w:color="auto" w:sz="4" w:space="0"/>
      </w:pBdr>
      <w:shd w:val="clear" w:color="000000" w:fill="C4BD97"/>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780">
    <w:name w:val="xl231"/>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7030A0"/>
      <w:kern w:val="0"/>
      <w:sz w:val="18"/>
      <w:szCs w:val="18"/>
    </w:rPr>
  </w:style>
  <w:style w:type="paragraph" w:customStyle="1" w:styleId="781">
    <w:name w:val="xl232"/>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7030A0"/>
      <w:kern w:val="0"/>
      <w:sz w:val="18"/>
      <w:szCs w:val="18"/>
    </w:rPr>
  </w:style>
  <w:style w:type="paragraph" w:customStyle="1" w:styleId="782">
    <w:name w:val="xl233"/>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7030A0"/>
      <w:kern w:val="0"/>
      <w:sz w:val="18"/>
      <w:szCs w:val="18"/>
    </w:rPr>
  </w:style>
  <w:style w:type="paragraph" w:customStyle="1" w:styleId="783">
    <w:name w:val="xl234"/>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7030A0"/>
      <w:kern w:val="0"/>
      <w:sz w:val="18"/>
      <w:szCs w:val="18"/>
    </w:rPr>
  </w:style>
  <w:style w:type="paragraph" w:customStyle="1" w:styleId="784">
    <w:name w:val="xl235"/>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7030A0"/>
      <w:kern w:val="0"/>
      <w:sz w:val="18"/>
      <w:szCs w:val="18"/>
    </w:rPr>
  </w:style>
  <w:style w:type="paragraph" w:customStyle="1" w:styleId="785">
    <w:name w:val="xl236"/>
    <w:basedOn w:val="1"/>
    <w:uiPriority w:val="0"/>
    <w:pPr>
      <w:widowControl/>
      <w:adjustRightInd/>
      <w:snapToGrid/>
      <w:spacing w:before="100" w:beforeAutospacing="1" w:after="100" w:afterAutospacing="1" w:line="240" w:lineRule="auto"/>
      <w:ind w:firstLine="0" w:firstLineChars="0"/>
      <w:jc w:val="left"/>
    </w:pPr>
    <w:rPr>
      <w:rFonts w:cs="Times New Roman"/>
      <w:b/>
      <w:bCs/>
      <w:color w:val="7030A0"/>
      <w:kern w:val="0"/>
      <w:szCs w:val="24"/>
    </w:rPr>
  </w:style>
  <w:style w:type="paragraph" w:customStyle="1" w:styleId="786">
    <w:name w:val="xl237"/>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787">
    <w:name w:val="xl238"/>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788">
    <w:name w:val="xl239"/>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789">
    <w:name w:val="xl240"/>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790">
    <w:name w:val="xl241"/>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791">
    <w:name w:val="xl242"/>
    <w:basedOn w:val="1"/>
    <w:uiPriority w:val="0"/>
    <w:pPr>
      <w:widowControl/>
      <w:adjustRightInd/>
      <w:snapToGrid/>
      <w:spacing w:before="100" w:beforeAutospacing="1" w:after="100" w:afterAutospacing="1" w:line="240" w:lineRule="auto"/>
      <w:ind w:firstLine="0" w:firstLineChars="0"/>
      <w:jc w:val="left"/>
    </w:pPr>
    <w:rPr>
      <w:rFonts w:cs="Times New Roman"/>
      <w:b/>
      <w:bCs/>
      <w:color w:val="FF0000"/>
      <w:kern w:val="0"/>
      <w:szCs w:val="24"/>
    </w:rPr>
  </w:style>
  <w:style w:type="paragraph" w:customStyle="1" w:styleId="792">
    <w:name w:val="xl243"/>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FF0000"/>
      <w:kern w:val="0"/>
      <w:sz w:val="18"/>
      <w:szCs w:val="18"/>
    </w:rPr>
  </w:style>
  <w:style w:type="paragraph" w:customStyle="1" w:styleId="793">
    <w:name w:val="xl244"/>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FF0000"/>
      <w:kern w:val="0"/>
      <w:sz w:val="18"/>
      <w:szCs w:val="18"/>
    </w:rPr>
  </w:style>
  <w:style w:type="paragraph" w:customStyle="1" w:styleId="794">
    <w:name w:val="xl245"/>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FF0000"/>
      <w:kern w:val="0"/>
      <w:sz w:val="18"/>
      <w:szCs w:val="18"/>
    </w:rPr>
  </w:style>
  <w:style w:type="paragraph" w:customStyle="1" w:styleId="795">
    <w:name w:val="xl246"/>
    <w:basedOn w:val="1"/>
    <w:uiPriority w:val="0"/>
    <w:pPr>
      <w:widowControl/>
      <w:pBdr>
        <w:top w:val="single" w:color="auto" w:sz="4" w:space="0"/>
        <w:left w:val="single" w:color="auto" w:sz="4" w:space="0"/>
        <w:bottom w:val="single" w:color="auto" w:sz="4" w:space="0"/>
        <w:right w:val="single" w:color="auto" w:sz="4" w:space="0"/>
      </w:pBdr>
      <w:shd w:val="clear" w:color="000000" w:fill="C4BD97"/>
      <w:adjustRightInd/>
      <w:snapToGrid/>
      <w:spacing w:before="100" w:beforeAutospacing="1" w:after="100" w:afterAutospacing="1" w:line="240" w:lineRule="auto"/>
      <w:ind w:firstLine="0" w:firstLineChars="0"/>
      <w:jc w:val="center"/>
    </w:pPr>
    <w:rPr>
      <w:rFonts w:cs="Times New Roman"/>
      <w:color w:val="FF0000"/>
      <w:kern w:val="0"/>
      <w:sz w:val="18"/>
      <w:szCs w:val="18"/>
    </w:rPr>
  </w:style>
  <w:style w:type="paragraph" w:customStyle="1" w:styleId="796">
    <w:name w:val="xl247"/>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797">
    <w:name w:val="xl248"/>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FF0000"/>
      <w:kern w:val="0"/>
      <w:sz w:val="18"/>
      <w:szCs w:val="18"/>
    </w:rPr>
  </w:style>
  <w:style w:type="paragraph" w:customStyle="1" w:styleId="798">
    <w:name w:val="xl249"/>
    <w:basedOn w:val="1"/>
    <w:uiPriority w:val="0"/>
    <w:pPr>
      <w:widowControl/>
      <w:adjustRightInd/>
      <w:snapToGrid/>
      <w:spacing w:before="100" w:beforeAutospacing="1" w:after="100" w:afterAutospacing="1" w:line="240" w:lineRule="auto"/>
      <w:ind w:firstLine="0" w:firstLineChars="0"/>
      <w:jc w:val="left"/>
    </w:pPr>
    <w:rPr>
      <w:rFonts w:cs="Times New Roman"/>
      <w:color w:val="FF0000"/>
      <w:kern w:val="0"/>
      <w:szCs w:val="24"/>
    </w:rPr>
  </w:style>
  <w:style w:type="paragraph" w:customStyle="1" w:styleId="799">
    <w:name w:val="xl250"/>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800">
    <w:name w:val="xl251"/>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801">
    <w:name w:val="xl252"/>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8"/>
      <w:szCs w:val="18"/>
    </w:rPr>
  </w:style>
  <w:style w:type="paragraph" w:customStyle="1" w:styleId="802">
    <w:name w:val="xl253"/>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方正仿宋_GB2312" w:hAnsi="宋体" w:eastAsia="方正仿宋_GB2312"/>
      <w:color w:val="FF0000"/>
      <w:kern w:val="0"/>
      <w:sz w:val="18"/>
      <w:szCs w:val="18"/>
    </w:rPr>
  </w:style>
  <w:style w:type="paragraph" w:customStyle="1" w:styleId="803">
    <w:name w:val="xl254"/>
    <w:basedOn w:val="1"/>
    <w:uiPriority w:val="0"/>
    <w:pPr>
      <w:widowControl/>
      <w:pBdr>
        <w:top w:val="single" w:color="auto" w:sz="4" w:space="0"/>
        <w:left w:val="single" w:color="auto" w:sz="4" w:space="0"/>
        <w:bottom w:val="single" w:color="auto" w:sz="4" w:space="0"/>
        <w:right w:val="single" w:color="auto" w:sz="4" w:space="0"/>
      </w:pBdr>
      <w:shd w:val="clear" w:color="000000" w:fill="FFC000"/>
      <w:adjustRightInd/>
      <w:snapToGrid/>
      <w:spacing w:before="100" w:beforeAutospacing="1" w:after="100" w:afterAutospacing="1" w:line="240" w:lineRule="auto"/>
      <w:ind w:firstLine="0" w:firstLineChars="0"/>
      <w:jc w:val="center"/>
    </w:pPr>
    <w:rPr>
      <w:rFonts w:cs="Times New Roman"/>
      <w:color w:val="FF0000"/>
      <w:kern w:val="0"/>
      <w:sz w:val="18"/>
      <w:szCs w:val="18"/>
    </w:rPr>
  </w:style>
  <w:style w:type="paragraph" w:customStyle="1" w:styleId="804">
    <w:name w:val="xl255"/>
    <w:basedOn w:val="1"/>
    <w:uiPriority w:val="0"/>
    <w:pPr>
      <w:widowControl/>
      <w:pBdr>
        <w:top w:val="single" w:color="auto" w:sz="4" w:space="0"/>
        <w:left w:val="single" w:color="auto" w:sz="4" w:space="0"/>
        <w:bottom w:val="single" w:color="auto" w:sz="4" w:space="0"/>
        <w:right w:val="single" w:color="auto" w:sz="4" w:space="0"/>
      </w:pBdr>
      <w:shd w:val="clear" w:color="000000" w:fill="EEECE1"/>
      <w:adjustRightInd/>
      <w:snapToGrid/>
      <w:spacing w:before="100" w:beforeAutospacing="1" w:after="100" w:afterAutospacing="1" w:line="240" w:lineRule="auto"/>
      <w:ind w:firstLine="0" w:firstLineChars="0"/>
      <w:jc w:val="center"/>
    </w:pPr>
    <w:rPr>
      <w:rFonts w:cs="Times New Roman"/>
      <w:color w:val="808080"/>
      <w:kern w:val="0"/>
      <w:sz w:val="18"/>
      <w:szCs w:val="18"/>
    </w:rPr>
  </w:style>
  <w:style w:type="paragraph" w:customStyle="1" w:styleId="805">
    <w:name w:val="xl256"/>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方正仿宋_GB2312" w:hAnsi="宋体" w:eastAsia="方正仿宋_GB2312"/>
      <w:color w:val="000000"/>
      <w:kern w:val="0"/>
      <w:sz w:val="18"/>
      <w:szCs w:val="18"/>
    </w:rPr>
  </w:style>
  <w:style w:type="paragraph" w:customStyle="1" w:styleId="806">
    <w:name w:val="xl257"/>
    <w:basedOn w:val="1"/>
    <w:uiPriority w:val="0"/>
    <w:pPr>
      <w:widowControl/>
      <w:pBdr>
        <w:top w:val="single" w:color="auto" w:sz="4" w:space="0"/>
        <w:left w:val="single" w:color="auto" w:sz="4" w:space="0"/>
        <w:bottom w:val="single" w:color="auto" w:sz="4" w:space="0"/>
        <w:right w:val="single" w:color="auto" w:sz="4" w:space="0"/>
      </w:pBdr>
      <w:shd w:val="clear" w:color="000000" w:fill="FFC000"/>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807">
    <w:name w:val="xl258"/>
    <w:basedOn w:val="1"/>
    <w:uiPriority w:val="0"/>
    <w:pPr>
      <w:widowControl/>
      <w:pBdr>
        <w:top w:val="single" w:color="auto" w:sz="4" w:space="0"/>
        <w:left w:val="single" w:color="auto" w:sz="4" w:space="0"/>
        <w:bottom w:val="single" w:color="auto" w:sz="4" w:space="0"/>
        <w:right w:val="single" w:color="auto" w:sz="4" w:space="0"/>
      </w:pBdr>
      <w:shd w:val="clear" w:color="000000" w:fill="FFFF00"/>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808">
    <w:name w:val="xl259"/>
    <w:basedOn w:val="1"/>
    <w:uiPriority w:val="0"/>
    <w:pPr>
      <w:widowControl/>
      <w:pBdr>
        <w:top w:val="single" w:color="auto" w:sz="4" w:space="0"/>
        <w:left w:val="single" w:color="auto" w:sz="4" w:space="0"/>
        <w:bottom w:val="single" w:color="auto" w:sz="4" w:space="0"/>
        <w:right w:val="single" w:color="auto" w:sz="4" w:space="0"/>
      </w:pBdr>
      <w:shd w:val="clear" w:color="000000" w:fill="76933C"/>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809">
    <w:name w:val="xl260"/>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808080"/>
      <w:kern w:val="0"/>
      <w:sz w:val="18"/>
      <w:szCs w:val="18"/>
    </w:rPr>
  </w:style>
  <w:style w:type="paragraph" w:customStyle="1" w:styleId="810">
    <w:name w:val="xl261"/>
    <w:basedOn w:val="1"/>
    <w:uiPriority w:val="0"/>
    <w:pPr>
      <w:widowControl/>
      <w:pBdr>
        <w:top w:val="single" w:color="auto" w:sz="4" w:space="0"/>
        <w:left w:val="single" w:color="auto" w:sz="4" w:space="0"/>
        <w:bottom w:val="single" w:color="auto" w:sz="4" w:space="0"/>
        <w:right w:val="single" w:color="auto" w:sz="4" w:space="0"/>
      </w:pBdr>
      <w:shd w:val="clear" w:color="000000" w:fill="EBF1DE"/>
      <w:adjustRightInd/>
      <w:snapToGrid/>
      <w:spacing w:before="100" w:beforeAutospacing="1" w:after="100" w:afterAutospacing="1" w:line="240" w:lineRule="auto"/>
      <w:ind w:firstLine="0" w:firstLineChars="0"/>
      <w:jc w:val="center"/>
    </w:pPr>
    <w:rPr>
      <w:rFonts w:cs="Times New Roman"/>
      <w:b/>
      <w:bCs/>
      <w:color w:val="808080"/>
      <w:kern w:val="0"/>
      <w:sz w:val="18"/>
      <w:szCs w:val="18"/>
    </w:rPr>
  </w:style>
  <w:style w:type="paragraph" w:customStyle="1" w:styleId="811">
    <w:name w:val="xl262"/>
    <w:basedOn w:val="1"/>
    <w:uiPriority w:val="0"/>
    <w:pPr>
      <w:widowControl/>
      <w:shd w:val="clear" w:color="000000" w:fill="EBF1DE"/>
      <w:adjustRightInd/>
      <w:snapToGrid/>
      <w:spacing w:before="100" w:beforeAutospacing="1" w:after="100" w:afterAutospacing="1" w:line="240" w:lineRule="auto"/>
      <w:ind w:firstLine="0" w:firstLineChars="0"/>
      <w:jc w:val="left"/>
    </w:pPr>
    <w:rPr>
      <w:rFonts w:cs="Times New Roman"/>
      <w:b/>
      <w:bCs/>
      <w:color w:val="808080"/>
      <w:kern w:val="0"/>
      <w:szCs w:val="24"/>
    </w:rPr>
  </w:style>
  <w:style w:type="paragraph" w:customStyle="1" w:styleId="812">
    <w:name w:val="xl263"/>
    <w:basedOn w:val="1"/>
    <w:uiPriority w:val="0"/>
    <w:pPr>
      <w:widowControl/>
      <w:pBdr>
        <w:top w:val="single" w:color="auto" w:sz="4" w:space="0"/>
        <w:left w:val="single" w:color="auto" w:sz="4" w:space="0"/>
        <w:bottom w:val="single" w:color="auto" w:sz="4" w:space="0"/>
        <w:right w:val="single" w:color="auto" w:sz="4" w:space="0"/>
      </w:pBdr>
      <w:shd w:val="clear" w:color="000000" w:fill="C4BD97"/>
      <w:adjustRightInd/>
      <w:snapToGrid/>
      <w:spacing w:before="100" w:beforeAutospacing="1" w:after="100" w:afterAutospacing="1" w:line="240" w:lineRule="auto"/>
      <w:ind w:firstLine="0" w:firstLineChars="0"/>
      <w:jc w:val="center"/>
    </w:pPr>
    <w:rPr>
      <w:rFonts w:cs="Times New Roman"/>
      <w:b/>
      <w:bCs/>
      <w:color w:val="000000"/>
      <w:kern w:val="0"/>
      <w:sz w:val="18"/>
      <w:szCs w:val="18"/>
    </w:rPr>
  </w:style>
  <w:style w:type="paragraph" w:customStyle="1" w:styleId="813">
    <w:name w:val="xl264"/>
    <w:basedOn w:val="1"/>
    <w:uiPriority w:val="0"/>
    <w:pPr>
      <w:widowControl/>
      <w:pBdr>
        <w:top w:val="single" w:color="auto" w:sz="4" w:space="0"/>
        <w:left w:val="single" w:color="auto" w:sz="4" w:space="0"/>
        <w:bottom w:val="single" w:color="auto" w:sz="4" w:space="0"/>
        <w:right w:val="single" w:color="auto" w:sz="4" w:space="0"/>
      </w:pBdr>
      <w:shd w:val="clear" w:color="000000" w:fill="92D050"/>
      <w:adjustRightInd/>
      <w:snapToGrid/>
      <w:spacing w:before="100" w:beforeAutospacing="1" w:after="100" w:afterAutospacing="1" w:line="240" w:lineRule="auto"/>
      <w:ind w:firstLine="0" w:firstLineChars="0"/>
      <w:jc w:val="center"/>
    </w:pPr>
    <w:rPr>
      <w:rFonts w:cs="Times New Roman"/>
      <w:color w:val="000000"/>
      <w:kern w:val="0"/>
      <w:sz w:val="18"/>
      <w:szCs w:val="18"/>
    </w:rPr>
  </w:style>
  <w:style w:type="paragraph" w:customStyle="1" w:styleId="814">
    <w:name w:val="xl265"/>
    <w:basedOn w:val="1"/>
    <w:uiPriority w:val="0"/>
    <w:pPr>
      <w:widowControl/>
      <w:pBdr>
        <w:top w:val="single" w:color="auto" w:sz="4" w:space="0"/>
        <w:left w:val="single" w:color="auto" w:sz="4" w:space="0"/>
        <w:bottom w:val="single" w:color="auto" w:sz="4" w:space="0"/>
        <w:right w:val="single" w:color="auto" w:sz="4" w:space="0"/>
      </w:pBdr>
      <w:shd w:val="clear" w:color="000000" w:fill="76933C"/>
      <w:adjustRightInd/>
      <w:snapToGrid/>
      <w:spacing w:before="100" w:beforeAutospacing="1" w:after="100" w:afterAutospacing="1" w:line="240" w:lineRule="auto"/>
      <w:ind w:firstLine="0" w:firstLineChars="0"/>
      <w:jc w:val="center"/>
    </w:pPr>
    <w:rPr>
      <w:rFonts w:cs="Times New Roman"/>
      <w:color w:val="000000"/>
      <w:kern w:val="0"/>
      <w:sz w:val="16"/>
      <w:szCs w:val="16"/>
    </w:rPr>
  </w:style>
  <w:style w:type="paragraph" w:customStyle="1" w:styleId="815">
    <w:name w:val="xl266"/>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6"/>
      <w:szCs w:val="16"/>
    </w:rPr>
  </w:style>
  <w:style w:type="paragraph" w:customStyle="1" w:styleId="816">
    <w:name w:val="xl267"/>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方正仿宋_GB2312" w:hAnsi="宋体" w:eastAsia="方正仿宋_GB2312"/>
      <w:color w:val="000000"/>
      <w:kern w:val="0"/>
      <w:sz w:val="16"/>
      <w:szCs w:val="16"/>
    </w:rPr>
  </w:style>
  <w:style w:type="paragraph" w:customStyle="1" w:styleId="817">
    <w:name w:val="xl268"/>
    <w:basedOn w:val="1"/>
    <w:uiPriority w:val="0"/>
    <w:pPr>
      <w:widowControl/>
      <w:pBdr>
        <w:top w:val="single" w:color="auto" w:sz="4" w:space="0"/>
        <w:left w:val="single" w:color="auto" w:sz="4" w:space="0"/>
        <w:bottom w:val="single" w:color="auto" w:sz="4" w:space="0"/>
        <w:right w:val="single" w:color="auto" w:sz="4" w:space="0"/>
      </w:pBdr>
      <w:shd w:val="clear" w:color="000000" w:fill="FFC000"/>
      <w:adjustRightInd/>
      <w:snapToGrid/>
      <w:spacing w:before="100" w:beforeAutospacing="1" w:after="100" w:afterAutospacing="1" w:line="240" w:lineRule="auto"/>
      <w:ind w:firstLine="0" w:firstLineChars="0"/>
      <w:jc w:val="center"/>
    </w:pPr>
    <w:rPr>
      <w:rFonts w:cs="Times New Roman"/>
      <w:color w:val="000000"/>
      <w:kern w:val="0"/>
      <w:sz w:val="16"/>
      <w:szCs w:val="16"/>
    </w:rPr>
  </w:style>
  <w:style w:type="paragraph" w:customStyle="1" w:styleId="818">
    <w:name w:val="xl269"/>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color w:val="000000"/>
      <w:kern w:val="0"/>
      <w:sz w:val="16"/>
      <w:szCs w:val="16"/>
    </w:rPr>
  </w:style>
  <w:style w:type="paragraph" w:customStyle="1" w:styleId="819">
    <w:name w:val="xl270"/>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FF0000"/>
      <w:kern w:val="0"/>
      <w:sz w:val="16"/>
      <w:szCs w:val="16"/>
    </w:rPr>
  </w:style>
  <w:style w:type="paragraph" w:customStyle="1" w:styleId="820">
    <w:name w:val="xl271"/>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ascii="方正仿宋_GB2312" w:hAnsi="宋体" w:eastAsia="方正仿宋_GB2312"/>
      <w:color w:val="FF0000"/>
      <w:kern w:val="0"/>
      <w:sz w:val="16"/>
      <w:szCs w:val="16"/>
    </w:rPr>
  </w:style>
  <w:style w:type="paragraph" w:customStyle="1" w:styleId="821">
    <w:name w:val="xl272"/>
    <w:basedOn w:val="1"/>
    <w:uiPriority w:val="0"/>
    <w:pPr>
      <w:widowControl/>
      <w:pBdr>
        <w:top w:val="single" w:color="auto" w:sz="4" w:space="0"/>
        <w:left w:val="single" w:color="auto" w:sz="4" w:space="0"/>
        <w:bottom w:val="single" w:color="auto" w:sz="4" w:space="0"/>
        <w:right w:val="single" w:color="auto" w:sz="4" w:space="0"/>
      </w:pBdr>
      <w:shd w:val="clear" w:color="000000" w:fill="FFC000"/>
      <w:adjustRightInd/>
      <w:snapToGrid/>
      <w:spacing w:before="100" w:beforeAutospacing="1" w:after="100" w:afterAutospacing="1" w:line="240" w:lineRule="auto"/>
      <w:ind w:firstLine="0" w:firstLineChars="0"/>
      <w:jc w:val="center"/>
    </w:pPr>
    <w:rPr>
      <w:rFonts w:cs="Times New Roman"/>
      <w:color w:val="FF0000"/>
      <w:kern w:val="0"/>
      <w:sz w:val="16"/>
      <w:szCs w:val="16"/>
    </w:rPr>
  </w:style>
  <w:style w:type="paragraph" w:customStyle="1" w:styleId="822">
    <w:name w:val="xl273"/>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b/>
      <w:bCs/>
      <w:color w:val="000000"/>
      <w:kern w:val="0"/>
      <w:sz w:val="16"/>
      <w:szCs w:val="16"/>
    </w:rPr>
  </w:style>
  <w:style w:type="paragraph" w:customStyle="1" w:styleId="823">
    <w:name w:val="xl274"/>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b/>
      <w:bCs/>
      <w:color w:val="000000"/>
      <w:kern w:val="0"/>
      <w:sz w:val="16"/>
      <w:szCs w:val="16"/>
    </w:rPr>
  </w:style>
  <w:style w:type="paragraph" w:customStyle="1" w:styleId="824">
    <w:name w:val="xl275"/>
    <w:basedOn w:val="1"/>
    <w:uiPriority w:val="0"/>
    <w:pPr>
      <w:widowControl/>
      <w:pBdr>
        <w:top w:val="single" w:color="auto" w:sz="4" w:space="0"/>
        <w:left w:val="single" w:color="auto" w:sz="4" w:space="0"/>
        <w:bottom w:val="single" w:color="auto" w:sz="4" w:space="0"/>
        <w:right w:val="single" w:color="auto" w:sz="4" w:space="0"/>
      </w:pBdr>
      <w:shd w:val="clear" w:color="000000" w:fill="C5D9F1"/>
      <w:adjustRightInd/>
      <w:snapToGrid/>
      <w:spacing w:before="100" w:beforeAutospacing="1" w:after="100" w:afterAutospacing="1" w:line="240" w:lineRule="auto"/>
      <w:ind w:firstLine="0" w:firstLineChars="0"/>
      <w:jc w:val="center"/>
    </w:pPr>
    <w:rPr>
      <w:rFonts w:cs="Times New Roman"/>
      <w:color w:val="000000"/>
      <w:kern w:val="0"/>
      <w:sz w:val="16"/>
      <w:szCs w:val="16"/>
    </w:rPr>
  </w:style>
  <w:style w:type="paragraph" w:customStyle="1" w:styleId="825">
    <w:name w:val="xl276"/>
    <w:basedOn w:val="1"/>
    <w:uiPriority w:val="0"/>
    <w:pPr>
      <w:widowControl/>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pPr>
    <w:rPr>
      <w:rFonts w:cs="Times New Roman"/>
      <w:b/>
      <w:bCs/>
      <w:color w:val="000000"/>
      <w:kern w:val="0"/>
      <w:sz w:val="16"/>
      <w:szCs w:val="16"/>
    </w:rPr>
  </w:style>
  <w:style w:type="table" w:customStyle="1" w:styleId="826">
    <w:name w:val="表格样式2"/>
    <w:basedOn w:val="53"/>
    <w:qFormat/>
    <w:uiPriority w:val="59"/>
    <w:pPr>
      <w:widowControl w:val="0"/>
      <w:spacing w:line="360" w:lineRule="auto"/>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27">
    <w:name w:val="表格样式3"/>
    <w:basedOn w:val="53"/>
    <w:qFormat/>
    <w:uiPriority w:val="59"/>
    <w:pPr>
      <w:widowControl w:val="0"/>
      <w:spacing w:line="360" w:lineRule="auto"/>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28">
    <w:name w:val="图片与表格"/>
    <w:link w:val="829"/>
    <w:uiPriority w:val="0"/>
    <w:pPr>
      <w:jc w:val="center"/>
    </w:pPr>
    <w:rPr>
      <w:rFonts w:ascii="Times New Roman" w:hAnsi="Times New Roman" w:eastAsia="宋体" w:cs="Times New Roman"/>
      <w:b/>
      <w:sz w:val="21"/>
      <w:lang w:val="en-US" w:eastAsia="zh-CN" w:bidi="ar-SA"/>
    </w:rPr>
  </w:style>
  <w:style w:type="character" w:customStyle="1" w:styleId="829">
    <w:name w:val="图片与表格 Char"/>
    <w:link w:val="828"/>
    <w:uiPriority w:val="0"/>
    <w:rPr>
      <w:rFonts w:ascii="Times New Roman" w:hAnsi="Times New Roman"/>
      <w:b/>
      <w:sz w:val="21"/>
    </w:rPr>
  </w:style>
  <w:style w:type="table" w:customStyle="1" w:styleId="830">
    <w:name w:val="网格表 7 彩色 - 着色 51"/>
    <w:basedOn w:val="53"/>
    <w:qFormat/>
    <w:uiPriority w:val="52"/>
    <w:rPr>
      <w:color w:val="2E75B6" w:themeColor="accent5" w:themeShade="BF"/>
    </w:rPr>
    <w:tblPr>
      <w:tblBorders>
        <w:top w:val="single" w:color="9CC2E5" w:themeColor="accent5" w:themeTint="99" w:sz="4" w:space="0"/>
        <w:left w:val="single" w:color="9CC2E5" w:themeColor="accent5" w:themeTint="99" w:sz="4" w:space="0"/>
        <w:bottom w:val="single" w:color="9CC2E5" w:themeColor="accent5" w:themeTint="99" w:sz="4" w:space="0"/>
        <w:right w:val="single" w:color="9CC2E5" w:themeColor="accent5" w:themeTint="99" w:sz="4" w:space="0"/>
        <w:insideH w:val="single" w:color="9CC2E5" w:themeColor="accent5" w:themeTint="99" w:sz="4" w:space="0"/>
        <w:insideV w:val="single" w:color="9CC2E5" w:themeColor="accent5"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DEEAF6" w:themeFill="accent5" w:themeFillTint="33"/>
      </w:tcPr>
    </w:tblStylePr>
    <w:tblStylePr w:type="band1Horz">
      <w:tcPr>
        <w:shd w:val="clear" w:color="auto" w:fill="DEEAF6" w:themeFill="accent5" w:themeFillTint="33"/>
      </w:tcPr>
    </w:tblStylePr>
    <w:tblStylePr w:type="neCell">
      <w:tcPr>
        <w:tcBorders>
          <w:bottom w:val="single" w:color="9CC2E5" w:themeColor="accent5" w:themeTint="99" w:sz="4" w:space="0"/>
        </w:tcBorders>
      </w:tcPr>
    </w:tblStylePr>
    <w:tblStylePr w:type="nwCell">
      <w:tcPr>
        <w:tcBorders>
          <w:bottom w:val="single" w:color="9CC2E5" w:themeColor="accent5" w:themeTint="99" w:sz="4" w:space="0"/>
        </w:tcBorders>
      </w:tcPr>
    </w:tblStylePr>
    <w:tblStylePr w:type="seCell">
      <w:tcPr>
        <w:tcBorders>
          <w:top w:val="single" w:color="9CC2E5" w:themeColor="accent5" w:themeTint="99" w:sz="4" w:space="0"/>
        </w:tcBorders>
      </w:tcPr>
    </w:tblStylePr>
    <w:tblStylePr w:type="swCell">
      <w:tcPr>
        <w:tcBorders>
          <w:top w:val="single" w:color="9CC2E5" w:themeColor="accent5" w:themeTint="99" w:sz="4" w:space="0"/>
        </w:tcBorders>
      </w:tcPr>
    </w:tblStylePr>
  </w:style>
  <w:style w:type="table" w:customStyle="1" w:styleId="831">
    <w:name w:val="网格表 7 彩色 - 着色 61"/>
    <w:basedOn w:val="53"/>
    <w:qFormat/>
    <w:uiPriority w:val="52"/>
    <w:rPr>
      <w:color w:val="548235" w:themeColor="accent6" w:themeShade="BF"/>
    </w:rPr>
    <w:tblPr>
      <w:tblBorders>
        <w:top w:val="single" w:color="A8D08D" w:themeColor="accent6" w:themeTint="99" w:sz="4" w:space="0"/>
        <w:left w:val="single" w:color="A8D08D" w:themeColor="accent6" w:themeTint="99" w:sz="4" w:space="0"/>
        <w:bottom w:val="single" w:color="A8D08D" w:themeColor="accent6" w:themeTint="99" w:sz="4" w:space="0"/>
        <w:right w:val="single" w:color="A8D08D" w:themeColor="accent6" w:themeTint="99" w:sz="4" w:space="0"/>
        <w:insideH w:val="single" w:color="A8D08D" w:themeColor="accent6" w:themeTint="99" w:sz="4" w:space="0"/>
        <w:insideV w:val="single" w:color="A8D08D" w:themeColor="accent6"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E2EFD9" w:themeFill="accent6" w:themeFillTint="33"/>
      </w:tcPr>
    </w:tblStylePr>
    <w:tblStylePr w:type="band1Horz">
      <w:tcPr>
        <w:shd w:val="clear" w:color="auto" w:fill="E2EFD9" w:themeFill="accent6" w:themeFillTint="33"/>
      </w:tcPr>
    </w:tblStylePr>
    <w:tblStylePr w:type="neCell">
      <w:tcPr>
        <w:tcBorders>
          <w:bottom w:val="single" w:color="A8D08D" w:themeColor="accent6" w:themeTint="99" w:sz="4" w:space="0"/>
        </w:tcBorders>
      </w:tcPr>
    </w:tblStylePr>
    <w:tblStylePr w:type="nwCell">
      <w:tcPr>
        <w:tcBorders>
          <w:bottom w:val="single" w:color="A8D08D" w:themeColor="accent6" w:themeTint="99" w:sz="4" w:space="0"/>
        </w:tcBorders>
      </w:tcPr>
    </w:tblStylePr>
    <w:tblStylePr w:type="seCell">
      <w:tcPr>
        <w:tcBorders>
          <w:top w:val="single" w:color="A8D08D" w:themeColor="accent6" w:themeTint="99" w:sz="4" w:space="0"/>
        </w:tcBorders>
      </w:tcPr>
    </w:tblStylePr>
    <w:tblStylePr w:type="swCell">
      <w:tcPr>
        <w:tcBorders>
          <w:top w:val="single" w:color="A8D08D" w:themeColor="accent6" w:themeTint="99" w:sz="4" w:space="0"/>
        </w:tcBorders>
      </w:tcPr>
    </w:tblStylePr>
  </w:style>
  <w:style w:type="paragraph" w:customStyle="1" w:styleId="832">
    <w:name w:val="Char6"/>
    <w:basedOn w:val="1"/>
    <w:uiPriority w:val="0"/>
    <w:pPr>
      <w:tabs>
        <w:tab w:val="left" w:pos="360"/>
      </w:tabs>
      <w:adjustRightInd/>
      <w:snapToGrid/>
      <w:spacing w:line="240" w:lineRule="auto"/>
      <w:ind w:firstLine="0" w:firstLineChars="0"/>
    </w:pPr>
    <w:rPr>
      <w:rFonts w:cs="Times New Roman"/>
      <w:sz w:val="21"/>
      <w:szCs w:val="24"/>
    </w:rPr>
  </w:style>
  <w:style w:type="paragraph" w:customStyle="1" w:styleId="833">
    <w:name w:val="Char5"/>
    <w:basedOn w:val="1"/>
    <w:semiHidden/>
    <w:uiPriority w:val="0"/>
    <w:pPr>
      <w:adjustRightInd/>
      <w:snapToGrid/>
      <w:spacing w:line="240" w:lineRule="auto"/>
      <w:ind w:left="-48" w:firstLine="0" w:firstLineChars="0"/>
    </w:pPr>
    <w:rPr>
      <w:rFonts w:cs="Times New Roman"/>
      <w:sz w:val="21"/>
      <w:szCs w:val="24"/>
    </w:rPr>
  </w:style>
  <w:style w:type="paragraph" w:customStyle="1" w:styleId="834">
    <w:name w:val="a表格"/>
    <w:basedOn w:val="1"/>
    <w:uiPriority w:val="0"/>
    <w:pPr>
      <w:adjustRightInd/>
      <w:spacing w:line="240" w:lineRule="auto"/>
      <w:ind w:firstLine="0" w:firstLineChars="0"/>
      <w:jc w:val="center"/>
    </w:pPr>
    <w:rPr>
      <w:rFonts w:cs="Times New Roman"/>
      <w:sz w:val="21"/>
      <w:szCs w:val="21"/>
    </w:rPr>
  </w:style>
  <w:style w:type="paragraph" w:customStyle="1" w:styleId="835">
    <w:name w:val="Char Char Char Char Char Char1 Char Char Char Char Char Char Char"/>
    <w:basedOn w:val="1"/>
    <w:uiPriority w:val="0"/>
    <w:pPr>
      <w:adjustRightInd/>
      <w:snapToGrid/>
      <w:spacing w:line="240" w:lineRule="auto"/>
      <w:ind w:firstLine="0" w:firstLineChars="0"/>
    </w:pPr>
    <w:rPr>
      <w:rFonts w:cs="Times New Roman"/>
      <w:sz w:val="21"/>
      <w:szCs w:val="24"/>
    </w:rPr>
  </w:style>
  <w:style w:type="table" w:customStyle="1" w:styleId="836">
    <w:name w:val="表格样式111"/>
    <w:basedOn w:val="53"/>
    <w:qFormat/>
    <w:uiPriority w:val="0"/>
    <w:pPr>
      <w:spacing w:line="240" w:lineRule="atLeast"/>
      <w:jc w:val="center"/>
    </w:pPr>
    <w:rPr>
      <w:sz w:val="21"/>
    </w:rPr>
    <w:tblPr>
      <w:tblBorders>
        <w:top w:val="single" w:color="auto" w:sz="12" w:space="0"/>
        <w:bottom w:val="single" w:color="auto" w:sz="12" w:space="0"/>
        <w:insideH w:val="single" w:color="auto" w:sz="6" w:space="0"/>
        <w:insideV w:val="single" w:color="auto" w:sz="6" w:space="0"/>
      </w:tblBorders>
    </w:tblPr>
    <w:tcPr>
      <w:vAlign w:val="center"/>
    </w:tcPr>
  </w:style>
  <w:style w:type="table" w:customStyle="1" w:styleId="837">
    <w:name w:val="表格样式4"/>
    <w:basedOn w:val="53"/>
    <w:qFormat/>
    <w:uiPriority w:val="0"/>
    <w:pPr>
      <w:adjustRightInd w:val="0"/>
      <w:snapToGrid w:val="0"/>
      <w:spacing w:before="30" w:after="30"/>
      <w:jc w:val="center"/>
    </w:pPr>
    <w:rPr>
      <w:rFonts w:ascii="Times New Roman" w:hAnsi="Times New Roman"/>
      <w:sz w:val="21"/>
    </w:rPr>
    <w:tblPr>
      <w:jc w:val="center"/>
      <w:tblBorders>
        <w:top w:val="single" w:color="auto" w:sz="12" w:space="0"/>
        <w:bottom w:val="single" w:color="auto" w:sz="12" w:space="0"/>
        <w:insideH w:val="single" w:color="auto" w:sz="6" w:space="0"/>
        <w:insideV w:val="single" w:color="auto" w:sz="6" w:space="0"/>
      </w:tblBorders>
    </w:tblPr>
    <w:trPr>
      <w:cantSplit/>
      <w:jc w:val="center"/>
    </w:trPr>
    <w:tcPr>
      <w:vAlign w:val="center"/>
    </w:tcPr>
  </w:style>
  <w:style w:type="paragraph" w:customStyle="1" w:styleId="838">
    <w:name w:val="Char Char Char Char Char Char1 Char Char Char Char Char Char Char1"/>
    <w:basedOn w:val="1"/>
    <w:uiPriority w:val="0"/>
    <w:pPr>
      <w:adjustRightInd/>
      <w:snapToGrid/>
      <w:spacing w:line="240" w:lineRule="auto"/>
      <w:ind w:firstLine="0" w:firstLineChars="0"/>
    </w:pPr>
    <w:rPr>
      <w:rFonts w:cs="Times New Roman"/>
      <w:sz w:val="21"/>
      <w:szCs w:val="24"/>
    </w:rPr>
  </w:style>
  <w:style w:type="paragraph" w:customStyle="1" w:styleId="839">
    <w:name w:val="Char Char Char Char Char Char1 Char Char Char Char Char Char Char2"/>
    <w:basedOn w:val="1"/>
    <w:uiPriority w:val="0"/>
    <w:pPr>
      <w:adjustRightInd/>
      <w:snapToGrid/>
      <w:spacing w:line="240" w:lineRule="auto"/>
      <w:ind w:firstLine="0" w:firstLineChars="0"/>
    </w:pPr>
    <w:rPr>
      <w:rFonts w:cs="Times New Roman"/>
      <w:sz w:val="21"/>
      <w:szCs w:val="24"/>
    </w:rPr>
  </w:style>
  <w:style w:type="paragraph" w:customStyle="1" w:styleId="840">
    <w:name w:val="marklang-paragraph"/>
    <w:basedOn w:val="1"/>
    <w:uiPriority w:val="0"/>
    <w:pPr>
      <w:widowControl/>
      <w:adjustRightInd/>
      <w:snapToGrid/>
      <w:spacing w:before="100" w:beforeAutospacing="1" w:after="100" w:afterAutospacing="1" w:line="240" w:lineRule="auto"/>
      <w:ind w:firstLine="0" w:firstLineChars="0"/>
      <w:jc w:val="left"/>
    </w:pPr>
    <w:rPr>
      <w:rFonts w:ascii="宋体" w:hAnsi="宋体"/>
      <w:kern w:val="0"/>
      <w:szCs w:val="24"/>
    </w:rPr>
  </w:style>
  <w:style w:type="table" w:customStyle="1" w:styleId="841">
    <w:name w:val="表格框1"/>
    <w:basedOn w:val="53"/>
    <w:qFormat/>
    <w:locked/>
    <w:uiPriority w:val="0"/>
    <w:pPr>
      <w:adjustRightInd w:val="0"/>
      <w:snapToGrid w:val="0"/>
      <w:jc w:val="center"/>
    </w:pPr>
    <w:tblPr>
      <w:jc w:val="center"/>
      <w:tblBorders>
        <w:top w:val="single" w:color="000000" w:sz="12" w:space="0"/>
        <w:bottom w:val="single" w:color="000000" w:sz="12" w:space="0"/>
        <w:insideH w:val="single" w:color="000000" w:sz="4" w:space="0"/>
        <w:insideV w:val="single" w:color="000000" w:sz="4" w:space="0"/>
      </w:tblBorders>
      <w:tblCellMar>
        <w:left w:w="0" w:type="dxa"/>
        <w:right w:w="0" w:type="dxa"/>
      </w:tblCellMar>
    </w:tblPr>
    <w:trPr>
      <w:cantSplit/>
      <w:tblHeader/>
      <w:jc w:val="center"/>
    </w:trPr>
    <w:tcPr>
      <w:vAlign w:val="center"/>
    </w:tcPr>
  </w:style>
  <w:style w:type="paragraph" w:customStyle="1" w:styleId="842">
    <w:name w:val="Char Char Char Char Char Char1 Char Char Char Char Char Char Char3"/>
    <w:basedOn w:val="1"/>
    <w:uiPriority w:val="0"/>
    <w:pPr>
      <w:adjustRightInd/>
      <w:snapToGrid/>
      <w:spacing w:line="240" w:lineRule="auto"/>
      <w:ind w:firstLine="0" w:firstLineChars="0"/>
    </w:pPr>
    <w:rPr>
      <w:rFonts w:cs="Times New Roman"/>
      <w:sz w:val="21"/>
      <w:szCs w:val="24"/>
    </w:rPr>
  </w:style>
  <w:style w:type="paragraph" w:customStyle="1" w:styleId="843">
    <w:name w:val="Char Char Char1 Char Char Char Char Char Char Char Char"/>
    <w:basedOn w:val="1"/>
    <w:uiPriority w:val="0"/>
    <w:pPr>
      <w:tabs>
        <w:tab w:val="left" w:pos="360"/>
      </w:tabs>
    </w:pPr>
    <w:rPr>
      <w:rFonts w:cs="Times New Roman"/>
    </w:rPr>
  </w:style>
  <w:style w:type="character" w:customStyle="1" w:styleId="844">
    <w:name w:val="正文文本 (2) + SimSun"/>
    <w:basedOn w:val="226"/>
    <w:uiPriority w:val="99"/>
    <w:rPr>
      <w:rFonts w:ascii="宋体" w:hAnsi="Times New Roman" w:eastAsia="宋体" w:cs="宋体"/>
      <w:spacing w:val="10"/>
      <w:sz w:val="13"/>
      <w:szCs w:val="13"/>
      <w:u w:val="none"/>
      <w:shd w:val="clear" w:color="auto" w:fill="FFFFFF"/>
      <w:lang w:val="zh-TW" w:eastAsia="zh-TW"/>
    </w:rPr>
  </w:style>
  <w:style w:type="character" w:customStyle="1" w:styleId="845">
    <w:name w:val="正文文本 (2) + 7 pt"/>
    <w:basedOn w:val="226"/>
    <w:uiPriority w:val="99"/>
    <w:rPr>
      <w:rFonts w:ascii="Times New Roman" w:hAnsi="Times New Roman" w:eastAsia="黑体" w:cs="Times New Roman"/>
      <w:spacing w:val="10"/>
      <w:sz w:val="14"/>
      <w:szCs w:val="14"/>
      <w:u w:val="none"/>
      <w:shd w:val="clear" w:color="auto" w:fill="FFFFFF"/>
    </w:rPr>
  </w:style>
  <w:style w:type="character" w:customStyle="1" w:styleId="846">
    <w:name w:val="正文文本 (2) + Bookman Old Style"/>
    <w:basedOn w:val="226"/>
    <w:uiPriority w:val="99"/>
    <w:rPr>
      <w:rFonts w:ascii="Bookman Old Style" w:hAnsi="Bookman Old Style" w:eastAsia="黑体" w:cs="Bookman Old Style"/>
      <w:spacing w:val="10"/>
      <w:sz w:val="14"/>
      <w:szCs w:val="14"/>
      <w:u w:val="none"/>
      <w:shd w:val="clear" w:color="auto" w:fill="FFFFFF"/>
    </w:rPr>
  </w:style>
  <w:style w:type="character" w:customStyle="1" w:styleId="847">
    <w:name w:val="正文文本 (2) + 4 pt"/>
    <w:basedOn w:val="226"/>
    <w:uiPriority w:val="99"/>
    <w:rPr>
      <w:rFonts w:ascii="Times New Roman" w:hAnsi="Times New Roman" w:eastAsia="黑体" w:cs="Times New Roman"/>
      <w:spacing w:val="10"/>
      <w:sz w:val="8"/>
      <w:szCs w:val="8"/>
      <w:u w:val="none"/>
      <w:shd w:val="clear" w:color="auto" w:fill="FFFFFF"/>
    </w:rPr>
  </w:style>
  <w:style w:type="character" w:customStyle="1" w:styleId="848">
    <w:name w:val="正文文本 (2) + 4 pt1"/>
    <w:basedOn w:val="226"/>
    <w:uiPriority w:val="99"/>
    <w:rPr>
      <w:rFonts w:ascii="Times New Roman" w:hAnsi="Times New Roman" w:eastAsia="黑体" w:cs="Times New Roman"/>
      <w:i/>
      <w:iCs/>
      <w:spacing w:val="10"/>
      <w:sz w:val="8"/>
      <w:szCs w:val="8"/>
      <w:u w:val="none"/>
      <w:shd w:val="clear" w:color="auto" w:fill="FFFFFF"/>
    </w:rPr>
  </w:style>
  <w:style w:type="character" w:customStyle="1" w:styleId="849">
    <w:name w:val="正文文本 (2) + 6.5 pt"/>
    <w:basedOn w:val="226"/>
    <w:uiPriority w:val="99"/>
    <w:rPr>
      <w:rFonts w:ascii="Times New Roman" w:hAnsi="Times New Roman" w:eastAsia="黑体" w:cs="Times New Roman"/>
      <w:spacing w:val="10"/>
      <w:sz w:val="13"/>
      <w:szCs w:val="13"/>
      <w:u w:val="none"/>
      <w:shd w:val="clear" w:color="auto" w:fill="FFFFFF"/>
      <w:lang w:val="zh-TW" w:eastAsia="zh-TW"/>
    </w:rPr>
  </w:style>
  <w:style w:type="table" w:customStyle="1" w:styleId="850">
    <w:name w:val="网格型7"/>
    <w:basedOn w:val="53"/>
    <w:qFormat/>
    <w:uiPriority w:val="0"/>
    <w:pPr>
      <w:widowControl w:val="0"/>
      <w:jc w:val="both"/>
    </w:pPr>
    <w:rPr>
      <w:sz w:val="21"/>
    </w:rPr>
    <w:tblPr>
      <w:jc w:val="center"/>
      <w:tblBorders>
        <w:top w:val="single" w:color="auto" w:sz="18" w:space="0"/>
        <w:bottom w:val="single" w:color="auto" w:sz="18" w:space="0"/>
        <w:insideH w:val="single" w:color="auto" w:sz="4" w:space="0"/>
        <w:insideV w:val="single" w:color="auto" w:sz="4" w:space="0"/>
      </w:tblBorders>
    </w:tblPr>
    <w:trPr>
      <w:jc w:val="center"/>
    </w:trPr>
    <w:tcPr>
      <w:vAlign w:val="center"/>
    </w:tcPr>
  </w:style>
  <w:style w:type="paragraph" w:customStyle="1" w:styleId="851">
    <w:name w:val="正文（段落）"/>
    <w:uiPriority w:val="0"/>
    <w:pPr>
      <w:snapToGrid w:val="0"/>
      <w:spacing w:before="50" w:beforeLines="50" w:line="360" w:lineRule="auto"/>
      <w:ind w:firstLine="200" w:firstLineChars="200"/>
      <w:jc w:val="both"/>
    </w:pPr>
    <w:rPr>
      <w:rFonts w:ascii="Times New Roman" w:hAnsi="Times New Roman" w:eastAsia="宋体" w:cs="Times New Roman"/>
      <w:bCs/>
      <w:color w:val="000000"/>
      <w:kern w:val="2"/>
      <w:sz w:val="24"/>
      <w:szCs w:val="32"/>
      <w:lang w:val="en-US" w:eastAsia="zh-CN" w:bidi="ar-SA"/>
    </w:rPr>
  </w:style>
  <w:style w:type="table" w:customStyle="1" w:styleId="852">
    <w:name w:val="清单表 6 彩色 - 着色 41"/>
    <w:basedOn w:val="53"/>
    <w:uiPriority w:val="51"/>
    <w:rPr>
      <w:color w:val="BF9000" w:themeColor="accent4" w:themeShade="BF"/>
    </w:rPr>
    <w:tblPr>
      <w:tblBorders>
        <w:top w:val="single" w:color="FFC000" w:themeColor="accent4" w:sz="4" w:space="0"/>
        <w:bottom w:val="single" w:color="FFC000" w:themeColor="accent4" w:sz="4" w:space="0"/>
      </w:tblBorders>
    </w:tblPr>
    <w:tblStylePr w:type="firstRow">
      <w:rPr>
        <w:b/>
        <w:bCs/>
      </w:rPr>
      <w:tcPr>
        <w:tcBorders>
          <w:bottom w:val="single" w:color="FFC000" w:themeColor="accent4" w:sz="4" w:space="0"/>
        </w:tcBorders>
      </w:tcPr>
    </w:tblStylePr>
    <w:tblStylePr w:type="lastRow">
      <w:rPr>
        <w:b/>
        <w:bCs/>
      </w:rPr>
      <w:tcPr>
        <w:tcBorders>
          <w:top w:val="double" w:color="FFC000" w:themeColor="accent4" w:sz="4" w:space="0"/>
        </w:tcBorders>
      </w:tcPr>
    </w:tblStylePr>
    <w:tblStylePr w:type="firstCol">
      <w:rPr>
        <w:b/>
        <w:bCs/>
      </w:rPr>
    </w:tblStylePr>
    <w:tblStylePr w:type="lastCol">
      <w:rPr>
        <w:b/>
        <w:bCs/>
      </w:rPr>
    </w:tblStylePr>
    <w:tblStylePr w:type="band1Vert">
      <w:tcPr>
        <w:shd w:val="clear" w:color="auto" w:fill="FEF2CC" w:themeFill="accent4" w:themeFillTint="33"/>
      </w:tcPr>
    </w:tblStylePr>
    <w:tblStylePr w:type="band1Horz">
      <w:tcPr>
        <w:shd w:val="clear" w:color="auto" w:fill="FEF2CC" w:themeFill="accent4" w:themeFillTint="33"/>
      </w:tcPr>
    </w:tblStylePr>
  </w:style>
  <w:style w:type="paragraph" w:customStyle="1" w:styleId="853">
    <w:name w:val="表格样式—zsy"/>
    <w:basedOn w:val="1"/>
    <w:uiPriority w:val="0"/>
    <w:pPr>
      <w:keepNext/>
      <w:keepLines/>
      <w:adjustRightInd/>
      <w:snapToGrid/>
      <w:spacing w:line="340" w:lineRule="exact"/>
      <w:ind w:firstLine="0" w:firstLineChars="0"/>
      <w:jc w:val="center"/>
    </w:pPr>
    <w:rPr>
      <w:rFonts w:cs="Times New Roman"/>
      <w:sz w:val="21"/>
      <w:szCs w:val="24"/>
    </w:rPr>
  </w:style>
  <w:style w:type="paragraph" w:customStyle="1" w:styleId="854">
    <w:name w:val="Char Char Char Char Char Char1 Char Char Char Char Char Char Char4"/>
    <w:basedOn w:val="1"/>
    <w:uiPriority w:val="0"/>
    <w:pPr>
      <w:adjustRightInd/>
      <w:snapToGrid/>
      <w:spacing w:line="240" w:lineRule="auto"/>
      <w:ind w:firstLine="0" w:firstLineChars="0"/>
    </w:pPr>
    <w:rPr>
      <w:rFonts w:cs="Times New Roman"/>
      <w:sz w:val="21"/>
      <w:szCs w:val="24"/>
    </w:rPr>
  </w:style>
  <w:style w:type="paragraph" w:customStyle="1" w:styleId="855">
    <w:name w:val="Char Char Char Char Char Char1 Char Char Char Char Char Char Char5"/>
    <w:basedOn w:val="1"/>
    <w:uiPriority w:val="0"/>
    <w:pPr>
      <w:adjustRightInd/>
      <w:snapToGrid/>
      <w:spacing w:line="240" w:lineRule="auto"/>
      <w:ind w:firstLine="0" w:firstLineChars="0"/>
    </w:pPr>
    <w:rPr>
      <w:rFonts w:cs="Times New Roman"/>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54.wmf"/><Relationship Id="rId98" Type="http://schemas.openxmlformats.org/officeDocument/2006/relationships/oleObject" Target="embeddings/oleObject14.bin"/><Relationship Id="rId97" Type="http://schemas.openxmlformats.org/officeDocument/2006/relationships/image" Target="media/image53.wmf"/><Relationship Id="rId96" Type="http://schemas.openxmlformats.org/officeDocument/2006/relationships/oleObject" Target="embeddings/oleObject13.bin"/><Relationship Id="rId95" Type="http://schemas.openxmlformats.org/officeDocument/2006/relationships/image" Target="media/image52.wmf"/><Relationship Id="rId94" Type="http://schemas.openxmlformats.org/officeDocument/2006/relationships/oleObject" Target="embeddings/oleObject12.bin"/><Relationship Id="rId93" Type="http://schemas.openxmlformats.org/officeDocument/2006/relationships/image" Target="media/image51.emf"/><Relationship Id="rId92" Type="http://schemas.openxmlformats.org/officeDocument/2006/relationships/package" Target="embeddings/Microsoft_Visio___2.vsdx"/><Relationship Id="rId91" Type="http://schemas.openxmlformats.org/officeDocument/2006/relationships/image" Target="media/image50.png"/><Relationship Id="rId90" Type="http://schemas.openxmlformats.org/officeDocument/2006/relationships/image" Target="media/image49.png"/><Relationship Id="rId9" Type="http://schemas.openxmlformats.org/officeDocument/2006/relationships/footer" Target="footer2.xml"/><Relationship Id="rId89" Type="http://schemas.openxmlformats.org/officeDocument/2006/relationships/image" Target="media/image48.png"/><Relationship Id="rId88" Type="http://schemas.openxmlformats.org/officeDocument/2006/relationships/image" Target="media/image47.png"/><Relationship Id="rId87" Type="http://schemas.openxmlformats.org/officeDocument/2006/relationships/image" Target="media/image46.png"/><Relationship Id="rId86" Type="http://schemas.openxmlformats.org/officeDocument/2006/relationships/image" Target="media/image45.emf"/><Relationship Id="rId85" Type="http://schemas.openxmlformats.org/officeDocument/2006/relationships/package" Target="embeddings/Microsoft_Visio___1.vsdx"/><Relationship Id="rId84" Type="http://schemas.openxmlformats.org/officeDocument/2006/relationships/image" Target="media/image44.jpeg"/><Relationship Id="rId83" Type="http://schemas.openxmlformats.org/officeDocument/2006/relationships/image" Target="media/image43.jpeg"/><Relationship Id="rId82" Type="http://schemas.openxmlformats.org/officeDocument/2006/relationships/image" Target="media/image42.wmf"/><Relationship Id="rId81" Type="http://schemas.openxmlformats.org/officeDocument/2006/relationships/oleObject" Target="embeddings/oleObject11.bin"/><Relationship Id="rId80" Type="http://schemas.openxmlformats.org/officeDocument/2006/relationships/image" Target="media/image41.jpeg"/><Relationship Id="rId8" Type="http://schemas.openxmlformats.org/officeDocument/2006/relationships/footer" Target="footer1.xml"/><Relationship Id="rId79" Type="http://schemas.openxmlformats.org/officeDocument/2006/relationships/image" Target="media/image40.jpeg"/><Relationship Id="rId78" Type="http://schemas.openxmlformats.org/officeDocument/2006/relationships/image" Target="media/image39.wmf"/><Relationship Id="rId77" Type="http://schemas.openxmlformats.org/officeDocument/2006/relationships/oleObject" Target="embeddings/oleObject10.bin"/><Relationship Id="rId76" Type="http://schemas.openxmlformats.org/officeDocument/2006/relationships/image" Target="media/image38.jpeg"/><Relationship Id="rId75" Type="http://schemas.openxmlformats.org/officeDocument/2006/relationships/image" Target="media/image37.jpeg"/><Relationship Id="rId74" Type="http://schemas.openxmlformats.org/officeDocument/2006/relationships/image" Target="media/image36.wmf"/><Relationship Id="rId73" Type="http://schemas.openxmlformats.org/officeDocument/2006/relationships/oleObject" Target="embeddings/oleObject9.bin"/><Relationship Id="rId72" Type="http://schemas.openxmlformats.org/officeDocument/2006/relationships/image" Target="media/image35.jpeg"/><Relationship Id="rId71" Type="http://schemas.openxmlformats.org/officeDocument/2006/relationships/image" Target="media/image34.wmf"/><Relationship Id="rId70" Type="http://schemas.openxmlformats.org/officeDocument/2006/relationships/oleObject" Target="embeddings/oleObject8.bin"/><Relationship Id="rId7" Type="http://schemas.openxmlformats.org/officeDocument/2006/relationships/header" Target="header3.xml"/><Relationship Id="rId69" Type="http://schemas.openxmlformats.org/officeDocument/2006/relationships/image" Target="media/image33.jpeg"/><Relationship Id="rId68" Type="http://schemas.openxmlformats.org/officeDocument/2006/relationships/image" Target="media/image32.jpeg"/><Relationship Id="rId67" Type="http://schemas.openxmlformats.org/officeDocument/2006/relationships/image" Target="media/image31.wmf"/><Relationship Id="rId66" Type="http://schemas.openxmlformats.org/officeDocument/2006/relationships/oleObject" Target="embeddings/oleObject7.bin"/><Relationship Id="rId65" Type="http://schemas.openxmlformats.org/officeDocument/2006/relationships/image" Target="media/image30.jpeg"/><Relationship Id="rId64" Type="http://schemas.openxmlformats.org/officeDocument/2006/relationships/image" Target="media/image29.jpeg"/><Relationship Id="rId63" Type="http://schemas.openxmlformats.org/officeDocument/2006/relationships/image" Target="media/image28.wmf"/><Relationship Id="rId62" Type="http://schemas.openxmlformats.org/officeDocument/2006/relationships/oleObject" Target="embeddings/oleObject6.bin"/><Relationship Id="rId61" Type="http://schemas.openxmlformats.org/officeDocument/2006/relationships/image" Target="media/image27.jpeg"/><Relationship Id="rId60" Type="http://schemas.openxmlformats.org/officeDocument/2006/relationships/image" Target="media/image26.jpeg"/><Relationship Id="rId6" Type="http://schemas.openxmlformats.org/officeDocument/2006/relationships/header" Target="header2.xml"/><Relationship Id="rId59" Type="http://schemas.openxmlformats.org/officeDocument/2006/relationships/image" Target="media/image25.wmf"/><Relationship Id="rId58" Type="http://schemas.openxmlformats.org/officeDocument/2006/relationships/oleObject" Target="embeddings/oleObject5.bin"/><Relationship Id="rId57" Type="http://schemas.openxmlformats.org/officeDocument/2006/relationships/image" Target="media/image24.jpeg"/><Relationship Id="rId56" Type="http://schemas.openxmlformats.org/officeDocument/2006/relationships/image" Target="media/image23.jpeg"/><Relationship Id="rId55" Type="http://schemas.openxmlformats.org/officeDocument/2006/relationships/image" Target="media/image22.wmf"/><Relationship Id="rId54" Type="http://schemas.openxmlformats.org/officeDocument/2006/relationships/oleObject" Target="embeddings/oleObject4.bin"/><Relationship Id="rId53" Type="http://schemas.openxmlformats.org/officeDocument/2006/relationships/image" Target="media/image21.jpeg"/><Relationship Id="rId52" Type="http://schemas.openxmlformats.org/officeDocument/2006/relationships/image" Target="media/image20.jpeg"/><Relationship Id="rId51" Type="http://schemas.openxmlformats.org/officeDocument/2006/relationships/image" Target="media/image19.wmf"/><Relationship Id="rId50" Type="http://schemas.openxmlformats.org/officeDocument/2006/relationships/oleObject" Target="embeddings/oleObject3.bin"/><Relationship Id="rId5" Type="http://schemas.openxmlformats.org/officeDocument/2006/relationships/header" Target="header1.xml"/><Relationship Id="rId49" Type="http://schemas.openxmlformats.org/officeDocument/2006/relationships/image" Target="media/image18.jpeg"/><Relationship Id="rId48" Type="http://schemas.openxmlformats.org/officeDocument/2006/relationships/image" Target="media/image17.jpeg"/><Relationship Id="rId47" Type="http://schemas.openxmlformats.org/officeDocument/2006/relationships/image" Target="media/image16.wmf"/><Relationship Id="rId46" Type="http://schemas.openxmlformats.org/officeDocument/2006/relationships/oleObject" Target="embeddings/oleObject2.bin"/><Relationship Id="rId45" Type="http://schemas.openxmlformats.org/officeDocument/2006/relationships/image" Target="media/image15.jpeg"/><Relationship Id="rId44" Type="http://schemas.openxmlformats.org/officeDocument/2006/relationships/image" Target="media/image14.jpeg"/><Relationship Id="rId43" Type="http://schemas.openxmlformats.org/officeDocument/2006/relationships/image" Target="media/image13.wmf"/><Relationship Id="rId42" Type="http://schemas.openxmlformats.org/officeDocument/2006/relationships/oleObject" Target="embeddings/oleObject1.bin"/><Relationship Id="rId41" Type="http://schemas.openxmlformats.org/officeDocument/2006/relationships/image" Target="media/image12.jpeg"/><Relationship Id="rId40" Type="http://schemas.openxmlformats.org/officeDocument/2006/relationships/image" Target="media/image11.jpeg"/><Relationship Id="rId4" Type="http://schemas.openxmlformats.org/officeDocument/2006/relationships/endnotes" Target="endnotes.xml"/><Relationship Id="rId39" Type="http://schemas.openxmlformats.org/officeDocument/2006/relationships/image" Target="media/image10.jpeg"/><Relationship Id="rId38" Type="http://schemas.openxmlformats.org/officeDocument/2006/relationships/image" Target="media/image9.png"/><Relationship Id="rId37" Type="http://schemas.openxmlformats.org/officeDocument/2006/relationships/image" Target="media/image8.png"/><Relationship Id="rId36" Type="http://schemas.openxmlformats.org/officeDocument/2006/relationships/image" Target="media/image7.png"/><Relationship Id="rId35" Type="http://schemas.openxmlformats.org/officeDocument/2006/relationships/image" Target="media/image6.png"/><Relationship Id="rId34" Type="http://schemas.openxmlformats.org/officeDocument/2006/relationships/image" Target="media/image5.png"/><Relationship Id="rId33" Type="http://schemas.openxmlformats.org/officeDocument/2006/relationships/image" Target="media/image4.png"/><Relationship Id="rId32" Type="http://schemas.openxmlformats.org/officeDocument/2006/relationships/image" Target="media/image3.png"/><Relationship Id="rId31" Type="http://schemas.openxmlformats.org/officeDocument/2006/relationships/image" Target="media/image2.png"/><Relationship Id="rId30" Type="http://schemas.openxmlformats.org/officeDocument/2006/relationships/image" Target="media/image1.png"/><Relationship Id="rId3" Type="http://schemas.openxmlformats.org/officeDocument/2006/relationships/footnotes" Target="footnotes.xml"/><Relationship Id="rId29" Type="http://schemas.openxmlformats.org/officeDocument/2006/relationships/theme" Target="theme/theme1.xml"/><Relationship Id="rId28" Type="http://schemas.openxmlformats.org/officeDocument/2006/relationships/footer" Target="footer14.xml"/><Relationship Id="rId27" Type="http://schemas.openxmlformats.org/officeDocument/2006/relationships/footer" Target="footer13.xml"/><Relationship Id="rId26" Type="http://schemas.openxmlformats.org/officeDocument/2006/relationships/footer" Target="footer12.xml"/><Relationship Id="rId25" Type="http://schemas.openxmlformats.org/officeDocument/2006/relationships/header" Target="header10.xml"/><Relationship Id="rId24" Type="http://schemas.openxmlformats.org/officeDocument/2006/relationships/header" Target="header9.xml"/><Relationship Id="rId23" Type="http://schemas.openxmlformats.org/officeDocument/2006/relationships/header" Target="header8.xml"/><Relationship Id="rId22" Type="http://schemas.openxmlformats.org/officeDocument/2006/relationships/footer" Target="footer11.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footer" Target="footer7.xml"/><Relationship Id="rId16" Type="http://schemas.openxmlformats.org/officeDocument/2006/relationships/header" Target="header6.xml"/><Relationship Id="rId155" Type="http://schemas.openxmlformats.org/officeDocument/2006/relationships/fontTable" Target="fontTable.xml"/><Relationship Id="rId154" Type="http://schemas.openxmlformats.org/officeDocument/2006/relationships/numbering" Target="numbering.xml"/><Relationship Id="rId153" Type="http://schemas.openxmlformats.org/officeDocument/2006/relationships/customXml" Target="../customXml/item1.xml"/><Relationship Id="rId152" Type="http://schemas.openxmlformats.org/officeDocument/2006/relationships/image" Target="media/image91.png"/><Relationship Id="rId151" Type="http://schemas.openxmlformats.org/officeDocument/2006/relationships/image" Target="media/image90.png"/><Relationship Id="rId150" Type="http://schemas.openxmlformats.org/officeDocument/2006/relationships/image" Target="media/image89.png"/><Relationship Id="rId15" Type="http://schemas.openxmlformats.org/officeDocument/2006/relationships/footer" Target="footer6.xml"/><Relationship Id="rId149" Type="http://schemas.openxmlformats.org/officeDocument/2006/relationships/image" Target="media/image88.png"/><Relationship Id="rId148" Type="http://schemas.openxmlformats.org/officeDocument/2006/relationships/image" Target="media/image87.png"/><Relationship Id="rId147" Type="http://schemas.openxmlformats.org/officeDocument/2006/relationships/image" Target="media/image86.png"/><Relationship Id="rId146" Type="http://schemas.openxmlformats.org/officeDocument/2006/relationships/image" Target="media/image85.png"/><Relationship Id="rId145" Type="http://schemas.openxmlformats.org/officeDocument/2006/relationships/image" Target="media/image84.png"/><Relationship Id="rId144" Type="http://schemas.openxmlformats.org/officeDocument/2006/relationships/chart" Target="charts/chart5.xml"/><Relationship Id="rId143" Type="http://schemas.openxmlformats.org/officeDocument/2006/relationships/chart" Target="charts/chart4.xml"/><Relationship Id="rId142" Type="http://schemas.openxmlformats.org/officeDocument/2006/relationships/chart" Target="charts/chart3.xml"/><Relationship Id="rId141" Type="http://schemas.openxmlformats.org/officeDocument/2006/relationships/chart" Target="charts/chart2.xml"/><Relationship Id="rId140" Type="http://schemas.openxmlformats.org/officeDocument/2006/relationships/chart" Target="charts/chart1.xml"/><Relationship Id="rId14" Type="http://schemas.openxmlformats.org/officeDocument/2006/relationships/header" Target="header5.xml"/><Relationship Id="rId139" Type="http://schemas.openxmlformats.org/officeDocument/2006/relationships/image" Target="media/image83.png"/><Relationship Id="rId138" Type="http://schemas.openxmlformats.org/officeDocument/2006/relationships/image" Target="media/image82.wmf"/><Relationship Id="rId137" Type="http://schemas.openxmlformats.org/officeDocument/2006/relationships/image" Target="media/image81.png"/><Relationship Id="rId136" Type="http://schemas.openxmlformats.org/officeDocument/2006/relationships/image" Target="media/image80.png"/><Relationship Id="rId135" Type="http://schemas.openxmlformats.org/officeDocument/2006/relationships/image" Target="media/image79.png"/><Relationship Id="rId134" Type="http://schemas.openxmlformats.org/officeDocument/2006/relationships/image" Target="media/image78.png"/><Relationship Id="rId133" Type="http://schemas.openxmlformats.org/officeDocument/2006/relationships/image" Target="media/image77.png"/><Relationship Id="rId132" Type="http://schemas.openxmlformats.org/officeDocument/2006/relationships/image" Target="media/image76.wmf"/><Relationship Id="rId131" Type="http://schemas.openxmlformats.org/officeDocument/2006/relationships/oleObject" Target="embeddings/oleObject25.bin"/><Relationship Id="rId130" Type="http://schemas.openxmlformats.org/officeDocument/2006/relationships/image" Target="media/image75.wmf"/><Relationship Id="rId13" Type="http://schemas.openxmlformats.org/officeDocument/2006/relationships/footer" Target="footer5.xml"/><Relationship Id="rId129" Type="http://schemas.openxmlformats.org/officeDocument/2006/relationships/oleObject" Target="embeddings/oleObject24.bin"/><Relationship Id="rId128" Type="http://schemas.openxmlformats.org/officeDocument/2006/relationships/image" Target="media/image74.png"/><Relationship Id="rId127" Type="http://schemas.openxmlformats.org/officeDocument/2006/relationships/image" Target="media/image73.png"/><Relationship Id="rId126" Type="http://schemas.openxmlformats.org/officeDocument/2006/relationships/image" Target="media/image72.png"/><Relationship Id="rId125" Type="http://schemas.openxmlformats.org/officeDocument/2006/relationships/image" Target="media/image71.png"/><Relationship Id="rId124" Type="http://schemas.openxmlformats.org/officeDocument/2006/relationships/image" Target="media/image70.wmf"/><Relationship Id="rId123" Type="http://schemas.openxmlformats.org/officeDocument/2006/relationships/image" Target="media/image69.png"/><Relationship Id="rId122" Type="http://schemas.openxmlformats.org/officeDocument/2006/relationships/image" Target="media/image68.jpeg"/><Relationship Id="rId121" Type="http://schemas.openxmlformats.org/officeDocument/2006/relationships/image" Target="media/image67.wmf"/><Relationship Id="rId120" Type="http://schemas.openxmlformats.org/officeDocument/2006/relationships/oleObject" Target="embeddings/oleObject23.bin"/><Relationship Id="rId12" Type="http://schemas.openxmlformats.org/officeDocument/2006/relationships/footer" Target="footer4.xml"/><Relationship Id="rId119" Type="http://schemas.openxmlformats.org/officeDocument/2006/relationships/image" Target="media/image66.wmf"/><Relationship Id="rId118" Type="http://schemas.openxmlformats.org/officeDocument/2006/relationships/oleObject" Target="embeddings/oleObject22.bin"/><Relationship Id="rId117" Type="http://schemas.openxmlformats.org/officeDocument/2006/relationships/image" Target="media/image65.wmf"/><Relationship Id="rId116" Type="http://schemas.openxmlformats.org/officeDocument/2006/relationships/oleObject" Target="embeddings/oleObject21.bin"/><Relationship Id="rId115" Type="http://schemas.openxmlformats.org/officeDocument/2006/relationships/image" Target="media/image64.wmf"/><Relationship Id="rId114" Type="http://schemas.openxmlformats.org/officeDocument/2006/relationships/oleObject" Target="embeddings/oleObject20.bin"/><Relationship Id="rId113" Type="http://schemas.openxmlformats.org/officeDocument/2006/relationships/image" Target="media/image63.jpeg"/><Relationship Id="rId112" Type="http://schemas.openxmlformats.org/officeDocument/2006/relationships/image" Target="media/image62.jpeg"/><Relationship Id="rId111" Type="http://schemas.openxmlformats.org/officeDocument/2006/relationships/image" Target="media/image61.png"/><Relationship Id="rId110" Type="http://schemas.openxmlformats.org/officeDocument/2006/relationships/image" Target="media/image60.jpeg"/><Relationship Id="rId11" Type="http://schemas.openxmlformats.org/officeDocument/2006/relationships/header" Target="header4.xml"/><Relationship Id="rId109" Type="http://schemas.openxmlformats.org/officeDocument/2006/relationships/image" Target="media/image59.jpeg"/><Relationship Id="rId108" Type="http://schemas.openxmlformats.org/officeDocument/2006/relationships/image" Target="media/image58.png"/><Relationship Id="rId107" Type="http://schemas.openxmlformats.org/officeDocument/2006/relationships/oleObject" Target="embeddings/oleObject19.bin"/><Relationship Id="rId106" Type="http://schemas.openxmlformats.org/officeDocument/2006/relationships/oleObject" Target="embeddings/oleObject18.bin"/><Relationship Id="rId105" Type="http://schemas.openxmlformats.org/officeDocument/2006/relationships/image" Target="media/image57.wmf"/><Relationship Id="rId104" Type="http://schemas.openxmlformats.org/officeDocument/2006/relationships/oleObject" Target="embeddings/oleObject17.bin"/><Relationship Id="rId103" Type="http://schemas.openxmlformats.org/officeDocument/2006/relationships/image" Target="media/image56.wmf"/><Relationship Id="rId102" Type="http://schemas.openxmlformats.org/officeDocument/2006/relationships/oleObject" Target="embeddings/oleObject16.bin"/><Relationship Id="rId101" Type="http://schemas.openxmlformats.org/officeDocument/2006/relationships/image" Target="media/image55.wmf"/><Relationship Id="rId100" Type="http://schemas.openxmlformats.org/officeDocument/2006/relationships/oleObject" Target="embeddings/oleObject15.bin"/><Relationship Id="rId10" Type="http://schemas.openxmlformats.org/officeDocument/2006/relationships/footer" Target="footer3.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E:\&#31119;&#28165;&#36947;&#36335;&#8212;&#8212;G324&#22269;&#36947;&#33267;&#40644;&#27287;&#23665;&#19975;&#31119;&#23546;&#26053;&#28216;&#20844;&#36335;\&#22122;&#22768;&#39044;&#27979;&#24213;&#22270;\60km&#22122;&#22768;&#39044;&#27979;&#65288;&#26032;&#8212;&#8212;&#36710;&#27969;&#37327;&#25353;&#29031;&#24635;&#30340;&#65289;&#8212;&#8212;&#32463;&#39564;.xlsm"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E:\&#31119;&#28165;&#36947;&#36335;&#8212;&#8212;G324&#22269;&#36947;&#33267;&#40644;&#27287;&#23665;&#19975;&#31119;&#23546;&#26053;&#28216;&#20844;&#36335;\&#22122;&#22768;&#39044;&#27979;&#24213;&#22270;\60km&#22122;&#22768;&#39044;&#27979;&#65288;&#26032;&#8212;&#8212;&#36710;&#27969;&#37327;&#25353;&#29031;&#24635;&#30340;&#65289;&#8212;&#8212;&#32463;&#39564;.xlsm"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31119;&#28165;&#36947;&#36335;&#8212;&#8212;G324&#22269;&#36947;&#33267;&#40644;&#27287;&#23665;&#19975;&#31119;&#23546;&#26053;&#28216;&#20844;&#36335;\&#22122;&#22768;&#39044;&#27979;&#24213;&#22270;\60km&#22122;&#22768;&#39044;&#27979;&#65288;&#26032;&#8212;&#8212;&#36710;&#27969;&#37327;&#25353;&#29031;&#24635;&#30340;&#65289;&#8212;&#8212;&#32463;&#39564;.xlsm"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E:\&#31119;&#28165;&#36947;&#36335;&#8212;&#8212;G324&#22269;&#36947;&#33267;&#40644;&#27287;&#23665;&#19975;&#31119;&#23546;&#26053;&#28216;&#20844;&#36335;\&#22122;&#22768;&#39044;&#27979;&#24213;&#22270;\60km&#22122;&#22768;&#39044;&#27979;&#65288;&#26032;&#8212;&#8212;&#36710;&#27969;&#37327;&#25353;&#29031;&#24635;&#30340;&#65289;&#8212;&#8212;&#32463;&#39564;.xlsm"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E:\&#31119;&#28165;&#36947;&#36335;&#8212;&#8212;G324&#22269;&#36947;&#33267;&#40644;&#27287;&#23665;&#19975;&#31119;&#23546;&#26053;&#28216;&#20844;&#36335;\&#22122;&#22768;&#39044;&#27979;&#24213;&#22270;\60km&#22122;&#22768;&#39044;&#27979;&#65288;&#26032;&#8212;&#8212;&#36710;&#27969;&#37327;&#25353;&#29031;&#24635;&#30340;&#65289;&#8212;&#8212;&#32463;&#39564;.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'＞48水平'!$B$92</c:f>
              <c:strCache>
                <c:ptCount val="1"/>
                <c:pt idx="0">
                  <c:v>昼间</c:v>
                </c:pt>
              </c:strCache>
            </c:strRef>
          </c:tx>
          <c:spPr>
            <a:ln w="25400" cap="rnd" cmpd="sng" algn="ctr">
              <a:solidFill>
                <a:srgbClr val="FF00FF"/>
              </a:solidFill>
              <a:prstDash val="solid"/>
              <a:round/>
            </a:ln>
          </c:spPr>
          <c:marker>
            <c:symbol val="diamond"/>
            <c:size val="7"/>
            <c:spPr>
              <a:solidFill>
                <a:srgbClr val="FF00FF"/>
              </a:solidFill>
              <a:ln w="6350" cap="flat" cmpd="sng" algn="ctr">
                <a:noFill/>
                <a:prstDash val="solid"/>
                <a:round/>
              </a:ln>
            </c:spPr>
          </c:marker>
          <c:dLbls>
            <c:delete val="1"/>
          </c:dLbls>
          <c:xVal>
            <c:numRef>
              <c:f>'＞48水平'!$C$91:$N$91</c:f>
              <c:numCache>
                <c:formatCode>0.00</c:formatCode>
                <c:ptCount val="12"/>
                <c:pt idx="0">
                  <c:v>10</c:v>
                </c:pt>
                <c:pt idx="1" c:formatCode="General">
                  <c:v>20</c:v>
                </c:pt>
                <c:pt idx="2" c:formatCode="General">
                  <c:v>30</c:v>
                </c:pt>
                <c:pt idx="3" c:formatCode="General">
                  <c:v>40</c:v>
                </c:pt>
                <c:pt idx="4" c:formatCode="General">
                  <c:v>50</c:v>
                </c:pt>
                <c:pt idx="5" c:formatCode="General">
                  <c:v>60</c:v>
                </c:pt>
                <c:pt idx="6" c:formatCode="General">
                  <c:v>80</c:v>
                </c:pt>
                <c:pt idx="7" c:formatCode="General">
                  <c:v>100</c:v>
                </c:pt>
                <c:pt idx="8" c:formatCode="General">
                  <c:v>120</c:v>
                </c:pt>
                <c:pt idx="9" c:formatCode="General">
                  <c:v>160</c:v>
                </c:pt>
                <c:pt idx="10" c:formatCode="General">
                  <c:v>200</c:v>
                </c:pt>
                <c:pt idx="11" c:formatCode="General">
                  <c:v>200</c:v>
                </c:pt>
              </c:numCache>
            </c:numRef>
          </c:xVal>
          <c:yVal>
            <c:numRef>
              <c:f>'＞48水平'!$C$92:$N$92</c:f>
              <c:numCache>
                <c:formatCode>0.0_ </c:formatCode>
                <c:ptCount val="12"/>
                <c:pt idx="0">
                  <c:v>66.1985418539497</c:v>
                </c:pt>
                <c:pt idx="1">
                  <c:v>60.53509191899</c:v>
                </c:pt>
                <c:pt idx="2">
                  <c:v>56.2557230331548</c:v>
                </c:pt>
                <c:pt idx="3">
                  <c:v>53.6923919840303</c:v>
                </c:pt>
                <c:pt idx="4">
                  <c:v>51.8599917889094</c:v>
                </c:pt>
                <c:pt idx="5">
                  <c:v>50.4296064315284</c:v>
                </c:pt>
                <c:pt idx="6">
                  <c:v>48.2527545490706</c:v>
                </c:pt>
                <c:pt idx="7">
                  <c:v>46.6065418539497</c:v>
                </c:pt>
                <c:pt idx="8">
                  <c:v>45.2765731632353</c:v>
                </c:pt>
                <c:pt idx="9">
                  <c:v>43.1880702391108</c:v>
                </c:pt>
                <c:pt idx="10">
                  <c:v>41.56384191899</c:v>
                </c:pt>
                <c:pt idx="11">
                  <c:v>41.56384191899</c:v>
                </c:pt>
              </c:numCache>
            </c:numRef>
          </c:yVal>
          <c:smooth val="1"/>
        </c:ser>
        <c:ser>
          <c:idx val="1"/>
          <c:order val="1"/>
          <c:tx>
            <c:strRef>
              <c:f>夜间</c:f>
              <c:strCache>
                <c:ptCount val="1"/>
                <c:pt idx="0">
                  <c:v>夜间</c:v>
                </c:pt>
              </c:strCache>
            </c:strRef>
          </c:tx>
          <c:spPr>
            <a:ln w="25400" cap="rnd" cmpd="sng" algn="ctr">
              <a:solidFill>
                <a:srgbClr val="0000FF"/>
              </a:solidFill>
              <a:prstDash val="solid"/>
              <a:round/>
            </a:ln>
          </c:spPr>
          <c:marker>
            <c:spPr>
              <a:solidFill>
                <a:srgbClr val="0000FF"/>
              </a:solidFill>
              <a:ln w="6350" cap="flat" cmpd="sng" algn="ctr">
                <a:noFill/>
                <a:prstDash val="solid"/>
                <a:round/>
              </a:ln>
            </c:spPr>
          </c:marker>
          <c:dLbls>
            <c:delete val="1"/>
          </c:dLbls>
          <c:xVal>
            <c:numRef>
              <c:f>'＞48水平'!$C$91:$N$91</c:f>
              <c:numCache>
                <c:formatCode>0.00</c:formatCode>
                <c:ptCount val="12"/>
                <c:pt idx="0">
                  <c:v>10</c:v>
                </c:pt>
                <c:pt idx="1" c:formatCode="General">
                  <c:v>20</c:v>
                </c:pt>
                <c:pt idx="2" c:formatCode="General">
                  <c:v>30</c:v>
                </c:pt>
                <c:pt idx="3" c:formatCode="General">
                  <c:v>40</c:v>
                </c:pt>
                <c:pt idx="4" c:formatCode="General">
                  <c:v>50</c:v>
                </c:pt>
                <c:pt idx="5" c:formatCode="General">
                  <c:v>60</c:v>
                </c:pt>
                <c:pt idx="6" c:formatCode="General">
                  <c:v>80</c:v>
                </c:pt>
                <c:pt idx="7" c:formatCode="General">
                  <c:v>100</c:v>
                </c:pt>
                <c:pt idx="8" c:formatCode="General">
                  <c:v>120</c:v>
                </c:pt>
                <c:pt idx="9" c:formatCode="General">
                  <c:v>160</c:v>
                </c:pt>
                <c:pt idx="10" c:formatCode="General">
                  <c:v>200</c:v>
                </c:pt>
                <c:pt idx="11" c:formatCode="General">
                  <c:v>200</c:v>
                </c:pt>
              </c:numCache>
            </c:numRef>
          </c:xVal>
          <c:yVal>
            <c:numRef>
              <c:f>'＞48水平'!$C$95:$N$95</c:f>
              <c:numCache>
                <c:formatCode>0.0_ </c:formatCode>
                <c:ptCount val="12"/>
                <c:pt idx="0">
                  <c:v>59.0597437199436</c:v>
                </c:pt>
                <c:pt idx="1">
                  <c:v>53.3962937849839</c:v>
                </c:pt>
                <c:pt idx="2">
                  <c:v>49.1169248991486</c:v>
                </c:pt>
                <c:pt idx="3">
                  <c:v>46.5535938500241</c:v>
                </c:pt>
                <c:pt idx="4">
                  <c:v>44.7211936549033</c:v>
                </c:pt>
                <c:pt idx="5">
                  <c:v>43.2908082975223</c:v>
                </c:pt>
                <c:pt idx="6">
                  <c:v>41.1139564150644</c:v>
                </c:pt>
                <c:pt idx="7">
                  <c:v>39.4677437199436</c:v>
                </c:pt>
                <c:pt idx="8">
                  <c:v>38.1377750292292</c:v>
                </c:pt>
                <c:pt idx="9">
                  <c:v>36.0492721051047</c:v>
                </c:pt>
                <c:pt idx="10">
                  <c:v>34.4250437849839</c:v>
                </c:pt>
                <c:pt idx="11">
                  <c:v>34.4250437849839</c:v>
                </c:pt>
              </c:numCache>
            </c:numRef>
          </c:yVal>
          <c:smooth val="1"/>
        </c:ser>
        <c:dLbls>
          <c:showLegendKey val="0"/>
          <c:showVal val="0"/>
          <c:showCatName val="0"/>
          <c:showSerName val="0"/>
          <c:showPercent val="0"/>
          <c:showBubbleSize val="0"/>
        </c:dLbls>
        <c:axId val="98672000"/>
        <c:axId val="98678656"/>
      </c:scatterChart>
      <c:valAx>
        <c:axId val="98672000"/>
        <c:scaling>
          <c:orientation val="minMax"/>
          <c:max val="200"/>
          <c:min val="20"/>
        </c:scaling>
        <c:delete val="0"/>
        <c:axPos val="b"/>
        <c:majorGridlines>
          <c:spPr>
            <a:ln w="6350" cap="flat" cmpd="sng" algn="ctr">
              <a:solidFill>
                <a:schemeClr val="tx1">
                  <a:lumMod val="50000"/>
                  <a:lumOff val="50000"/>
                  <a:alpha val="30000"/>
                </a:schemeClr>
              </a:solidFill>
              <a:prstDash val="solid"/>
              <a:round/>
            </a:ln>
          </c:spPr>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zh-CN" sz="1000" b="1" i="0" baseline="0">
                    <a:effectLst/>
                  </a:rPr>
                  <a:t>预测点距道路中心线距离（</a:t>
                </a:r>
                <a:r>
                  <a:rPr lang="en-US" altLang="zh-CN" sz="1000" b="1" i="0" baseline="0">
                    <a:effectLst/>
                  </a:rPr>
                  <a:t>m</a:t>
                </a:r>
                <a:r>
                  <a:rPr lang="zh-CN" altLang="zh-CN" sz="1000" b="1" i="0" baseline="0">
                    <a:effectLst/>
                  </a:rPr>
                  <a:t>）</a:t>
                </a:r>
                <a:endParaRPr lang="zh-CN" altLang="zh-CN" sz="1000">
                  <a:effectLst/>
                </a:endParaRPr>
              </a:p>
            </c:rich>
          </c:tx>
          <c:layout/>
          <c:overlay val="0"/>
        </c:title>
        <c:numFmt formatCode="General" sourceLinked="0"/>
        <c:majorTickMark val="none"/>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98678656"/>
        <c:crosses val="autoZero"/>
        <c:crossBetween val="midCat"/>
        <c:majorUnit val="20"/>
      </c:valAx>
      <c:valAx>
        <c:axId val="98678656"/>
        <c:scaling>
          <c:orientation val="minMax"/>
          <c:max val="65"/>
          <c:min val="30"/>
        </c:scaling>
        <c:delete val="0"/>
        <c:axPos val="l"/>
        <c:majorGridlines>
          <c:spPr>
            <a:ln w="6350" cap="flat" cmpd="sng" algn="ctr">
              <a:solidFill>
                <a:schemeClr val="tx1">
                  <a:lumMod val="50000"/>
                  <a:lumOff val="50000"/>
                  <a:alpha val="40000"/>
                </a:schemeClr>
              </a:solidFill>
              <a:prstDash val="solid"/>
              <a:round/>
            </a:ln>
          </c:spPr>
        </c:majorGridlines>
        <c:title>
          <c:tx>
            <c:rich>
              <a:bodyPr rot="-5400000" spcFirstLastPara="0" vertOverflow="ellipsis" vert="horz" wrap="square" anchor="ctr" anchorCtr="1"/>
              <a:lstStyle/>
              <a:p>
                <a:pPr>
                  <a:defRPr lang="zh-CN" sz="1100" b="1" i="0" u="none" strike="noStrike" kern="1200" baseline="0">
                    <a:solidFill>
                      <a:schemeClr val="tx1"/>
                    </a:solidFill>
                    <a:latin typeface="+mn-ea"/>
                    <a:ea typeface="+mn-ea"/>
                    <a:cs typeface="+mn-cs"/>
                  </a:defRPr>
                </a:pPr>
                <a:r>
                  <a:rPr lang="zh-CN" altLang="zh-CN" sz="1100" b="1" i="0" u="none" strike="noStrike" baseline="0">
                    <a:effectLst/>
                    <a:latin typeface="+mj-ea"/>
                    <a:ea typeface="+mj-ea"/>
                  </a:rPr>
                  <a:t>交通噪声预测值</a:t>
                </a:r>
                <a:r>
                  <a:rPr lang="en-US" altLang="zh-CN" sz="1100" b="1" i="0" u="none" strike="noStrike" baseline="0">
                    <a:effectLst/>
                    <a:latin typeface="+mj-ea"/>
                    <a:ea typeface="+mj-ea"/>
                  </a:rPr>
                  <a:t>dB(A</a:t>
                </a:r>
                <a:r>
                  <a:rPr lang="zh-CN" altLang="en-US" sz="1100" b="1" i="0" u="none" strike="noStrike" baseline="0">
                    <a:effectLst/>
                    <a:latin typeface="+mj-ea"/>
                    <a:ea typeface="+mj-ea"/>
                  </a:rPr>
                  <a:t>）</a:t>
                </a:r>
                <a:endParaRPr lang="zh-CN" altLang="en-US" sz="1100">
                  <a:latin typeface="+mj-ea"/>
                  <a:ea typeface="+mj-ea"/>
                </a:endParaRPr>
              </a:p>
            </c:rich>
          </c:tx>
          <c:layout/>
          <c:overlay val="0"/>
        </c:title>
        <c:numFmt formatCode="General" sourceLinked="0"/>
        <c:majorTickMark val="none"/>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98672000"/>
        <c:crosses val="autoZero"/>
        <c:crossBetween val="midCat"/>
        <c:majorUnit val="5"/>
      </c:valAx>
    </c:plotArea>
    <c:legend>
      <c:legendPos val="r"/>
      <c:layout>
        <c:manualLayout>
          <c:xMode val="edge"/>
          <c:yMode val="edge"/>
          <c:x val="0.828966658598821"/>
          <c:y val="0.424654527559055"/>
          <c:w val="0.156780562951081"/>
          <c:h val="0.15069094488189"/>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dda1c61e-9e04-4e99-91e1-f80ef55fe39b}"/>
      </c:ext>
    </c:extLst>
  </c:chart>
  <c:txPr>
    <a:bodyPr/>
    <a:lstStyle/>
    <a:p>
      <a:pPr>
        <a:defRPr lang="zh-CN"/>
      </a:pPr>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25400" cap="rnd" cmpd="sng" algn="ctr">
              <a:solidFill>
                <a:srgbClr val="FF00FF"/>
              </a:solidFill>
              <a:prstDash val="solid"/>
              <a:round/>
            </a:ln>
          </c:spPr>
          <c:marker>
            <c:symbol val="diamond"/>
            <c:size val="7"/>
            <c:spPr>
              <a:solidFill>
                <a:srgbClr val="FF00FF"/>
              </a:solidFill>
              <a:ln w="6350" cap="flat" cmpd="sng" algn="ctr">
                <a:noFill/>
                <a:prstDash val="solid"/>
                <a:round/>
              </a:ln>
            </c:spPr>
          </c:marker>
          <c:dLbls>
            <c:delete val="1"/>
          </c:dLbls>
          <c:xVal>
            <c:numRef>
              <c:f>'＞48水平'!$C$91:$N$91</c:f>
              <c:numCache>
                <c:formatCode>0.00</c:formatCode>
                <c:ptCount val="12"/>
                <c:pt idx="0">
                  <c:v>10</c:v>
                </c:pt>
                <c:pt idx="1" c:formatCode="General">
                  <c:v>20</c:v>
                </c:pt>
                <c:pt idx="2" c:formatCode="General">
                  <c:v>30</c:v>
                </c:pt>
                <c:pt idx="3" c:formatCode="General">
                  <c:v>40</c:v>
                </c:pt>
                <c:pt idx="4" c:formatCode="General">
                  <c:v>50</c:v>
                </c:pt>
                <c:pt idx="5" c:formatCode="General">
                  <c:v>60</c:v>
                </c:pt>
                <c:pt idx="6" c:formatCode="General">
                  <c:v>80</c:v>
                </c:pt>
                <c:pt idx="7" c:formatCode="General">
                  <c:v>100</c:v>
                </c:pt>
                <c:pt idx="8" c:formatCode="General">
                  <c:v>120</c:v>
                </c:pt>
                <c:pt idx="9" c:formatCode="General">
                  <c:v>160</c:v>
                </c:pt>
                <c:pt idx="10" c:formatCode="General">
                  <c:v>200</c:v>
                </c:pt>
                <c:pt idx="11" c:formatCode="General">
                  <c:v>200</c:v>
                </c:pt>
              </c:numCache>
            </c:numRef>
          </c:xVal>
          <c:yVal>
            <c:numRef>
              <c:f>'＞48水平'!$C$94:$N$94</c:f>
              <c:numCache>
                <c:formatCode>0.0_ </c:formatCode>
                <c:ptCount val="12"/>
                <c:pt idx="0">
                  <c:v>67.2811158498814</c:v>
                </c:pt>
                <c:pt idx="1">
                  <c:v>63.1228158932416</c:v>
                </c:pt>
                <c:pt idx="2">
                  <c:v>59.7239033026848</c:v>
                </c:pt>
                <c:pt idx="3">
                  <c:v>57.7852659366018</c:v>
                </c:pt>
                <c:pt idx="4">
                  <c:v>56.4374158065212</c:v>
                </c:pt>
                <c:pt idx="5">
                  <c:v>55.4029366793783</c:v>
                </c:pt>
                <c:pt idx="6">
                  <c:v>53.850778479962</c:v>
                </c:pt>
                <c:pt idx="7">
                  <c:v>52.6891158498814</c:v>
                </c:pt>
                <c:pt idx="8">
                  <c:v>51.7550533894051</c:v>
                </c:pt>
                <c:pt idx="9">
                  <c:v>50.2912441483221</c:v>
                </c:pt>
                <c:pt idx="10">
                  <c:v>49.1515658932416</c:v>
                </c:pt>
                <c:pt idx="11">
                  <c:v>49.1515658932416</c:v>
                </c:pt>
              </c:numCache>
            </c:numRef>
          </c:yVal>
          <c:smooth val="1"/>
          <c:extLst>
            <c:ext xmlns:c15="http://schemas.microsoft.com/office/drawing/2012/chart" uri="{02D57815-91ED-43cb-92C2-25804820EDAC}">
              <c15:filteredSeriesTitle>
                <c15:tx>
                  <c:strRef>
                    <c:extLst>
                      <c:ext uri="{02D57815-91ED-43cb-92C2-25804820EDAC}">
                        <c15:formulaRef>
                          <c15:sqref>昼间</c15:sqref>
                        </c15:formulaRef>
                      </c:ext>
                    </c:extLst>
                    <c:strCache>
                      <c:ptCount val="1"/>
                      <c:pt idx="0">
                        <c:v>昼间</c:v>
                      </c:pt>
                    </c:strCache>
                  </c:strRef>
                </c15:tx>
              </c15:filteredSeriesTitle>
            </c:ext>
          </c:extLst>
        </c:ser>
        <c:ser>
          <c:idx val="1"/>
          <c:order val="1"/>
          <c:spPr>
            <a:ln w="25400" cap="rnd" cmpd="sng" algn="ctr">
              <a:solidFill>
                <a:srgbClr val="0000FF"/>
              </a:solidFill>
              <a:prstDash val="solid"/>
              <a:round/>
            </a:ln>
          </c:spPr>
          <c:marker>
            <c:spPr>
              <a:solidFill>
                <a:srgbClr val="0000FF"/>
              </a:solidFill>
              <a:ln w="6350" cap="flat" cmpd="sng" algn="ctr">
                <a:noFill/>
                <a:prstDash val="solid"/>
                <a:round/>
              </a:ln>
            </c:spPr>
          </c:marker>
          <c:dLbls>
            <c:delete val="1"/>
          </c:dLbls>
          <c:xVal>
            <c:numRef>
              <c:f>'＞48水平'!$C$91:$N$91</c:f>
              <c:numCache>
                <c:formatCode>0.00</c:formatCode>
                <c:ptCount val="12"/>
                <c:pt idx="0">
                  <c:v>10</c:v>
                </c:pt>
                <c:pt idx="1" c:formatCode="General">
                  <c:v>20</c:v>
                </c:pt>
                <c:pt idx="2" c:formatCode="General">
                  <c:v>30</c:v>
                </c:pt>
                <c:pt idx="3" c:formatCode="General">
                  <c:v>40</c:v>
                </c:pt>
                <c:pt idx="4" c:formatCode="General">
                  <c:v>50</c:v>
                </c:pt>
                <c:pt idx="5" c:formatCode="General">
                  <c:v>60</c:v>
                </c:pt>
                <c:pt idx="6" c:formatCode="General">
                  <c:v>80</c:v>
                </c:pt>
                <c:pt idx="7" c:formatCode="General">
                  <c:v>100</c:v>
                </c:pt>
                <c:pt idx="8" c:formatCode="General">
                  <c:v>120</c:v>
                </c:pt>
                <c:pt idx="9" c:formatCode="General">
                  <c:v>160</c:v>
                </c:pt>
                <c:pt idx="10" c:formatCode="General">
                  <c:v>200</c:v>
                </c:pt>
                <c:pt idx="11" c:formatCode="General">
                  <c:v>200</c:v>
                </c:pt>
              </c:numCache>
            </c:numRef>
          </c:xVal>
          <c:yVal>
            <c:numRef>
              <c:f>'＞48水平'!$C$95:$N$95</c:f>
              <c:numCache>
                <c:formatCode>0.0_ </c:formatCode>
                <c:ptCount val="12"/>
                <c:pt idx="0">
                  <c:v>59.0597437199436</c:v>
                </c:pt>
                <c:pt idx="1">
                  <c:v>53.3962937849839</c:v>
                </c:pt>
                <c:pt idx="2">
                  <c:v>49.1169248991486</c:v>
                </c:pt>
                <c:pt idx="3">
                  <c:v>46.5535938500241</c:v>
                </c:pt>
                <c:pt idx="4">
                  <c:v>44.7211936549033</c:v>
                </c:pt>
                <c:pt idx="5">
                  <c:v>43.2908082975223</c:v>
                </c:pt>
                <c:pt idx="6">
                  <c:v>41.1139564150644</c:v>
                </c:pt>
                <c:pt idx="7">
                  <c:v>39.4677437199436</c:v>
                </c:pt>
                <c:pt idx="8">
                  <c:v>38.1377750292292</c:v>
                </c:pt>
                <c:pt idx="9">
                  <c:v>36.0492721051047</c:v>
                </c:pt>
                <c:pt idx="10">
                  <c:v>34.4250437849839</c:v>
                </c:pt>
                <c:pt idx="11">
                  <c:v>34.4250437849839</c:v>
                </c:pt>
              </c:numCache>
            </c:numRef>
          </c:yVal>
          <c:smooth val="1"/>
          <c:extLst>
            <c:ext xmlns:c15="http://schemas.microsoft.com/office/drawing/2012/chart" uri="{02D57815-91ED-43cb-92C2-25804820EDAC}">
              <c15:filteredSeriesTitle>
                <c15:tx>
                  <c:strRef>
                    <c:extLst>
                      <c:ext uri="{02D57815-91ED-43cb-92C2-25804820EDAC}">
                        <c15:formulaRef>
                          <c15:sqref>夜间</c15:sqref>
                        </c15:formulaRef>
                      </c:ext>
                    </c:extLst>
                    <c:strCache>
                      <c:ptCount val="1"/>
                      <c:pt idx="0">
                        <c:v>夜间</c:v>
                      </c:pt>
                    </c:strCache>
                  </c:strRef>
                </c15:tx>
              </c15:filteredSeriesTitle>
            </c:ext>
          </c:extLst>
        </c:ser>
        <c:dLbls>
          <c:showLegendKey val="0"/>
          <c:showVal val="0"/>
          <c:showCatName val="0"/>
          <c:showSerName val="0"/>
          <c:showPercent val="0"/>
          <c:showBubbleSize val="0"/>
        </c:dLbls>
        <c:axId val="98672000"/>
        <c:axId val="98678656"/>
      </c:scatterChart>
      <c:valAx>
        <c:axId val="98672000"/>
        <c:scaling>
          <c:orientation val="minMax"/>
          <c:max val="200"/>
          <c:min val="20"/>
        </c:scaling>
        <c:delete val="0"/>
        <c:axPos val="b"/>
        <c:majorGridlines>
          <c:spPr>
            <a:ln w="6350" cap="flat" cmpd="sng" algn="ctr">
              <a:solidFill>
                <a:schemeClr val="tx1">
                  <a:lumMod val="50000"/>
                  <a:lumOff val="50000"/>
                  <a:alpha val="30000"/>
                </a:schemeClr>
              </a:solidFill>
              <a:prstDash val="solid"/>
              <a:round/>
            </a:ln>
          </c:spPr>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zh-CN" sz="1000" b="1" i="0" baseline="0">
                    <a:effectLst/>
                  </a:rPr>
                  <a:t>预测点距道路中心线距离（</a:t>
                </a:r>
                <a:r>
                  <a:rPr lang="en-US" altLang="zh-CN" sz="1000" b="1" i="0" baseline="0">
                    <a:effectLst/>
                  </a:rPr>
                  <a:t>m</a:t>
                </a:r>
                <a:r>
                  <a:rPr lang="zh-CN" altLang="zh-CN" sz="1000" b="1" i="0" baseline="0">
                    <a:effectLst/>
                  </a:rPr>
                  <a:t>）</a:t>
                </a:r>
                <a:endParaRPr lang="zh-CN" altLang="zh-CN" sz="1000">
                  <a:effectLst/>
                </a:endParaRPr>
              </a:p>
            </c:rich>
          </c:tx>
          <c:layout/>
          <c:overlay val="0"/>
        </c:title>
        <c:numFmt formatCode="General" sourceLinked="0"/>
        <c:majorTickMark val="none"/>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98678656"/>
        <c:crosses val="autoZero"/>
        <c:crossBetween val="midCat"/>
        <c:majorUnit val="20"/>
      </c:valAx>
      <c:valAx>
        <c:axId val="98678656"/>
        <c:scaling>
          <c:orientation val="minMax"/>
          <c:max val="70"/>
          <c:min val="30"/>
        </c:scaling>
        <c:delete val="0"/>
        <c:axPos val="l"/>
        <c:majorGridlines>
          <c:spPr>
            <a:ln w="6350" cap="flat" cmpd="sng" algn="ctr">
              <a:solidFill>
                <a:schemeClr val="tx1">
                  <a:lumMod val="50000"/>
                  <a:lumOff val="50000"/>
                  <a:alpha val="40000"/>
                </a:schemeClr>
              </a:solidFill>
              <a:prstDash val="solid"/>
              <a:round/>
            </a:ln>
          </c:spPr>
        </c:majorGridlines>
        <c:title>
          <c:tx>
            <c:rich>
              <a:bodyPr rot="-5400000" spcFirstLastPara="0" vertOverflow="ellipsis" vert="horz" wrap="square" anchor="ctr" anchorCtr="1"/>
              <a:lstStyle/>
              <a:p>
                <a:pPr>
                  <a:defRPr lang="zh-CN" sz="1100" b="1" i="0" u="none" strike="noStrike" kern="1200" baseline="0">
                    <a:solidFill>
                      <a:schemeClr val="tx1"/>
                    </a:solidFill>
                    <a:latin typeface="+mn-ea"/>
                    <a:ea typeface="+mn-ea"/>
                    <a:cs typeface="+mn-cs"/>
                  </a:defRPr>
                </a:pPr>
                <a:r>
                  <a:rPr lang="zh-CN" altLang="zh-CN" sz="1100" b="1" i="0" u="none" strike="noStrike" baseline="0">
                    <a:effectLst/>
                    <a:latin typeface="+mj-ea"/>
                    <a:ea typeface="+mj-ea"/>
                  </a:rPr>
                  <a:t>交通噪声预测值</a:t>
                </a:r>
                <a:r>
                  <a:rPr lang="en-US" altLang="zh-CN" sz="1100" b="1" i="0" u="none" strike="noStrike" baseline="0">
                    <a:effectLst/>
                    <a:latin typeface="+mj-ea"/>
                    <a:ea typeface="+mj-ea"/>
                  </a:rPr>
                  <a:t>dB(A</a:t>
                </a:r>
                <a:r>
                  <a:rPr lang="zh-CN" altLang="en-US" sz="1100" b="1" i="0" u="none" strike="noStrike" baseline="0">
                    <a:effectLst/>
                    <a:latin typeface="+mj-ea"/>
                    <a:ea typeface="+mj-ea"/>
                  </a:rPr>
                  <a:t>）</a:t>
                </a:r>
                <a:endParaRPr lang="zh-CN" altLang="en-US" sz="1100">
                  <a:latin typeface="+mj-ea"/>
                  <a:ea typeface="+mj-ea"/>
                </a:endParaRPr>
              </a:p>
            </c:rich>
          </c:tx>
          <c:layout/>
          <c:overlay val="0"/>
        </c:title>
        <c:numFmt formatCode="General" sourceLinked="0"/>
        <c:majorTickMark val="none"/>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98672000"/>
        <c:crosses val="autoZero"/>
        <c:crossBetween val="midCat"/>
        <c:majorUnit val="5"/>
      </c:valAx>
    </c:plotArea>
    <c:legend>
      <c:legendPos val="r"/>
      <c:layout>
        <c:manualLayout>
          <c:xMode val="edge"/>
          <c:yMode val="edge"/>
          <c:x val="0.828966658598821"/>
          <c:y val="0.424654527559055"/>
          <c:w val="0.156780562951081"/>
          <c:h val="0.15069094488189"/>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27c707ee-ec10-4721-ba72-edc388e72020}"/>
      </c:ext>
    </c:extLst>
  </c:chart>
  <c:txPr>
    <a:bodyPr/>
    <a:lstStyle/>
    <a:p>
      <a:pPr>
        <a:defRPr lang="zh-CN"/>
      </a:pPr>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25400" cap="rnd" cmpd="sng" algn="ctr">
              <a:solidFill>
                <a:srgbClr val="FF00FF"/>
              </a:solidFill>
              <a:prstDash val="solid"/>
              <a:round/>
            </a:ln>
          </c:spPr>
          <c:marker>
            <c:symbol val="diamond"/>
            <c:size val="7"/>
            <c:spPr>
              <a:solidFill>
                <a:srgbClr val="FF00FF"/>
              </a:solidFill>
              <a:ln w="6350" cap="flat" cmpd="sng" algn="ctr">
                <a:noFill/>
                <a:prstDash val="solid"/>
                <a:round/>
              </a:ln>
            </c:spPr>
          </c:marker>
          <c:dLbls>
            <c:delete val="1"/>
          </c:dLbls>
          <c:xVal>
            <c:numRef>
              <c:f>'＞48水平'!$C$91:$N$91</c:f>
              <c:numCache>
                <c:formatCode>0.00</c:formatCode>
                <c:ptCount val="12"/>
                <c:pt idx="0">
                  <c:v>10</c:v>
                </c:pt>
                <c:pt idx="1" c:formatCode="General">
                  <c:v>20</c:v>
                </c:pt>
                <c:pt idx="2" c:formatCode="General">
                  <c:v>30</c:v>
                </c:pt>
                <c:pt idx="3" c:formatCode="General">
                  <c:v>40</c:v>
                </c:pt>
                <c:pt idx="4" c:formatCode="General">
                  <c:v>50</c:v>
                </c:pt>
                <c:pt idx="5" c:formatCode="General">
                  <c:v>60</c:v>
                </c:pt>
                <c:pt idx="6" c:formatCode="General">
                  <c:v>80</c:v>
                </c:pt>
                <c:pt idx="7" c:formatCode="General">
                  <c:v>100</c:v>
                </c:pt>
                <c:pt idx="8" c:formatCode="General">
                  <c:v>120</c:v>
                </c:pt>
                <c:pt idx="9" c:formatCode="General">
                  <c:v>160</c:v>
                </c:pt>
                <c:pt idx="10" c:formatCode="General">
                  <c:v>200</c:v>
                </c:pt>
                <c:pt idx="11" c:formatCode="General">
                  <c:v>200</c:v>
                </c:pt>
              </c:numCache>
            </c:numRef>
          </c:xVal>
          <c:yVal>
            <c:numRef>
              <c:f>'＞48水平'!$C$96:$N$96</c:f>
              <c:numCache>
                <c:formatCode>0.0_ </c:formatCode>
                <c:ptCount val="12"/>
                <c:pt idx="0">
                  <c:v>67.5357175823351</c:v>
                </c:pt>
                <c:pt idx="1">
                  <c:v>63.3774176256953</c:v>
                </c:pt>
                <c:pt idx="2">
                  <c:v>59.9785050351385</c:v>
                </c:pt>
                <c:pt idx="3">
                  <c:v>58.0398676690555</c:v>
                </c:pt>
                <c:pt idx="4">
                  <c:v>56.6920175389749</c:v>
                </c:pt>
                <c:pt idx="5">
                  <c:v>55.657538411832</c:v>
                </c:pt>
                <c:pt idx="6">
                  <c:v>54.1053802124157</c:v>
                </c:pt>
                <c:pt idx="7">
                  <c:v>52.9437175823351</c:v>
                </c:pt>
                <c:pt idx="8">
                  <c:v>52.0096551218589</c:v>
                </c:pt>
                <c:pt idx="9">
                  <c:v>50.5458458807759</c:v>
                </c:pt>
                <c:pt idx="10">
                  <c:v>49.4061676256953</c:v>
                </c:pt>
                <c:pt idx="11">
                  <c:v>49.4061676256953</c:v>
                </c:pt>
              </c:numCache>
            </c:numRef>
          </c:yVal>
          <c:smooth val="1"/>
          <c:extLst>
            <c:ext xmlns:c15="http://schemas.microsoft.com/office/drawing/2012/chart" uri="{02D57815-91ED-43cb-92C2-25804820EDAC}">
              <c15:filteredSeriesTitle>
                <c15:tx>
                  <c:strRef>
                    <c:extLst>
                      <c:ext uri="{02D57815-91ED-43cb-92C2-25804820EDAC}">
                        <c15:formulaRef>
                          <c15:sqref>昼间</c15:sqref>
                        </c15:formulaRef>
                      </c:ext>
                    </c:extLst>
                    <c:strCache>
                      <c:ptCount val="1"/>
                      <c:pt idx="0">
                        <c:v>昼间</c:v>
                      </c:pt>
                    </c:strCache>
                  </c:strRef>
                </c15:tx>
              </c15:filteredSeriesTitle>
            </c:ext>
          </c:extLst>
        </c:ser>
        <c:ser>
          <c:idx val="1"/>
          <c:order val="1"/>
          <c:spPr>
            <a:ln w="25400" cap="rnd" cmpd="sng" algn="ctr">
              <a:solidFill>
                <a:srgbClr val="0000FF"/>
              </a:solidFill>
              <a:prstDash val="solid"/>
              <a:round/>
            </a:ln>
          </c:spPr>
          <c:marker>
            <c:spPr>
              <a:solidFill>
                <a:srgbClr val="0000FF"/>
              </a:solidFill>
              <a:ln w="6350" cap="flat" cmpd="sng" algn="ctr">
                <a:noFill/>
                <a:prstDash val="solid"/>
                <a:round/>
              </a:ln>
            </c:spPr>
          </c:marker>
          <c:dLbls>
            <c:delete val="1"/>
          </c:dLbls>
          <c:xVal>
            <c:numRef>
              <c:f>'＞48水平'!$C$91:$N$91</c:f>
              <c:numCache>
                <c:formatCode>0.00</c:formatCode>
                <c:ptCount val="12"/>
                <c:pt idx="0">
                  <c:v>10</c:v>
                </c:pt>
                <c:pt idx="1" c:formatCode="General">
                  <c:v>20</c:v>
                </c:pt>
                <c:pt idx="2" c:formatCode="General">
                  <c:v>30</c:v>
                </c:pt>
                <c:pt idx="3" c:formatCode="General">
                  <c:v>40</c:v>
                </c:pt>
                <c:pt idx="4" c:formatCode="General">
                  <c:v>50</c:v>
                </c:pt>
                <c:pt idx="5" c:formatCode="General">
                  <c:v>60</c:v>
                </c:pt>
                <c:pt idx="6" c:formatCode="General">
                  <c:v>80</c:v>
                </c:pt>
                <c:pt idx="7" c:formatCode="General">
                  <c:v>100</c:v>
                </c:pt>
                <c:pt idx="8" c:formatCode="General">
                  <c:v>120</c:v>
                </c:pt>
                <c:pt idx="9" c:formatCode="General">
                  <c:v>160</c:v>
                </c:pt>
                <c:pt idx="10" c:formatCode="General">
                  <c:v>200</c:v>
                </c:pt>
                <c:pt idx="11" c:formatCode="General">
                  <c:v>200</c:v>
                </c:pt>
              </c:numCache>
            </c:numRef>
          </c:xVal>
          <c:yVal>
            <c:numRef>
              <c:f>'＞48水平'!$C$97:$N$97</c:f>
              <c:numCache>
                <c:formatCode>0.0_ </c:formatCode>
                <c:ptCount val="12"/>
                <c:pt idx="0">
                  <c:v>59.3143454523973</c:v>
                </c:pt>
                <c:pt idx="1">
                  <c:v>53.6508955174376</c:v>
                </c:pt>
                <c:pt idx="2">
                  <c:v>49.3715266316024</c:v>
                </c:pt>
                <c:pt idx="3">
                  <c:v>46.8081955824779</c:v>
                </c:pt>
                <c:pt idx="4">
                  <c:v>44.975795387357</c:v>
                </c:pt>
                <c:pt idx="5">
                  <c:v>43.545410029976</c:v>
                </c:pt>
                <c:pt idx="6">
                  <c:v>41.3685581475182</c:v>
                </c:pt>
                <c:pt idx="7">
                  <c:v>39.7223454523973</c:v>
                </c:pt>
                <c:pt idx="8">
                  <c:v>38.3923767616829</c:v>
                </c:pt>
                <c:pt idx="9">
                  <c:v>36.3038738375584</c:v>
                </c:pt>
                <c:pt idx="10">
                  <c:v>34.6796455174376</c:v>
                </c:pt>
                <c:pt idx="11">
                  <c:v>34.6796455174376</c:v>
                </c:pt>
              </c:numCache>
            </c:numRef>
          </c:yVal>
          <c:smooth val="1"/>
          <c:extLst>
            <c:ext xmlns:c15="http://schemas.microsoft.com/office/drawing/2012/chart" uri="{02D57815-91ED-43cb-92C2-25804820EDAC}">
              <c15:filteredSeriesTitle>
                <c15:tx>
                  <c:strRef>
                    <c:extLst>
                      <c:ext uri="{02D57815-91ED-43cb-92C2-25804820EDAC}">
                        <c15:formulaRef>
                          <c15:sqref>夜间</c15:sqref>
                        </c15:formulaRef>
                      </c:ext>
                    </c:extLst>
                    <c:strCache>
                      <c:ptCount val="1"/>
                      <c:pt idx="0">
                        <c:v>夜间</c:v>
                      </c:pt>
                    </c:strCache>
                  </c:strRef>
                </c15:tx>
              </c15:filteredSeriesTitle>
            </c:ext>
          </c:extLst>
        </c:ser>
        <c:dLbls>
          <c:showLegendKey val="0"/>
          <c:showVal val="0"/>
          <c:showCatName val="0"/>
          <c:showSerName val="0"/>
          <c:showPercent val="0"/>
          <c:showBubbleSize val="0"/>
        </c:dLbls>
        <c:axId val="98695808"/>
        <c:axId val="98788480"/>
      </c:scatterChart>
      <c:valAx>
        <c:axId val="98695808"/>
        <c:scaling>
          <c:orientation val="minMax"/>
          <c:max val="200"/>
          <c:min val="20"/>
        </c:scaling>
        <c:delete val="0"/>
        <c:axPos val="b"/>
        <c:majorGridlines>
          <c:spPr>
            <a:ln w="6350" cap="flat" cmpd="sng" algn="ctr">
              <a:solidFill>
                <a:schemeClr val="tx1">
                  <a:lumMod val="50000"/>
                  <a:lumOff val="50000"/>
                  <a:alpha val="30000"/>
                </a:schemeClr>
              </a:solidFill>
              <a:prstDash val="solid"/>
              <a:round/>
            </a:ln>
          </c:spPr>
        </c:majorGridlines>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zh-CN" sz="1000" b="1" i="0" baseline="0">
                    <a:effectLst/>
                  </a:rPr>
                  <a:t>预测点距道路中心线距离（</a:t>
                </a:r>
                <a:r>
                  <a:rPr lang="en-US" altLang="zh-CN" sz="1000" b="1" i="0" baseline="0">
                    <a:effectLst/>
                  </a:rPr>
                  <a:t>m</a:t>
                </a:r>
                <a:r>
                  <a:rPr lang="zh-CN" altLang="zh-CN" sz="1000" b="1" i="0" baseline="0">
                    <a:effectLst/>
                  </a:rPr>
                  <a:t>）</a:t>
                </a:r>
                <a:endParaRPr lang="zh-CN" altLang="zh-CN" sz="1000">
                  <a:effectLst/>
                </a:endParaRPr>
              </a:p>
            </c:rich>
          </c:tx>
          <c:layout/>
          <c:overlay val="0"/>
        </c:title>
        <c:numFmt formatCode="General" sourceLinked="0"/>
        <c:majorTickMark val="none"/>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98788480"/>
        <c:crosses val="autoZero"/>
        <c:crossBetween val="midCat"/>
        <c:majorUnit val="20"/>
      </c:valAx>
      <c:valAx>
        <c:axId val="98788480"/>
        <c:scaling>
          <c:orientation val="minMax"/>
          <c:max val="70"/>
          <c:min val="30"/>
        </c:scaling>
        <c:delete val="0"/>
        <c:axPos val="l"/>
        <c:majorGridlines>
          <c:spPr>
            <a:ln w="6350" cap="flat" cmpd="sng" algn="ctr">
              <a:solidFill>
                <a:schemeClr val="tx1">
                  <a:lumMod val="50000"/>
                  <a:lumOff val="50000"/>
                  <a:alpha val="40000"/>
                </a:schemeClr>
              </a:solidFill>
              <a:prstDash val="solid"/>
              <a:round/>
            </a:ln>
          </c:spPr>
        </c:majorGridlines>
        <c:title>
          <c:tx>
            <c:rich>
              <a:bodyPr rot="-5400000" spcFirstLastPara="0" vertOverflow="ellipsis" vert="horz" wrap="square" anchor="ctr" anchorCtr="1"/>
              <a:lstStyle/>
              <a:p>
                <a:pPr>
                  <a:defRPr lang="zh-CN" sz="1100" b="1" i="0" u="none" strike="noStrike" kern="1200" baseline="0">
                    <a:solidFill>
                      <a:schemeClr val="tx1"/>
                    </a:solidFill>
                    <a:latin typeface="+mn-ea"/>
                    <a:ea typeface="+mn-ea"/>
                    <a:cs typeface="+mn-cs"/>
                  </a:defRPr>
                </a:pPr>
                <a:r>
                  <a:rPr lang="zh-CN" altLang="zh-CN" sz="1100" b="1" i="0" u="none" strike="noStrike" baseline="0">
                    <a:effectLst/>
                    <a:latin typeface="+mj-ea"/>
                    <a:ea typeface="+mj-ea"/>
                  </a:rPr>
                  <a:t>交通噪声预测值</a:t>
                </a:r>
                <a:r>
                  <a:rPr lang="en-US" altLang="zh-CN" sz="1100" b="1" i="0" u="none" strike="noStrike" baseline="0">
                    <a:effectLst/>
                    <a:latin typeface="+mj-ea"/>
                    <a:ea typeface="+mj-ea"/>
                  </a:rPr>
                  <a:t>dB(A</a:t>
                </a:r>
                <a:r>
                  <a:rPr lang="zh-CN" altLang="en-US" sz="1100" b="1" i="0" u="none" strike="noStrike" baseline="0">
                    <a:effectLst/>
                    <a:latin typeface="+mj-ea"/>
                    <a:ea typeface="+mj-ea"/>
                  </a:rPr>
                  <a:t>）</a:t>
                </a:r>
                <a:endParaRPr lang="zh-CN" altLang="en-US" sz="1100">
                  <a:latin typeface="+mj-ea"/>
                  <a:ea typeface="+mj-ea"/>
                </a:endParaRPr>
              </a:p>
            </c:rich>
          </c:tx>
          <c:layout/>
          <c:overlay val="0"/>
        </c:title>
        <c:numFmt formatCode="General" sourceLinked="0"/>
        <c:majorTickMark val="none"/>
        <c:minorTickMark val="none"/>
        <c:tickLblPos val="nextTo"/>
        <c:spPr>
          <a:ln w="6350" cap="flat" cmpd="sng" algn="ctr">
            <a:solidFill>
              <a:schemeClr val="tx1"/>
            </a:solidFill>
            <a:prstDash val="solid"/>
            <a:round/>
          </a:ln>
        </c:spPr>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crossAx val="98695808"/>
        <c:crosses val="autoZero"/>
        <c:crossBetween val="midCat"/>
        <c:majorUnit val="5"/>
      </c:valAx>
    </c:plotArea>
    <c:legend>
      <c:legendPos val="r"/>
      <c:layout>
        <c:manualLayout>
          <c:xMode val="edge"/>
          <c:yMode val="edge"/>
          <c:x val="0.828966658598821"/>
          <c:y val="0.424654527559055"/>
          <c:w val="0.156780562951081"/>
          <c:h val="0.15069094488189"/>
        </c:manualLayout>
      </c:layout>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p>
      </c:txPr>
    </c:legend>
    <c:plotVisOnly val="1"/>
    <c:dispBlanksAs val="gap"/>
    <c:showDLblsOverMax val="0"/>
    <c:extLst>
      <c:ext uri="{0b15fc19-7d7d-44ad-8c2d-2c3a37ce22c3}">
        <chartProps xmlns="https://web.wps.cn/et/2018/main" chartId="{a969d869-8677-4b8b-8b19-acd0676b49e1}"/>
      </c:ext>
    </c:extLst>
  </c:chart>
  <c:txPr>
    <a:bodyPr/>
    <a:lstStyle/>
    <a:p>
      <a:pPr>
        <a:defRPr lang="zh-CN"/>
      </a:pPr>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000" b="0" i="0" baseline="0">
                <a:effectLst/>
              </a:rPr>
              <a:t>中期昼</a:t>
            </a:r>
            <a:r>
              <a:rPr lang="zh-CN" altLang="zh-CN" sz="1000" b="0" i="0" baseline="0">
                <a:effectLst/>
              </a:rPr>
              <a:t>间噪声分布图</a:t>
            </a:r>
            <a:endParaRPr lang="zh-CN" altLang="zh-CN" sz="1000">
              <a:effectLst/>
            </a:endParaRPr>
          </a:p>
        </c:rich>
      </c:tx>
      <c:layout>
        <c:manualLayout>
          <c:xMode val="edge"/>
          <c:yMode val="edge"/>
          <c:x val="0.219512119808553"/>
          <c:y val="0"/>
        </c:manualLayout>
      </c:layout>
      <c:overlay val="0"/>
    </c:title>
    <c:autoTitleDeleted val="0"/>
    <c:plotArea>
      <c:layout>
        <c:manualLayout>
          <c:layoutTarget val="inner"/>
          <c:xMode val="edge"/>
          <c:yMode val="edge"/>
          <c:x val="0.238350742985944"/>
          <c:y val="0.0771127275989725"/>
          <c:w val="0.699864927787634"/>
          <c:h val="0.791960904446207"/>
        </c:manualLayout>
      </c:layout>
      <c:scatterChart>
        <c:scatterStyle val="smoothMarker"/>
        <c:varyColors val="0"/>
        <c:ser>
          <c:idx val="0"/>
          <c:order val="0"/>
          <c:spPr>
            <a:ln w="12700" cap="rnd" cmpd="sng" algn="ctr">
              <a:solidFill>
                <a:srgbClr val="0000FF"/>
              </a:solidFill>
              <a:prstDash val="solid"/>
              <a:round/>
            </a:ln>
          </c:spPr>
          <c:marker>
            <c:symbol val="none"/>
          </c:marker>
          <c:dLbls>
            <c:delete val="1"/>
          </c:dLbls>
          <c:xVal>
            <c:numRef>
              <c:f>'＞48垂直'!$Y$75:$Y$92</c:f>
              <c:numCache>
                <c:formatCode>0.0</c:formatCode>
                <c:ptCount val="18"/>
                <c:pt idx="0">
                  <c:v>66.8615136020558</c:v>
                </c:pt>
                <c:pt idx="1">
                  <c:v>66.6878762794536</c:v>
                </c:pt>
                <c:pt idx="2">
                  <c:v>66.3764497102302</c:v>
                </c:pt>
                <c:pt idx="3">
                  <c:v>66.0131037220514</c:v>
                </c:pt>
                <c:pt idx="4">
                  <c:v>65.6302466955177</c:v>
                </c:pt>
                <c:pt idx="5">
                  <c:v>65.2487859332763</c:v>
                </c:pt>
                <c:pt idx="6">
                  <c:v>64.8800486778692</c:v>
                </c:pt>
                <c:pt idx="7">
                  <c:v>63.4285006063853</c:v>
                </c:pt>
                <c:pt idx="8">
                  <c:v>62.9585174842605</c:v>
                </c:pt>
                <c:pt idx="9">
                  <c:v>62.5244595304777</c:v>
                </c:pt>
                <c:pt idx="10">
                  <c:v>62.1226809325072</c:v>
                </c:pt>
                <c:pt idx="11">
                  <c:v>61.7495785660635</c:v>
                </c:pt>
                <c:pt idx="12">
                  <c:v>61.4018622682734</c:v>
                </c:pt>
                <c:pt idx="13">
                  <c:v>61.0766301080337</c:v>
                </c:pt>
                <c:pt idx="14">
                  <c:v>60.7713623408005</c:v>
                </c:pt>
                <c:pt idx="15">
                  <c:v>60.4838848291523</c:v>
                </c:pt>
                <c:pt idx="16">
                  <c:v>60.2123241953681</c:v>
                </c:pt>
                <c:pt idx="17">
                  <c:v>59.9550640374071</c:v>
                </c:pt>
              </c:numCache>
            </c:numRef>
          </c:xVal>
          <c:yVal>
            <c:numRef>
              <c:f>'＞48垂直'!$V$75:$V$92</c:f>
              <c:numCache>
                <c:formatCode>General</c:formatCode>
                <c:ptCount val="18"/>
                <c:pt idx="0">
                  <c:v>1.2</c:v>
                </c:pt>
                <c:pt idx="1">
                  <c:v>4.2</c:v>
                </c:pt>
                <c:pt idx="2">
                  <c:v>7.2</c:v>
                </c:pt>
                <c:pt idx="3">
                  <c:v>10.2</c:v>
                </c:pt>
                <c:pt idx="4">
                  <c:v>13.2</c:v>
                </c:pt>
                <c:pt idx="5">
                  <c:v>16.2</c:v>
                </c:pt>
                <c:pt idx="6">
                  <c:v>19.2</c:v>
                </c:pt>
                <c:pt idx="7">
                  <c:v>22.2</c:v>
                </c:pt>
                <c:pt idx="8">
                  <c:v>25.2</c:v>
                </c:pt>
                <c:pt idx="9">
                  <c:v>28.2</c:v>
                </c:pt>
                <c:pt idx="10" c:formatCode="0.0">
                  <c:v>31.2</c:v>
                </c:pt>
                <c:pt idx="11" c:formatCode="0.00_ ">
                  <c:v>34.2</c:v>
                </c:pt>
                <c:pt idx="12" c:formatCode="0.00_ ">
                  <c:v>37.2</c:v>
                </c:pt>
                <c:pt idx="13" c:formatCode="0.00_ ">
                  <c:v>40.2</c:v>
                </c:pt>
                <c:pt idx="14" c:formatCode="0.00_ ">
                  <c:v>43.2</c:v>
                </c:pt>
                <c:pt idx="15">
                  <c:v>46.2</c:v>
                </c:pt>
                <c:pt idx="16">
                  <c:v>49.2</c:v>
                </c:pt>
                <c:pt idx="17">
                  <c:v>52.2</c:v>
                </c:pt>
              </c:numCache>
            </c:numRef>
          </c:yVal>
          <c:smooth val="1"/>
          <c:extLst>
            <c:ext xmlns:c15="http://schemas.microsoft.com/office/drawing/2012/chart" uri="{02D57815-91ED-43cb-92C2-25804820EDAC}">
              <c15:filteredSeriesTitle>
                <c15:tx>
                  <c:strRef>
                    <c:extLst>
                      <c:ext uri="{02D57815-91ED-43cb-92C2-25804820EDAC}">
                        <c15:formulaRef>
                          <c15:sqref>中期昼间噪声分布图</c15:sqref>
                        </c15:formulaRef>
                      </c:ext>
                    </c:extLst>
                    <c:strCache>
                      <c:ptCount val="1"/>
                      <c:pt idx="0">
                        <c:v>中期昼间噪声分布图</c:v>
                      </c:pt>
                    </c:strCache>
                  </c:strRef>
                </c15:tx>
              </c15:filteredSeriesTitle>
            </c:ext>
          </c:extLst>
        </c:ser>
        <c:dLbls>
          <c:showLegendKey val="0"/>
          <c:showVal val="0"/>
          <c:showCatName val="0"/>
          <c:showSerName val="0"/>
          <c:showPercent val="0"/>
          <c:showBubbleSize val="0"/>
        </c:dLbls>
        <c:axId val="114352704"/>
        <c:axId val="114353280"/>
      </c:scatterChart>
      <c:valAx>
        <c:axId val="114352704"/>
        <c:scaling>
          <c:orientation val="minMax"/>
          <c:min val="59"/>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zh-CN" sz="800" b="0" i="0" baseline="0">
                    <a:effectLst/>
                    <a:latin typeface="Times New Roman" panose="02020603050405020304" charset="0"/>
                    <a:cs typeface="Times New Roman" panose="02020603050405020304" charset="0"/>
                  </a:rPr>
                  <a:t>噪声值（dB）</a:t>
                </a:r>
                <a:endParaRPr lang="zh-CN" altLang="zh-CN" sz="800">
                  <a:effectLst/>
                  <a:latin typeface="Times New Roman" panose="02020603050405020304" charset="0"/>
                  <a:cs typeface="Times New Roman" panose="02020603050405020304" charset="0"/>
                </a:endParaRPr>
              </a:p>
            </c:rich>
          </c:tx>
          <c:layout>
            <c:manualLayout>
              <c:xMode val="edge"/>
              <c:yMode val="edge"/>
              <c:x val="0.468176238999537"/>
              <c:y val="0.93620533158099"/>
            </c:manualLayout>
          </c:layout>
          <c:overlay val="0"/>
        </c:title>
        <c:numFmt formatCode="#,##0_);[Red]\(#,##0\)" sourceLinked="0"/>
        <c:majorTickMark val="out"/>
        <c:minorTickMark val="none"/>
        <c:tickLblPos val="nextTo"/>
        <c:txPr>
          <a:bodyPr rot="0" spcFirstLastPara="0" vertOverflow="ellipsis" vert="horz" wrap="square" anchor="ctr" anchorCtr="1"/>
          <a:lstStyle/>
          <a:p>
            <a:pPr>
              <a:defRPr lang="zh-CN" sz="8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14353280"/>
        <c:crosses val="autoZero"/>
        <c:crossBetween val="midCat"/>
        <c:majorUnit val="1"/>
      </c:valAx>
      <c:valAx>
        <c:axId val="114353280"/>
        <c:scaling>
          <c:orientation val="minMax"/>
          <c:max val="35"/>
          <c:min val="1.2"/>
        </c:scaling>
        <c:delete val="0"/>
        <c:axPos val="l"/>
        <c:title>
          <c:tx>
            <c:rich>
              <a:bodyPr rot="0" spcFirstLastPara="0" vertOverflow="ellipsis" vert="wordArtVertRtl" wrap="square" anchor="ctr" anchorCtr="1"/>
              <a:lstStyle/>
              <a:p>
                <a:pPr>
                  <a:defRPr lang="zh-CN" sz="1000" b="1" i="0" u="none" strike="noStrike" kern="1200" baseline="0">
                    <a:solidFill>
                      <a:schemeClr val="tx1"/>
                    </a:solidFill>
                    <a:latin typeface="+mn-lt"/>
                    <a:ea typeface="+mn-ea"/>
                    <a:cs typeface="+mn-cs"/>
                  </a:defRPr>
                </a:pPr>
                <a:r>
                  <a:rPr lang="zh-CN" altLang="zh-CN" sz="800" b="0" i="0" u="none" strike="noStrike" baseline="0">
                    <a:effectLst/>
                    <a:latin typeface="Times New Roman" panose="02020603050405020304" charset="0"/>
                    <a:ea typeface="+mn-ea"/>
                    <a:cs typeface="Times New Roman" panose="02020603050405020304" charset="0"/>
                  </a:rPr>
                  <a:t>楼层高度（m</a:t>
                </a:r>
                <a:r>
                  <a:rPr lang="zh-CN" altLang="en-US" sz="800" b="0" i="0" u="none" strike="noStrike" baseline="0">
                    <a:effectLst/>
                    <a:latin typeface="Times New Roman" panose="02020603050405020304" charset="0"/>
                    <a:ea typeface="+mn-ea"/>
                    <a:cs typeface="Times New Roman" panose="02020603050405020304" charset="0"/>
                  </a:rPr>
                  <a:t>）</a:t>
                </a:r>
                <a:endParaRPr lang="zh-CN" altLang="en-US" sz="800" b="0">
                  <a:latin typeface="Times New Roman" panose="02020603050405020304" charset="0"/>
                  <a:ea typeface="+mn-ea"/>
                  <a:cs typeface="Times New Roman" panose="02020603050405020304" charset="0"/>
                </a:endParaRPr>
              </a:p>
            </c:rich>
          </c:tx>
          <c:layout>
            <c:manualLayout>
              <c:xMode val="edge"/>
              <c:yMode val="edge"/>
              <c:x val="0.00730199166280686"/>
              <c:y val="0.377269649492935"/>
            </c:manualLayout>
          </c:layout>
          <c:overlay val="0"/>
        </c:title>
        <c:numFmt formatCode="#,##0.0_);[Red]\(#,##0.0\)"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mn-lt"/>
                <a:ea typeface="+mn-ea"/>
                <a:cs typeface="+mn-cs"/>
              </a:defRPr>
            </a:pPr>
          </a:p>
        </c:txPr>
        <c:crossAx val="114352704"/>
        <c:crosses val="autoZero"/>
        <c:crossBetween val="midCat"/>
        <c:majorUnit val="3"/>
      </c:valAx>
    </c:plotArea>
    <c:plotVisOnly val="1"/>
    <c:dispBlanksAs val="gap"/>
    <c:showDLblsOverMax val="0"/>
    <c:extLst>
      <c:ext uri="{0b15fc19-7d7d-44ad-8c2d-2c3a37ce22c3}">
        <chartProps xmlns="https://web.wps.cn/et/2018/main" chartId="{35018d23-a2e4-4387-a4d2-3dce4b9bd089}"/>
      </c:ext>
    </c:extLst>
  </c:chart>
  <c:txPr>
    <a:bodyPr/>
    <a:lstStyle/>
    <a:p>
      <a:pPr>
        <a:defRPr lang="zh-CN"/>
      </a:pP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a:defRPr lang="zh-CN" sz="1800" b="1" i="0" u="none" strike="noStrike" kern="1200" baseline="0">
                <a:solidFill>
                  <a:schemeClr val="tx1"/>
                </a:solidFill>
                <a:latin typeface="+mn-lt"/>
                <a:ea typeface="+mn-ea"/>
                <a:cs typeface="+mn-cs"/>
              </a:defRPr>
            </a:pPr>
            <a:r>
              <a:rPr lang="zh-CN" altLang="en-US" sz="1000" b="0" i="0" baseline="0">
                <a:effectLst/>
              </a:rPr>
              <a:t>中期夜</a:t>
            </a:r>
            <a:r>
              <a:rPr lang="zh-CN" altLang="zh-CN" sz="1000" b="0" i="0" baseline="0">
                <a:effectLst/>
              </a:rPr>
              <a:t>间噪声分布图</a:t>
            </a:r>
            <a:endParaRPr lang="zh-CN" altLang="zh-CN" sz="1000">
              <a:effectLst/>
            </a:endParaRPr>
          </a:p>
        </c:rich>
      </c:tx>
      <c:layout>
        <c:manualLayout>
          <c:xMode val="edge"/>
          <c:yMode val="edge"/>
          <c:x val="0.219512108156292"/>
          <c:y val="0"/>
        </c:manualLayout>
      </c:layout>
      <c:overlay val="0"/>
    </c:title>
    <c:autoTitleDeleted val="0"/>
    <c:plotArea>
      <c:layout>
        <c:manualLayout>
          <c:layoutTarget val="inner"/>
          <c:xMode val="edge"/>
          <c:yMode val="edge"/>
          <c:x val="0.238350742985944"/>
          <c:y val="0.0771127275989725"/>
          <c:w val="0.699864927787634"/>
          <c:h val="0.791960904446207"/>
        </c:manualLayout>
      </c:layout>
      <c:scatterChart>
        <c:scatterStyle val="smoothMarker"/>
        <c:varyColors val="0"/>
        <c:ser>
          <c:idx val="0"/>
          <c:order val="0"/>
          <c:spPr>
            <a:ln w="12700" cap="rnd" cmpd="sng" algn="ctr">
              <a:solidFill>
                <a:srgbClr val="0000FF"/>
              </a:solidFill>
              <a:prstDash val="solid"/>
              <a:round/>
            </a:ln>
          </c:spPr>
          <c:marker>
            <c:symbol val="none"/>
          </c:marker>
          <c:dLbls>
            <c:delete val="1"/>
          </c:dLbls>
          <c:xVal>
            <c:numRef>
              <c:f>'＞48垂直'!$Z$75:$Z$92</c:f>
              <c:numCache>
                <c:formatCode>0.0</c:formatCode>
                <c:ptCount val="18"/>
                <c:pt idx="0">
                  <c:v>58.4317463623367</c:v>
                </c:pt>
                <c:pt idx="1">
                  <c:v>58.1659663950957</c:v>
                </c:pt>
                <c:pt idx="2">
                  <c:v>57.6759519983694</c:v>
                </c:pt>
                <c:pt idx="3">
                  <c:v>57.1180057113095</c:v>
                </c:pt>
                <c:pt idx="4">
                  <c:v>56.5608639142836</c:v>
                </c:pt>
                <c:pt idx="5">
                  <c:v>56.0356680906436</c:v>
                </c:pt>
                <c:pt idx="6">
                  <c:v>55.5518534299799</c:v>
                </c:pt>
                <c:pt idx="7">
                  <c:v>53.3005070774025</c:v>
                </c:pt>
                <c:pt idx="8">
                  <c:v>52.5993170348596</c:v>
                </c:pt>
                <c:pt idx="9">
                  <c:v>51.9520950558173</c:v>
                </c:pt>
                <c:pt idx="10">
                  <c:v>51.3533518520545</c:v>
                </c:pt>
                <c:pt idx="11">
                  <c:v>50.797668451332</c:v>
                </c:pt>
                <c:pt idx="12">
                  <c:v>50.2800994405512</c:v>
                </c:pt>
                <c:pt idx="13">
                  <c:v>49.7962845196014</c:v>
                </c:pt>
                <c:pt idx="14">
                  <c:v>49.3424385702643</c:v>
                </c:pt>
                <c:pt idx="15">
                  <c:v>48.915296222482</c:v>
                </c:pt>
                <c:pt idx="16">
                  <c:v>48.5120442054774</c:v>
                </c:pt>
                <c:pt idx="17">
                  <c:v>48.1302554135141</c:v>
                </c:pt>
              </c:numCache>
            </c:numRef>
          </c:xVal>
          <c:yVal>
            <c:numRef>
              <c:f>'＞48垂直'!$V$75:$V$92</c:f>
              <c:numCache>
                <c:formatCode>General</c:formatCode>
                <c:ptCount val="18"/>
                <c:pt idx="0">
                  <c:v>1.2</c:v>
                </c:pt>
                <c:pt idx="1">
                  <c:v>4.2</c:v>
                </c:pt>
                <c:pt idx="2">
                  <c:v>7.2</c:v>
                </c:pt>
                <c:pt idx="3">
                  <c:v>10.2</c:v>
                </c:pt>
                <c:pt idx="4">
                  <c:v>13.2</c:v>
                </c:pt>
                <c:pt idx="5">
                  <c:v>16.2</c:v>
                </c:pt>
                <c:pt idx="6">
                  <c:v>19.2</c:v>
                </c:pt>
                <c:pt idx="7">
                  <c:v>22.2</c:v>
                </c:pt>
                <c:pt idx="8">
                  <c:v>25.2</c:v>
                </c:pt>
                <c:pt idx="9">
                  <c:v>28.2</c:v>
                </c:pt>
                <c:pt idx="10" c:formatCode="0.0">
                  <c:v>31.2</c:v>
                </c:pt>
                <c:pt idx="11" c:formatCode="0.00_ ">
                  <c:v>34.2</c:v>
                </c:pt>
                <c:pt idx="12" c:formatCode="0.00_ ">
                  <c:v>37.2</c:v>
                </c:pt>
                <c:pt idx="13" c:formatCode="0.00_ ">
                  <c:v>40.2</c:v>
                </c:pt>
                <c:pt idx="14" c:formatCode="0.00_ ">
                  <c:v>43.2</c:v>
                </c:pt>
                <c:pt idx="15">
                  <c:v>46.2</c:v>
                </c:pt>
                <c:pt idx="16">
                  <c:v>49.2</c:v>
                </c:pt>
                <c:pt idx="17">
                  <c:v>52.2</c:v>
                </c:pt>
              </c:numCache>
            </c:numRef>
          </c:yVal>
          <c:smooth val="1"/>
          <c:extLst>
            <c:ext xmlns:c15="http://schemas.microsoft.com/office/drawing/2012/chart" uri="{02D57815-91ED-43cb-92C2-25804820EDAC}">
              <c15:filteredSeriesTitle>
                <c15:tx>
                  <c:strRef>
                    <c:extLst>
                      <c:ext uri="{02D57815-91ED-43cb-92C2-25804820EDAC}">
                        <c15:formulaRef>
                          <c15:sqref>中期夜间噪声分布图</c15:sqref>
                        </c15:formulaRef>
                      </c:ext>
                    </c:extLst>
                    <c:strCache>
                      <c:ptCount val="1"/>
                      <c:pt idx="0">
                        <c:v>中期夜间噪声分布图</c:v>
                      </c:pt>
                    </c:strCache>
                  </c:strRef>
                </c15:tx>
              </c15:filteredSeriesTitle>
            </c:ext>
          </c:extLst>
        </c:ser>
        <c:dLbls>
          <c:showLegendKey val="0"/>
          <c:showVal val="0"/>
          <c:showCatName val="0"/>
          <c:showSerName val="0"/>
          <c:showPercent val="0"/>
          <c:showBubbleSize val="0"/>
        </c:dLbls>
        <c:axId val="114355008"/>
        <c:axId val="114355584"/>
      </c:scatterChart>
      <c:valAx>
        <c:axId val="114355008"/>
        <c:scaling>
          <c:orientation val="minMax"/>
          <c:min val="50"/>
        </c:scaling>
        <c:delete val="0"/>
        <c:axPos val="b"/>
        <c:title>
          <c:tx>
            <c:rich>
              <a:bodyPr rot="0" spcFirstLastPara="0" vertOverflow="ellipsis" vert="horz" wrap="square" anchor="ctr" anchorCtr="1"/>
              <a:lstStyle/>
              <a:p>
                <a:pPr>
                  <a:defRPr lang="zh-CN" sz="1000" b="1" i="0" u="none" strike="noStrike" kern="1200" baseline="0">
                    <a:solidFill>
                      <a:schemeClr val="tx1"/>
                    </a:solidFill>
                    <a:latin typeface="+mn-lt"/>
                    <a:ea typeface="+mn-ea"/>
                    <a:cs typeface="+mn-cs"/>
                  </a:defRPr>
                </a:pPr>
                <a:r>
                  <a:rPr lang="zh-CN" altLang="zh-CN" sz="800" b="0" i="0" baseline="0">
                    <a:effectLst/>
                    <a:latin typeface="Times New Roman" panose="02020603050405020304" charset="0"/>
                    <a:cs typeface="Times New Roman" panose="02020603050405020304" charset="0"/>
                  </a:rPr>
                  <a:t>噪声值（dB）</a:t>
                </a:r>
                <a:endParaRPr lang="zh-CN" altLang="zh-CN" sz="800">
                  <a:effectLst/>
                  <a:latin typeface="Times New Roman" panose="02020603050405020304" charset="0"/>
                  <a:cs typeface="Times New Roman" panose="02020603050405020304" charset="0"/>
                </a:endParaRPr>
              </a:p>
            </c:rich>
          </c:tx>
          <c:layout>
            <c:manualLayout>
              <c:xMode val="edge"/>
              <c:yMode val="edge"/>
              <c:x val="0.468176496805824"/>
              <c:y val="0.936205551625634"/>
            </c:manualLayout>
          </c:layout>
          <c:overlay val="0"/>
        </c:title>
        <c:numFmt formatCode="#,##0_);[Red]\(#,##0\)" sourceLinked="0"/>
        <c:majorTickMark val="out"/>
        <c:minorTickMark val="none"/>
        <c:tickLblPos val="nextTo"/>
        <c:txPr>
          <a:bodyPr rot="0" spcFirstLastPara="0" vertOverflow="ellipsis" vert="horz" wrap="square" anchor="ctr" anchorCtr="1"/>
          <a:lstStyle/>
          <a:p>
            <a:pPr>
              <a:defRPr lang="zh-CN" sz="800" b="0" i="0" u="none" strike="noStrike" kern="1200" baseline="0">
                <a:solidFill>
                  <a:srgbClr val="000000"/>
                </a:solidFill>
                <a:latin typeface="宋体" panose="02010600030101010101" charset="-122"/>
                <a:ea typeface="宋体" panose="02010600030101010101" charset="-122"/>
                <a:cs typeface="宋体" panose="02010600030101010101" charset="-122"/>
              </a:defRPr>
            </a:pPr>
          </a:p>
        </c:txPr>
        <c:crossAx val="114355584"/>
        <c:crosses val="autoZero"/>
        <c:crossBetween val="midCat"/>
        <c:majorUnit val="1"/>
      </c:valAx>
      <c:valAx>
        <c:axId val="114355584"/>
        <c:scaling>
          <c:orientation val="minMax"/>
          <c:max val="35"/>
          <c:min val="1.2"/>
        </c:scaling>
        <c:delete val="0"/>
        <c:axPos val="l"/>
        <c:title>
          <c:tx>
            <c:rich>
              <a:bodyPr rot="0" spcFirstLastPara="0" vertOverflow="ellipsis" vert="wordArtVertRtl" wrap="square" anchor="ctr" anchorCtr="1"/>
              <a:lstStyle/>
              <a:p>
                <a:pPr>
                  <a:defRPr lang="zh-CN" sz="1000" b="1" i="0" u="none" strike="noStrike" kern="1200" baseline="0">
                    <a:solidFill>
                      <a:schemeClr val="tx1"/>
                    </a:solidFill>
                    <a:latin typeface="+mn-lt"/>
                    <a:ea typeface="+mn-ea"/>
                    <a:cs typeface="+mn-cs"/>
                  </a:defRPr>
                </a:pPr>
                <a:r>
                  <a:rPr lang="zh-CN" altLang="zh-CN" sz="800" b="0" i="0" u="none" strike="noStrike" baseline="0">
                    <a:effectLst/>
                    <a:latin typeface="Times New Roman" panose="02020603050405020304" charset="0"/>
                    <a:ea typeface="+mn-ea"/>
                    <a:cs typeface="Times New Roman" panose="02020603050405020304" charset="0"/>
                  </a:rPr>
                  <a:t>楼层高度（m</a:t>
                </a:r>
                <a:r>
                  <a:rPr lang="zh-CN" altLang="en-US" sz="800" b="0" i="0" u="none" strike="noStrike" baseline="0">
                    <a:effectLst/>
                    <a:latin typeface="Times New Roman" panose="02020603050405020304" charset="0"/>
                    <a:ea typeface="+mn-ea"/>
                    <a:cs typeface="Times New Roman" panose="02020603050405020304" charset="0"/>
                  </a:rPr>
                  <a:t>）</a:t>
                </a:r>
                <a:endParaRPr lang="zh-CN" altLang="en-US" sz="800" b="0">
                  <a:latin typeface="Times New Roman" panose="02020603050405020304" charset="0"/>
                  <a:ea typeface="+mn-ea"/>
                  <a:cs typeface="Times New Roman" panose="02020603050405020304" charset="0"/>
                </a:endParaRPr>
              </a:p>
            </c:rich>
          </c:tx>
          <c:layout>
            <c:manualLayout>
              <c:xMode val="edge"/>
              <c:yMode val="edge"/>
              <c:x val="0.00730193631456445"/>
              <c:y val="0.37726995465773"/>
            </c:manualLayout>
          </c:layout>
          <c:overlay val="0"/>
        </c:title>
        <c:numFmt formatCode="#,##0.0_);[Red]\(#,##0.0\)" sourceLinked="0"/>
        <c:majorTickMark val="out"/>
        <c:minorTickMark val="none"/>
        <c:tickLblPos val="nextTo"/>
        <c:txPr>
          <a:bodyPr rot="-60000000" spcFirstLastPara="0" vertOverflow="ellipsis" vert="horz" wrap="square" anchor="ctr" anchorCtr="1"/>
          <a:lstStyle/>
          <a:p>
            <a:pPr>
              <a:defRPr lang="zh-CN" sz="800" b="0" i="0" u="none" strike="noStrike" kern="1200" baseline="0">
                <a:solidFill>
                  <a:schemeClr val="tx1"/>
                </a:solidFill>
                <a:latin typeface="+mn-lt"/>
                <a:ea typeface="+mn-ea"/>
                <a:cs typeface="+mn-cs"/>
              </a:defRPr>
            </a:pPr>
          </a:p>
        </c:txPr>
        <c:crossAx val="114355008"/>
        <c:crosses val="autoZero"/>
        <c:crossBetween val="midCat"/>
        <c:majorUnit val="3"/>
      </c:valAx>
    </c:plotArea>
    <c:plotVisOnly val="1"/>
    <c:dispBlanksAs val="gap"/>
    <c:showDLblsOverMax val="0"/>
    <c:extLst>
      <c:ext uri="{0b15fc19-7d7d-44ad-8c2d-2c3a37ce22c3}">
        <chartProps xmlns="https://web.wps.cn/et/2018/main" chartId="{0b852b0c-fca8-4570-9967-f9f5b6a95b59}"/>
      </c:ext>
    </c:extLst>
  </c:chart>
  <c:txPr>
    <a:bodyPr/>
    <a:lstStyle/>
    <a:p>
      <a:pPr>
        <a:defRPr lang="zh-CN"/>
      </a:pPr>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0.40062</cdr:x>
      <cdr:y>0.04975</cdr:y>
    </cdr:from>
    <cdr:to>
      <cdr:x>0.68656</cdr:x>
      <cdr:y>0.32073</cdr:y>
    </cdr:to>
    <cdr:sp>
      <cdr:nvSpPr>
        <cdr:cNvPr id="2" name="矩形 1"/>
        <cdr:cNvSpPr/>
      </cdr:nvSpPr>
      <cdr:spPr xmlns:a="http://schemas.openxmlformats.org/drawingml/2006/main">
        <a:xfrm xmlns:a="http://schemas.openxmlformats.org/drawingml/2006/main">
          <a:off x="1846016" y="151638"/>
          <a:ext cx="1317540" cy="825932"/>
        </a:xfrm>
        <a:prstGeom xmlns:a="http://schemas.openxmlformats.org/drawingml/2006/main" prst="rect">
          <a:avLst/>
        </a:prstGeom>
        <a:noFill/>
      </cdr:spPr>
      <cdr:txBody xmlns:a="http://schemas.openxmlformats.org/drawingml/2006/main">
        <a:bodyPr vert="horz" wrap="none" lIns="91440" tIns="45720" rIns="91440" bIns="45720" anchor="t" anchorCtr="0">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a:r>
            <a:rPr lang="zh-CN" altLang="en-US" sz="4400" b="1" cap="none" spc="0">
              <a:ln w="10541" cmpd="sng">
                <a:solidFill>
                  <a:srgbClr val="7D7D7D">
                    <a:tint val="100000"/>
                    <a:shade val="100000"/>
                    <a:satMod val="110000"/>
                  </a:srgbClr>
                </a:solidFill>
                <a:prstDash val="solid"/>
              </a:ln>
              <a:gradFill>
                <a:gsLst>
                  <a:gs pos="0">
                    <a:srgbClr val="FFFFFF">
                      <a:tint val="40000"/>
                      <a:satMod val="250000"/>
                    </a:srgbClr>
                  </a:gs>
                  <a:gs pos="9000">
                    <a:srgbClr val="FFFFFF">
                      <a:tint val="52000"/>
                      <a:satMod val="300000"/>
                    </a:srgbClr>
                  </a:gs>
                  <a:gs pos="50000">
                    <a:srgbClr val="FFFFFF">
                      <a:shade val="20000"/>
                      <a:satMod val="300000"/>
                    </a:srgbClr>
                  </a:gs>
                  <a:gs pos="79000">
                    <a:srgbClr val="FFFFFF">
                      <a:tint val="52000"/>
                      <a:satMod val="300000"/>
                    </a:srgbClr>
                  </a:gs>
                  <a:gs pos="100000">
                    <a:srgbClr val="FFFFFF">
                      <a:tint val="40000"/>
                      <a:satMod val="250000"/>
                    </a:srgbClr>
                  </a:gs>
                </a:gsLst>
                <a:lin ang="5400000"/>
              </a:gradFill>
              <a:effectLst/>
            </a:rPr>
            <a:t>远期</a:t>
          </a:r>
          <a:endParaRPr lang="zh-CN" altLang="en-US" sz="4400" b="1" cap="none" spc="0">
            <a:ln w="10541" cmpd="sng">
              <a:solidFill>
                <a:srgbClr val="7D7D7D">
                  <a:tint val="100000"/>
                  <a:shade val="100000"/>
                  <a:satMod val="110000"/>
                </a:srgbClr>
              </a:solidFill>
              <a:prstDash val="solid"/>
            </a:ln>
            <a:gradFill>
              <a:gsLst>
                <a:gs pos="0">
                  <a:srgbClr val="FFFFFF">
                    <a:tint val="40000"/>
                    <a:satMod val="250000"/>
                  </a:srgbClr>
                </a:gs>
                <a:gs pos="9000">
                  <a:srgbClr val="FFFFFF">
                    <a:tint val="52000"/>
                    <a:satMod val="300000"/>
                  </a:srgbClr>
                </a:gs>
                <a:gs pos="50000">
                  <a:srgbClr val="FFFFFF">
                    <a:shade val="20000"/>
                    <a:satMod val="300000"/>
                  </a:srgbClr>
                </a:gs>
                <a:gs pos="79000">
                  <a:srgbClr val="FFFFFF">
                    <a:tint val="52000"/>
                    <a:satMod val="300000"/>
                  </a:srgbClr>
                </a:gs>
                <a:gs pos="100000">
                  <a:srgbClr val="FFFFFF">
                    <a:tint val="40000"/>
                    <a:satMod val="250000"/>
                  </a:srgbClr>
                </a:gs>
              </a:gsLst>
              <a:lin ang="5400000"/>
            </a:gradFill>
            <a:effectLst/>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0.43963</cdr:x>
      <cdr:y>0.07917</cdr:y>
    </cdr:from>
    <cdr:to>
      <cdr:x>0.70173</cdr:x>
      <cdr:y>0.35015</cdr:y>
    </cdr:to>
    <cdr:sp>
      <cdr:nvSpPr>
        <cdr:cNvPr id="2" name="矩形 1"/>
        <cdr:cNvSpPr/>
      </cdr:nvSpPr>
      <cdr:spPr xmlns:a="http://schemas.openxmlformats.org/drawingml/2006/main">
        <a:xfrm xmlns:a="http://schemas.openxmlformats.org/drawingml/2006/main">
          <a:off x="2210013" y="241310"/>
          <a:ext cx="1317540" cy="825932"/>
        </a:xfrm>
        <a:prstGeom xmlns:a="http://schemas.openxmlformats.org/drawingml/2006/main" prst="rect">
          <a:avLst/>
        </a:prstGeom>
        <a:noFill/>
      </cdr:spPr>
      <cdr:txBody xmlns:a="http://schemas.openxmlformats.org/drawingml/2006/main">
        <a:bodyPr vert="horz" wrap="none" lIns="91440" tIns="45720" rIns="91440" bIns="45720" anchor="t" anchorCtr="0">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a:r>
            <a:rPr lang="zh-CN" altLang="en-US" sz="4400" b="1" cap="none" spc="0">
              <a:ln w="10541" cmpd="sng">
                <a:solidFill>
                  <a:srgbClr val="7D7D7D">
                    <a:tint val="100000"/>
                    <a:shade val="100000"/>
                    <a:satMod val="110000"/>
                  </a:srgbClr>
                </a:solidFill>
                <a:prstDash val="solid"/>
              </a:ln>
              <a:gradFill>
                <a:gsLst>
                  <a:gs pos="0">
                    <a:srgbClr val="FFFFFF">
                      <a:tint val="40000"/>
                      <a:satMod val="250000"/>
                    </a:srgbClr>
                  </a:gs>
                  <a:gs pos="9000">
                    <a:srgbClr val="FFFFFF">
                      <a:tint val="52000"/>
                      <a:satMod val="300000"/>
                    </a:srgbClr>
                  </a:gs>
                  <a:gs pos="50000">
                    <a:srgbClr val="FFFFFF">
                      <a:shade val="20000"/>
                      <a:satMod val="300000"/>
                    </a:srgbClr>
                  </a:gs>
                  <a:gs pos="79000">
                    <a:srgbClr val="FFFFFF">
                      <a:tint val="52000"/>
                      <a:satMod val="300000"/>
                    </a:srgbClr>
                  </a:gs>
                  <a:gs pos="100000">
                    <a:srgbClr val="FFFFFF">
                      <a:tint val="40000"/>
                      <a:satMod val="250000"/>
                    </a:srgbClr>
                  </a:gs>
                </a:gsLst>
                <a:lin ang="5400000"/>
              </a:gradFill>
              <a:effectLst/>
            </a:rPr>
            <a:t>中期</a:t>
          </a:r>
          <a:endParaRPr lang="zh-CN" altLang="en-US" sz="4400" b="1" cap="none" spc="0">
            <a:ln w="10541" cmpd="sng">
              <a:solidFill>
                <a:srgbClr val="7D7D7D">
                  <a:tint val="100000"/>
                  <a:shade val="100000"/>
                  <a:satMod val="110000"/>
                </a:srgbClr>
              </a:solidFill>
              <a:prstDash val="solid"/>
            </a:ln>
            <a:gradFill>
              <a:gsLst>
                <a:gs pos="0">
                  <a:srgbClr val="FFFFFF">
                    <a:tint val="40000"/>
                    <a:satMod val="250000"/>
                  </a:srgbClr>
                </a:gs>
                <a:gs pos="9000">
                  <a:srgbClr val="FFFFFF">
                    <a:tint val="52000"/>
                    <a:satMod val="300000"/>
                  </a:srgbClr>
                </a:gs>
                <a:gs pos="50000">
                  <a:srgbClr val="FFFFFF">
                    <a:shade val="20000"/>
                    <a:satMod val="300000"/>
                  </a:srgbClr>
                </a:gs>
                <a:gs pos="79000">
                  <a:srgbClr val="FFFFFF">
                    <a:tint val="52000"/>
                    <a:satMod val="300000"/>
                  </a:srgbClr>
                </a:gs>
                <a:gs pos="100000">
                  <a:srgbClr val="FFFFFF">
                    <a:tint val="40000"/>
                    <a:satMod val="250000"/>
                  </a:srgbClr>
                </a:gs>
              </a:gsLst>
              <a:lin ang="5400000"/>
            </a:gradFill>
            <a:effectLst/>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0.43765</cdr:x>
      <cdr:y>0.07917</cdr:y>
    </cdr:from>
    <cdr:to>
      <cdr:x>0.70371</cdr:x>
      <cdr:y>0.35015</cdr:y>
    </cdr:to>
    <cdr:sp>
      <cdr:nvSpPr>
        <cdr:cNvPr id="2" name="矩形 1"/>
        <cdr:cNvSpPr/>
      </cdr:nvSpPr>
      <cdr:spPr xmlns:a="http://schemas.openxmlformats.org/drawingml/2006/main">
        <a:xfrm xmlns:a="http://schemas.openxmlformats.org/drawingml/2006/main">
          <a:off x="2167304" y="241310"/>
          <a:ext cx="1317540" cy="825932"/>
        </a:xfrm>
        <a:prstGeom xmlns:a="http://schemas.openxmlformats.org/drawingml/2006/main" prst="rect">
          <a:avLst/>
        </a:prstGeom>
        <a:noFill/>
      </cdr:spPr>
      <cdr:txBody xmlns:a="http://schemas.openxmlformats.org/drawingml/2006/main">
        <a:bodyPr vert="horz" wrap="none" lIns="91440" tIns="45720" rIns="91440" bIns="45720" anchor="t" anchorCtr="0">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a:r>
            <a:rPr lang="zh-CN" altLang="en-US" sz="4400" b="1" cap="none" spc="0">
              <a:ln w="10541" cmpd="sng">
                <a:solidFill>
                  <a:srgbClr val="7D7D7D">
                    <a:tint val="100000"/>
                    <a:shade val="100000"/>
                    <a:satMod val="110000"/>
                  </a:srgbClr>
                </a:solidFill>
                <a:prstDash val="solid"/>
              </a:ln>
              <a:gradFill>
                <a:gsLst>
                  <a:gs pos="0">
                    <a:srgbClr val="FFFFFF">
                      <a:tint val="40000"/>
                      <a:satMod val="250000"/>
                    </a:srgbClr>
                  </a:gs>
                  <a:gs pos="9000">
                    <a:srgbClr val="FFFFFF">
                      <a:tint val="52000"/>
                      <a:satMod val="300000"/>
                    </a:srgbClr>
                  </a:gs>
                  <a:gs pos="50000">
                    <a:srgbClr val="FFFFFF">
                      <a:shade val="20000"/>
                      <a:satMod val="300000"/>
                    </a:srgbClr>
                  </a:gs>
                  <a:gs pos="79000">
                    <a:srgbClr val="FFFFFF">
                      <a:tint val="52000"/>
                      <a:satMod val="300000"/>
                    </a:srgbClr>
                  </a:gs>
                  <a:gs pos="100000">
                    <a:srgbClr val="FFFFFF">
                      <a:tint val="40000"/>
                      <a:satMod val="250000"/>
                    </a:srgbClr>
                  </a:gs>
                </a:gsLst>
                <a:lin ang="5400000"/>
              </a:gradFill>
              <a:effectLst/>
            </a:rPr>
            <a:t>近期</a:t>
          </a:r>
          <a:endParaRPr lang="zh-CN" altLang="en-US" sz="4400" b="1" cap="none" spc="0">
            <a:ln w="10541" cmpd="sng">
              <a:solidFill>
                <a:srgbClr val="7D7D7D">
                  <a:tint val="100000"/>
                  <a:shade val="100000"/>
                  <a:satMod val="110000"/>
                </a:srgbClr>
              </a:solidFill>
              <a:prstDash val="solid"/>
            </a:ln>
            <a:gradFill>
              <a:gsLst>
                <a:gs pos="0">
                  <a:srgbClr val="FFFFFF">
                    <a:tint val="40000"/>
                    <a:satMod val="250000"/>
                  </a:srgbClr>
                </a:gs>
                <a:gs pos="9000">
                  <a:srgbClr val="FFFFFF">
                    <a:tint val="52000"/>
                    <a:satMod val="300000"/>
                  </a:srgbClr>
                </a:gs>
                <a:gs pos="50000">
                  <a:srgbClr val="FFFFFF">
                    <a:shade val="20000"/>
                    <a:satMod val="300000"/>
                  </a:srgbClr>
                </a:gs>
                <a:gs pos="79000">
                  <a:srgbClr val="FFFFFF">
                    <a:tint val="52000"/>
                    <a:satMod val="300000"/>
                  </a:srgbClr>
                </a:gs>
                <a:gs pos="100000">
                  <a:srgbClr val="FFFFFF">
                    <a:tint val="40000"/>
                    <a:satMod val="250000"/>
                  </a:srgbClr>
                </a:gs>
              </a:gsLst>
              <a:lin ang="5400000"/>
            </a:gradFill>
            <a:effectLst/>
          </a:endParaRPr>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216</Pages>
  <Words>25410</Words>
  <Characters>144840</Characters>
  <Lines>1207</Lines>
  <Paragraphs>339</Paragraphs>
  <TotalTime>14428</TotalTime>
  <ScaleCrop>false</ScaleCrop>
  <LinksUpToDate>false</LinksUpToDate>
  <CharactersWithSpaces>169911</CharactersWithSpaces>
  <Application>WPS Office_12.8.2.19315_F1E327BC-269C-435d-A152-05C5408002CA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2025-02-24T03:54:00Z</dcterms:created>
  <dc:creator>微软用户</dc:creator>
  <cp:lastModifiedBy>admin</cp:lastModifiedBy>
  <cp:lastPrinted>2025-04-01T06:53:00Z</cp:lastPrinted>
  <dcterms:modified xsi:type="dcterms:W3CDTF">2025-04-08T08:14:16Z</dcterms:modified>
  <cp:revision>44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2023-01-10T16:00:00Z</vt:filetime>
  </property>
  <property fmtid="{D5CDD505-2E9C-101B-9397-08002B2CF9AE}" pid="3" name="Creator">
    <vt:lpwstr>WPS 文字</vt:lpwstr>
  </property>
  <property fmtid="{D5CDD505-2E9C-101B-9397-08002B2CF9AE}" pid="4" name="LastSaved">
    <vt:filetime>2023-05-25T16:00:00Z</vt:filetime>
  </property>
  <property fmtid="{D5CDD505-2E9C-101B-9397-08002B2CF9AE}" pid="5" name="SourceModified">
    <vt:lpwstr>D:20230111152604+07'26'</vt:lpwstr>
  </property>
  <property fmtid="{D5CDD505-2E9C-101B-9397-08002B2CF9AE}" pid="6" name="KSOProductBuildVer">
    <vt:lpwstr>2052-12.8.2.19315</vt:lpwstr>
  </property>
  <property fmtid="{D5CDD505-2E9C-101B-9397-08002B2CF9AE}" pid="7" name="ICV">
    <vt:lpwstr>4B8700C50F654FDE857535BC4D183C93_13</vt:lpwstr>
  </property>
  <property fmtid="{D5CDD505-2E9C-101B-9397-08002B2CF9AE}" pid="8" name="KSOTemplateDocerSaveRecord">
    <vt:lpwstr>eyJoZGlkIjoiYmFhMDY5ZDk5MWM5YjI0ODg2MGQ2YWU1MzQzYTBhNjQiLCJ1c2VySWQiOiI3MTY0ODI4OTgifQ==</vt:lpwstr>
  </property>
  <property fmtid="{D5CDD505-2E9C-101B-9397-08002B2CF9AE}" pid="9" name="hmcheck_result_b702aea4fb2d43e798814c73553791d9_errorword">
    <vt:lpwstr>"</vt:lpwstr>
  </property>
  <property fmtid="{D5CDD505-2E9C-101B-9397-08002B2CF9AE}" pid="10" name="hmcheck_result_b702aea4fb2d43e798814c73553791d9_correctwords">
    <vt:lpwstr>[]</vt:lpwstr>
  </property>
  <property fmtid="{D5CDD505-2E9C-101B-9397-08002B2CF9AE}" pid="11" name="hmcheck_result_b702aea4fb2d43e798814c73553791d9_errordescription">
    <vt:lpwstr>文本全半角错误</vt:lpwstr>
  </property>
  <property fmtid="{D5CDD505-2E9C-101B-9397-08002B2CF9AE}" pid="12" name="hmcheck_result_b702aea4fb2d43e798814c73553791d9_level">
    <vt:i4>1</vt:i4>
  </property>
  <property fmtid="{D5CDD505-2E9C-101B-9397-08002B2CF9AE}" pid="13" name="hmcheck_result_b702aea4fb2d43e798814c73553791d9_type">
    <vt:i4>1</vt:i4>
  </property>
  <property fmtid="{D5CDD505-2E9C-101B-9397-08002B2CF9AE}" pid="14" name="hmcheck_result_b702aea4fb2d43e798814c73553791d9_modifiedtype">
    <vt:i4>0</vt:i4>
  </property>
  <property fmtid="{D5CDD505-2E9C-101B-9397-08002B2CF9AE}" pid="15" name="hmcheck_result_aea816eba5c44df99f061526ad47f9b6_errorword">
    <vt:lpwstr>"</vt:lpwstr>
  </property>
  <property fmtid="{D5CDD505-2E9C-101B-9397-08002B2CF9AE}" pid="16" name="hmcheck_result_aea816eba5c44df99f061526ad47f9b6_correctwords">
    <vt:lpwstr>[]</vt:lpwstr>
  </property>
  <property fmtid="{D5CDD505-2E9C-101B-9397-08002B2CF9AE}" pid="17" name="hmcheck_result_aea816eba5c44df99f061526ad47f9b6_errordescription">
    <vt:lpwstr>文本全半角错误</vt:lpwstr>
  </property>
  <property fmtid="{D5CDD505-2E9C-101B-9397-08002B2CF9AE}" pid="18" name="hmcheck_result_aea816eba5c44df99f061526ad47f9b6_level">
    <vt:i4>1</vt:i4>
  </property>
  <property fmtid="{D5CDD505-2E9C-101B-9397-08002B2CF9AE}" pid="19" name="hmcheck_result_aea816eba5c44df99f061526ad47f9b6_type">
    <vt:i4>1</vt:i4>
  </property>
  <property fmtid="{D5CDD505-2E9C-101B-9397-08002B2CF9AE}" pid="20" name="hmcheck_result_aea816eba5c44df99f061526ad47f9b6_modifiedtype">
    <vt:i4>0</vt:i4>
  </property>
  <property fmtid="{D5CDD505-2E9C-101B-9397-08002B2CF9AE}" pid="21" name="hmcheck_result_06549c4815884f97944e1aa06fda3ad6_errorword">
    <vt:lpwstr>多次海</vt:lpwstr>
  </property>
  <property fmtid="{D5CDD505-2E9C-101B-9397-08002B2CF9AE}" pid="22" name="hmcheck_result_06549c4815884f97944e1aa06fda3ad6_correctwords">
    <vt:lpwstr>["多次"]</vt:lpwstr>
  </property>
  <property fmtid="{D5CDD505-2E9C-101B-9397-08002B2CF9AE}" pid="23" name="hmcheck_result_06549c4815884f97944e1aa06fda3ad6_level">
    <vt:i4>1</vt:i4>
  </property>
  <property fmtid="{D5CDD505-2E9C-101B-9397-08002B2CF9AE}" pid="24" name="hmcheck_result_06549c4815884f97944e1aa06fda3ad6_type">
    <vt:i4>0</vt:i4>
  </property>
  <property fmtid="{D5CDD505-2E9C-101B-9397-08002B2CF9AE}" pid="25" name="hmcheck_result_06549c4815884f97944e1aa06fda3ad6_modifiedtype">
    <vt:i4>0</vt:i4>
  </property>
  <property fmtid="{D5CDD505-2E9C-101B-9397-08002B2CF9AE}" pid="26" name="hmcheck_result_a9820839a06b4ef8a2c9c53e51ccd934_errorword">
    <vt:lpwstr>污染源强</vt:lpwstr>
  </property>
  <property fmtid="{D5CDD505-2E9C-101B-9397-08002B2CF9AE}" pid="27" name="hmcheck_result_a9820839a06b4ef8a2c9c53e51ccd934_correctwords">
    <vt:lpwstr>["污染源"]</vt:lpwstr>
  </property>
  <property fmtid="{D5CDD505-2E9C-101B-9397-08002B2CF9AE}" pid="28" name="hmcheck_result_a9820839a06b4ef8a2c9c53e51ccd934_level">
    <vt:i4>1</vt:i4>
  </property>
  <property fmtid="{D5CDD505-2E9C-101B-9397-08002B2CF9AE}" pid="29" name="hmcheck_result_a9820839a06b4ef8a2c9c53e51ccd934_type">
    <vt:i4>0</vt:i4>
  </property>
  <property fmtid="{D5CDD505-2E9C-101B-9397-08002B2CF9AE}" pid="30" name="hmcheck_result_a9820839a06b4ef8a2c9c53e51ccd934_modifiedtype">
    <vt:i4>0</vt:i4>
  </property>
  <property fmtid="{D5CDD505-2E9C-101B-9397-08002B2CF9AE}" pid="31" name="hmcheck_result_0a307b13673e4e4a8a2d02a1c78aeac0_errorword">
    <vt:lpwstr>》（送审稿）</vt:lpwstr>
  </property>
  <property fmtid="{D5CDD505-2E9C-101B-9397-08002B2CF9AE}" pid="32" name="hmcheck_result_0a307b13673e4e4a8a2d02a1c78aeac0_correctwords">
    <vt:lpwstr>["（送审稿）》"]</vt:lpwstr>
  </property>
  <property fmtid="{D5CDD505-2E9C-101B-9397-08002B2CF9AE}" pid="33" name="hmcheck_result_0a307b13673e4e4a8a2d02a1c78aeac0_level">
    <vt:i4>1</vt:i4>
  </property>
  <property fmtid="{D5CDD505-2E9C-101B-9397-08002B2CF9AE}" pid="34" name="hmcheck_result_0a307b13673e4e4a8a2d02a1c78aeac0_type">
    <vt:i4>0</vt:i4>
  </property>
  <property fmtid="{D5CDD505-2E9C-101B-9397-08002B2CF9AE}" pid="35" name="hmcheck_result_0a307b13673e4e4a8a2d02a1c78aeac0_modifiedtype">
    <vt:i4>0</vt:i4>
  </property>
  <property fmtid="{D5CDD505-2E9C-101B-9397-08002B2CF9AE}" pid="36" name="hmcheck_result_3e4732826ee149938e486ecd9f3a6632_errorword">
    <vt:lpwstr>上线</vt:lpwstr>
  </property>
  <property fmtid="{D5CDD505-2E9C-101B-9397-08002B2CF9AE}" pid="37" name="hmcheck_result_3e4732826ee149938e486ecd9f3a6632_correctwords">
    <vt:lpwstr>["上限"]</vt:lpwstr>
  </property>
  <property fmtid="{D5CDD505-2E9C-101B-9397-08002B2CF9AE}" pid="38" name="hmcheck_result_3e4732826ee149938e486ecd9f3a6632_level">
    <vt:i4>1</vt:i4>
  </property>
  <property fmtid="{D5CDD505-2E9C-101B-9397-08002B2CF9AE}" pid="39" name="hmcheck_result_3e4732826ee149938e486ecd9f3a6632_type">
    <vt:i4>0</vt:i4>
  </property>
  <property fmtid="{D5CDD505-2E9C-101B-9397-08002B2CF9AE}" pid="40" name="hmcheck_result_3e4732826ee149938e486ecd9f3a6632_modifiedtype">
    <vt:i4>0</vt:i4>
  </property>
  <property fmtid="{D5CDD505-2E9C-101B-9397-08002B2CF9AE}" pid="41" name="hmcheck_result_5d807c3a1a804e669627eefc7a9654d9_errorword">
    <vt:lpwstr>上线</vt:lpwstr>
  </property>
  <property fmtid="{D5CDD505-2E9C-101B-9397-08002B2CF9AE}" pid="42" name="hmcheck_result_5d807c3a1a804e669627eefc7a9654d9_correctwords">
    <vt:lpwstr>["上限"]</vt:lpwstr>
  </property>
  <property fmtid="{D5CDD505-2E9C-101B-9397-08002B2CF9AE}" pid="43" name="hmcheck_result_5d807c3a1a804e669627eefc7a9654d9_level">
    <vt:i4>1</vt:i4>
  </property>
  <property fmtid="{D5CDD505-2E9C-101B-9397-08002B2CF9AE}" pid="44" name="hmcheck_result_5d807c3a1a804e669627eefc7a9654d9_type">
    <vt:i4>0</vt:i4>
  </property>
  <property fmtid="{D5CDD505-2E9C-101B-9397-08002B2CF9AE}" pid="45" name="hmcheck_result_5d807c3a1a804e669627eefc7a9654d9_modifiedtype">
    <vt:i4>0</vt:i4>
  </property>
  <property fmtid="{D5CDD505-2E9C-101B-9397-08002B2CF9AE}" pid="46" name="hmcheck_result_bb34561415c049d5b57e05d68761309a_errorword">
    <vt:lpwstr>环境保护部</vt:lpwstr>
  </property>
  <property fmtid="{D5CDD505-2E9C-101B-9397-08002B2CF9AE}" pid="47" name="hmcheck_result_bb34561415c049d5b57e05d68761309a_correctwords">
    <vt:lpwstr>["生态环境部"]</vt:lpwstr>
  </property>
  <property fmtid="{D5CDD505-2E9C-101B-9397-08002B2CF9AE}" pid="48" name="hmcheck_result_bb34561415c049d5b57e05d68761309a_level">
    <vt:i4>3</vt:i4>
  </property>
  <property fmtid="{D5CDD505-2E9C-101B-9397-08002B2CF9AE}" pid="49" name="hmcheck_result_bb34561415c049d5b57e05d68761309a_type">
    <vt:i4>9</vt:i4>
  </property>
  <property fmtid="{D5CDD505-2E9C-101B-9397-08002B2CF9AE}" pid="50" name="hmcheck_result_bb34561415c049d5b57e05d68761309a_modifiedtype">
    <vt:i4>2</vt:i4>
  </property>
  <property fmtid="{D5CDD505-2E9C-101B-9397-08002B2CF9AE}" pid="51" name="hmcheck_result_ceb4cf4d1f0748f8ac5fd0385136b25f_errorword">
    <vt:lpwstr>国家林业局</vt:lpwstr>
  </property>
  <property fmtid="{D5CDD505-2E9C-101B-9397-08002B2CF9AE}" pid="52" name="hmcheck_result_ceb4cf4d1f0748f8ac5fd0385136b25f_correctwords">
    <vt:lpwstr>["国家林业和草原局"]</vt:lpwstr>
  </property>
  <property fmtid="{D5CDD505-2E9C-101B-9397-08002B2CF9AE}" pid="53" name="hmcheck_result_ceb4cf4d1f0748f8ac5fd0385136b25f_errordescription">
    <vt:lpwstr>误用该机关单位的曾用名</vt:lpwstr>
  </property>
  <property fmtid="{D5CDD505-2E9C-101B-9397-08002B2CF9AE}" pid="54" name="hmcheck_result_ceb4cf4d1f0748f8ac5fd0385136b25f_level">
    <vt:i4>1</vt:i4>
  </property>
  <property fmtid="{D5CDD505-2E9C-101B-9397-08002B2CF9AE}" pid="55" name="hmcheck_result_ceb4cf4d1f0748f8ac5fd0385136b25f_type">
    <vt:i4>9</vt:i4>
  </property>
  <property fmtid="{D5CDD505-2E9C-101B-9397-08002B2CF9AE}" pid="56" name="hmcheck_result_ceb4cf4d1f0748f8ac5fd0385136b25f_modifiedtype">
    <vt:i4>2</vt:i4>
  </property>
  <property fmtid="{D5CDD505-2E9C-101B-9397-08002B2CF9AE}" pid="57" name="hmcheck_result_8f3a620530d04742bbd928774be8fdb1_errorword">
    <vt:lpwstr>国家林业局</vt:lpwstr>
  </property>
  <property fmtid="{D5CDD505-2E9C-101B-9397-08002B2CF9AE}" pid="58" name="hmcheck_result_8f3a620530d04742bbd928774be8fdb1_correctwords">
    <vt:lpwstr>["国家林业和草原局"]</vt:lpwstr>
  </property>
  <property fmtid="{D5CDD505-2E9C-101B-9397-08002B2CF9AE}" pid="59" name="hmcheck_result_8f3a620530d04742bbd928774be8fdb1_errordescription">
    <vt:lpwstr>误用该机关单位的曾用名</vt:lpwstr>
  </property>
  <property fmtid="{D5CDD505-2E9C-101B-9397-08002B2CF9AE}" pid="60" name="hmcheck_result_8f3a620530d04742bbd928774be8fdb1_level">
    <vt:i4>1</vt:i4>
  </property>
  <property fmtid="{D5CDD505-2E9C-101B-9397-08002B2CF9AE}" pid="61" name="hmcheck_result_8f3a620530d04742bbd928774be8fdb1_type">
    <vt:i4>9</vt:i4>
  </property>
  <property fmtid="{D5CDD505-2E9C-101B-9397-08002B2CF9AE}" pid="62" name="hmcheck_result_8f3a620530d04742bbd928774be8fdb1_modifiedtype">
    <vt:i4>2</vt:i4>
  </property>
  <property fmtid="{D5CDD505-2E9C-101B-9397-08002B2CF9AE}" pid="63" name="hmcheck_result_0cdb359ccaba4f3596fdbdf0124547a6_errorword">
    <vt:lpwstr>国土资源部</vt:lpwstr>
  </property>
  <property fmtid="{D5CDD505-2E9C-101B-9397-08002B2CF9AE}" pid="64" name="hmcheck_result_0cdb359ccaba4f3596fdbdf0124547a6_correctwords">
    <vt:lpwstr>["自然资源部"]</vt:lpwstr>
  </property>
  <property fmtid="{D5CDD505-2E9C-101B-9397-08002B2CF9AE}" pid="65" name="hmcheck_result_0cdb359ccaba4f3596fdbdf0124547a6_level">
    <vt:i4>3</vt:i4>
  </property>
  <property fmtid="{D5CDD505-2E9C-101B-9397-08002B2CF9AE}" pid="66" name="hmcheck_result_0cdb359ccaba4f3596fdbdf0124547a6_type">
    <vt:i4>9</vt:i4>
  </property>
  <property fmtid="{D5CDD505-2E9C-101B-9397-08002B2CF9AE}" pid="67" name="hmcheck_result_0cdb359ccaba4f3596fdbdf0124547a6_modifiedtype">
    <vt:i4>0</vt:i4>
  </property>
  <property fmtid="{D5CDD505-2E9C-101B-9397-08002B2CF9AE}" pid="68" name="hmcheck_result_d6609c4ca1504b4db1b47b5fc90ba53f_errorword">
    <vt:lpwstr>福建省交通厅</vt:lpwstr>
  </property>
  <property fmtid="{D5CDD505-2E9C-101B-9397-08002B2CF9AE}" pid="69" name="hmcheck_result_d6609c4ca1504b4db1b47b5fc90ba53f_correctwords">
    <vt:lpwstr>["福建省交通运输厅"]</vt:lpwstr>
  </property>
  <property fmtid="{D5CDD505-2E9C-101B-9397-08002B2CF9AE}" pid="70" name="hmcheck_result_d6609c4ca1504b4db1b47b5fc90ba53f_errordescription">
    <vt:lpwstr>机关单位全简称表述错误</vt:lpwstr>
  </property>
  <property fmtid="{D5CDD505-2E9C-101B-9397-08002B2CF9AE}" pid="71" name="hmcheck_result_d6609c4ca1504b4db1b47b5fc90ba53f_level">
    <vt:i4>1</vt:i4>
  </property>
  <property fmtid="{D5CDD505-2E9C-101B-9397-08002B2CF9AE}" pid="72" name="hmcheck_result_d6609c4ca1504b4db1b47b5fc90ba53f_type">
    <vt:i4>9</vt:i4>
  </property>
  <property fmtid="{D5CDD505-2E9C-101B-9397-08002B2CF9AE}" pid="73" name="hmcheck_result_d6609c4ca1504b4db1b47b5fc90ba53f_modifiedtype">
    <vt:i4>2</vt:i4>
  </property>
  <property fmtid="{D5CDD505-2E9C-101B-9397-08002B2CF9AE}" pid="74" name="hmcheck_result_abcc4c4adeb343999f8728a199dbb863_errorword">
    <vt:lpwstr>[2011]</vt:lpwstr>
  </property>
  <property fmtid="{D5CDD505-2E9C-101B-9397-08002B2CF9AE}" pid="75" name="hmcheck_result_abcc4c4adeb343999f8728a199dbb863_correctwords">
    <vt:lpwstr>["〔2011〕"]</vt:lpwstr>
  </property>
  <property fmtid="{D5CDD505-2E9C-101B-9397-08002B2CF9AE}" pid="76" name="hmcheck_result_abcc4c4adeb343999f8728a199dbb863_level">
    <vt:i4>1</vt:i4>
  </property>
  <property fmtid="{D5CDD505-2E9C-101B-9397-08002B2CF9AE}" pid="77" name="hmcheck_result_abcc4c4adeb343999f8728a199dbb863_type">
    <vt:i4>0</vt:i4>
  </property>
  <property fmtid="{D5CDD505-2E9C-101B-9397-08002B2CF9AE}" pid="78" name="hmcheck_result_abcc4c4adeb343999f8728a199dbb863_modifiedtype">
    <vt:i4>0</vt:i4>
  </property>
  <property fmtid="{D5CDD505-2E9C-101B-9397-08002B2CF9AE}" pid="79" name="hmcheck_result_dc9a0d2c2c80442892c7cdb8676abf6c_errorword">
    <vt:lpwstr>选</vt:lpwstr>
  </property>
  <property fmtid="{D5CDD505-2E9C-101B-9397-08002B2CF9AE}" pid="80" name="hmcheck_result_dc9a0d2c2c80442892c7cdb8676abf6c_correctwords">
    <vt:lpwstr>["选意"]</vt:lpwstr>
  </property>
  <property fmtid="{D5CDD505-2E9C-101B-9397-08002B2CF9AE}" pid="81" name="hmcheck_result_dc9a0d2c2c80442892c7cdb8676abf6c_level">
    <vt:i4>1</vt:i4>
  </property>
  <property fmtid="{D5CDD505-2E9C-101B-9397-08002B2CF9AE}" pid="82" name="hmcheck_result_dc9a0d2c2c80442892c7cdb8676abf6c_type">
    <vt:i4>0</vt:i4>
  </property>
  <property fmtid="{D5CDD505-2E9C-101B-9397-08002B2CF9AE}" pid="83" name="hmcheck_result_dc9a0d2c2c80442892c7cdb8676abf6c_modifiedtype">
    <vt:i4>0</vt:i4>
  </property>
  <property fmtid="{D5CDD505-2E9C-101B-9397-08002B2CF9AE}" pid="84" name="hmcheck_result_b0356062a2454eb7a13b50b2af0cd0b4_errorword">
    <vt:lpwstr>（</vt:lpwstr>
  </property>
  <property fmtid="{D5CDD505-2E9C-101B-9397-08002B2CF9AE}" pid="85" name="hmcheck_result_b0356062a2454eb7a13b50b2af0cd0b4_correctwords">
    <vt:lpwstr>[]</vt:lpwstr>
  </property>
  <property fmtid="{D5CDD505-2E9C-101B-9397-08002B2CF9AE}" pid="86" name="hmcheck_result_b0356062a2454eb7a13b50b2af0cd0b4_errordescription">
    <vt:lpwstr>标点符号（缺少成对</vt:lpwstr>
  </property>
  <property fmtid="{D5CDD505-2E9C-101B-9397-08002B2CF9AE}" pid="87" name="hmcheck_result_b0356062a2454eb7a13b50b2af0cd0b4_level">
    <vt:i4>1</vt:i4>
  </property>
  <property fmtid="{D5CDD505-2E9C-101B-9397-08002B2CF9AE}" pid="88" name="hmcheck_result_b0356062a2454eb7a13b50b2af0cd0b4_type">
    <vt:i4>1</vt:i4>
  </property>
  <property fmtid="{D5CDD505-2E9C-101B-9397-08002B2CF9AE}" pid="89" name="hmcheck_result_b0356062a2454eb7a13b50b2af0cd0b4_modifiedtype">
    <vt:i4>0</vt:i4>
  </property>
  <property fmtid="{D5CDD505-2E9C-101B-9397-08002B2CF9AE}" pid="90" name="hmcheck_result_e38838b15a4c4485b988c47e73e79d7a_errorword">
    <vt:lpwstr>LAeq</vt:lpwstr>
  </property>
  <property fmtid="{D5CDD505-2E9C-101B-9397-08002B2CF9AE}" pid="91" name="hmcheck_result_e38838b15a4c4485b988c47e73e79d7a_correctwords">
    <vt:lpwstr>["lae"]</vt:lpwstr>
  </property>
  <property fmtid="{D5CDD505-2E9C-101B-9397-08002B2CF9AE}" pid="92" name="hmcheck_result_e38838b15a4c4485b988c47e73e79d7a_level">
    <vt:i4>1</vt:i4>
  </property>
  <property fmtid="{D5CDD505-2E9C-101B-9397-08002B2CF9AE}" pid="93" name="hmcheck_result_e38838b15a4c4485b988c47e73e79d7a_type">
    <vt:i4>6</vt:i4>
  </property>
  <property fmtid="{D5CDD505-2E9C-101B-9397-08002B2CF9AE}" pid="94" name="hmcheck_result_e38838b15a4c4485b988c47e73e79d7a_modifiedtype">
    <vt:i4>0</vt:i4>
  </property>
  <property fmtid="{D5CDD505-2E9C-101B-9397-08002B2CF9AE}" pid="95" name="hmcheck_result_8976949f2fa2479b9901e441a48a73c1_errorword">
    <vt:lpwstr>Leq</vt:lpwstr>
  </property>
  <property fmtid="{D5CDD505-2E9C-101B-9397-08002B2CF9AE}" pid="96" name="hmcheck_result_8976949f2fa2479b9901e441a48a73c1_correctwords">
    <vt:lpwstr>["lea","lew","le"]</vt:lpwstr>
  </property>
  <property fmtid="{D5CDD505-2E9C-101B-9397-08002B2CF9AE}" pid="97" name="hmcheck_result_8976949f2fa2479b9901e441a48a73c1_level">
    <vt:i4>1</vt:i4>
  </property>
  <property fmtid="{D5CDD505-2E9C-101B-9397-08002B2CF9AE}" pid="98" name="hmcheck_result_8976949f2fa2479b9901e441a48a73c1_type">
    <vt:i4>6</vt:i4>
  </property>
  <property fmtid="{D5CDD505-2E9C-101B-9397-08002B2CF9AE}" pid="99" name="hmcheck_result_8976949f2fa2479b9901e441a48a73c1_modifiedtype">
    <vt:i4>0</vt:i4>
  </property>
  <property fmtid="{D5CDD505-2E9C-101B-9397-08002B2CF9AE}" pid="100" name="hmcheck_result_c4e7af9df0ac44ad8cde36643db984ce_errorword">
    <vt:lpwstr>Leq</vt:lpwstr>
  </property>
  <property fmtid="{D5CDD505-2E9C-101B-9397-08002B2CF9AE}" pid="101" name="hmcheck_result_c4e7af9df0ac44ad8cde36643db984ce_correctwords">
    <vt:lpwstr>["lea","lew","le"]</vt:lpwstr>
  </property>
  <property fmtid="{D5CDD505-2E9C-101B-9397-08002B2CF9AE}" pid="102" name="hmcheck_result_c4e7af9df0ac44ad8cde36643db984ce_level">
    <vt:i4>1</vt:i4>
  </property>
  <property fmtid="{D5CDD505-2E9C-101B-9397-08002B2CF9AE}" pid="103" name="hmcheck_result_c4e7af9df0ac44ad8cde36643db984ce_type">
    <vt:i4>6</vt:i4>
  </property>
  <property fmtid="{D5CDD505-2E9C-101B-9397-08002B2CF9AE}" pid="104" name="hmcheck_result_c4e7af9df0ac44ad8cde36643db984ce_modifiedtype">
    <vt:i4>0</vt:i4>
  </property>
  <property fmtid="{D5CDD505-2E9C-101B-9397-08002B2CF9AE}" pid="105" name="hmcheck_result_99fe0f73aa494ad683536f74c1464614_errorword">
    <vt:lpwstr>LAeq</vt:lpwstr>
  </property>
  <property fmtid="{D5CDD505-2E9C-101B-9397-08002B2CF9AE}" pid="106" name="hmcheck_result_99fe0f73aa494ad683536f74c1464614_correctwords">
    <vt:lpwstr>["lae"]</vt:lpwstr>
  </property>
  <property fmtid="{D5CDD505-2E9C-101B-9397-08002B2CF9AE}" pid="107" name="hmcheck_result_99fe0f73aa494ad683536f74c1464614_level">
    <vt:i4>1</vt:i4>
  </property>
  <property fmtid="{D5CDD505-2E9C-101B-9397-08002B2CF9AE}" pid="108" name="hmcheck_result_99fe0f73aa494ad683536f74c1464614_type">
    <vt:i4>6</vt:i4>
  </property>
  <property fmtid="{D5CDD505-2E9C-101B-9397-08002B2CF9AE}" pid="109" name="hmcheck_result_99fe0f73aa494ad683536f74c1464614_modifiedtype">
    <vt:i4>0</vt:i4>
  </property>
  <property fmtid="{D5CDD505-2E9C-101B-9397-08002B2CF9AE}" pid="110" name="hmcheck_result_7a16d410644149e591a8afb3c9f5fdab_errorword">
    <vt:lpwstr>期</vt:lpwstr>
  </property>
  <property fmtid="{D5CDD505-2E9C-101B-9397-08002B2CF9AE}" pid="111" name="hmcheck_result_7a16d410644149e591a8afb3c9f5fdab_correctwords">
    <vt:lpwstr>["期间"]</vt:lpwstr>
  </property>
  <property fmtid="{D5CDD505-2E9C-101B-9397-08002B2CF9AE}" pid="112" name="hmcheck_result_7a16d410644149e591a8afb3c9f5fdab_errordescription">
    <vt:lpwstr>〈名〉某个时期里面：农忙～｜春节～｜抗战～。</vt:lpwstr>
  </property>
  <property fmtid="{D5CDD505-2E9C-101B-9397-08002B2CF9AE}" pid="113" name="hmcheck_result_7a16d410644149e591a8afb3c9f5fdab_level">
    <vt:i4>1</vt:i4>
  </property>
  <property fmtid="{D5CDD505-2E9C-101B-9397-08002B2CF9AE}" pid="114" name="hmcheck_result_7a16d410644149e591a8afb3c9f5fdab_type">
    <vt:i4>0</vt:i4>
  </property>
  <property fmtid="{D5CDD505-2E9C-101B-9397-08002B2CF9AE}" pid="115" name="hmcheck_result_7a16d410644149e591a8afb3c9f5fdab_modifiedtype">
    <vt:i4>0</vt:i4>
  </property>
  <property fmtid="{D5CDD505-2E9C-101B-9397-08002B2CF9AE}" pid="116" name="hmcheck_result_1ed727552e9f4a17b9ed89318e4df8c9_errorword">
    <vt:lpwstr>生态生态</vt:lpwstr>
  </property>
  <property fmtid="{D5CDD505-2E9C-101B-9397-08002B2CF9AE}" pid="117" name="hmcheck_result_1ed727552e9f4a17b9ed89318e4df8c9_correctwords">
    <vt:lpwstr>["生态"]</vt:lpwstr>
  </property>
  <property fmtid="{D5CDD505-2E9C-101B-9397-08002B2CF9AE}" pid="118" name="hmcheck_result_1ed727552e9f4a17b9ed89318e4df8c9_level">
    <vt:i4>1</vt:i4>
  </property>
  <property fmtid="{D5CDD505-2E9C-101B-9397-08002B2CF9AE}" pid="119" name="hmcheck_result_1ed727552e9f4a17b9ed89318e4df8c9_type">
    <vt:i4>0</vt:i4>
  </property>
  <property fmtid="{D5CDD505-2E9C-101B-9397-08002B2CF9AE}" pid="120" name="hmcheck_result_1ed727552e9f4a17b9ed89318e4df8c9_modifiedtype">
    <vt:i4>2</vt:i4>
  </property>
  <property fmtid="{D5CDD505-2E9C-101B-9397-08002B2CF9AE}" pid="121" name="hmcheck_result_9d6d078b1e1443a983bfdabbf9991ce3_errorword">
    <vt:lpwstr>场界</vt:lpwstr>
  </property>
  <property fmtid="{D5CDD505-2E9C-101B-9397-08002B2CF9AE}" pid="122" name="hmcheck_result_9d6d078b1e1443a983bfdabbf9991ce3_correctwords">
    <vt:lpwstr>["厂界"]</vt:lpwstr>
  </property>
  <property fmtid="{D5CDD505-2E9C-101B-9397-08002B2CF9AE}" pid="123" name="hmcheck_result_9d6d078b1e1443a983bfdabbf9991ce3_level">
    <vt:i4>1</vt:i4>
  </property>
  <property fmtid="{D5CDD505-2E9C-101B-9397-08002B2CF9AE}" pid="124" name="hmcheck_result_9d6d078b1e1443a983bfdabbf9991ce3_type">
    <vt:i4>0</vt:i4>
  </property>
  <property fmtid="{D5CDD505-2E9C-101B-9397-08002B2CF9AE}" pid="125" name="hmcheck_result_9d6d078b1e1443a983bfdabbf9991ce3_modifiedtype">
    <vt:i4>0</vt:i4>
  </property>
  <property fmtid="{D5CDD505-2E9C-101B-9397-08002B2CF9AE}" pid="126" name="hmcheck_result_6d36e77644974535b4e87eb018510935_errorword">
    <vt:lpwstr>~</vt:lpwstr>
  </property>
  <property fmtid="{D5CDD505-2E9C-101B-9397-08002B2CF9AE}" pid="127" name="hmcheck_result_6d36e77644974535b4e87eb018510935_correctwords">
    <vt:lpwstr>["～"]</vt:lpwstr>
  </property>
  <property fmtid="{D5CDD505-2E9C-101B-9397-08002B2CF9AE}" pid="128" name="hmcheck_result_6d36e77644974535b4e87eb018510935_level">
    <vt:i4>1</vt:i4>
  </property>
  <property fmtid="{D5CDD505-2E9C-101B-9397-08002B2CF9AE}" pid="129" name="hmcheck_result_6d36e77644974535b4e87eb018510935_type">
    <vt:i4>1</vt:i4>
  </property>
  <property fmtid="{D5CDD505-2E9C-101B-9397-08002B2CF9AE}" pid="130" name="hmcheck_result_6d36e77644974535b4e87eb018510935_modifiedtype">
    <vt:i4>0</vt:i4>
  </property>
  <property fmtid="{D5CDD505-2E9C-101B-9397-08002B2CF9AE}" pid="131" name="hmcheck_result_dd6bb9b5395b41fcb8f4881f57bb6ea8_errorword">
    <vt:lpwstr>区</vt:lpwstr>
  </property>
  <property fmtid="{D5CDD505-2E9C-101B-9397-08002B2CF9AE}" pid="132" name="hmcheck_result_dd6bb9b5395b41fcb8f4881f57bb6ea8_correctwords">
    <vt:lpwstr>["区域"]</vt:lpwstr>
  </property>
  <property fmtid="{D5CDD505-2E9C-101B-9397-08002B2CF9AE}" pid="133" name="hmcheck_result_dd6bb9b5395b41fcb8f4881f57bb6ea8_level">
    <vt:i4>1</vt:i4>
  </property>
  <property fmtid="{D5CDD505-2E9C-101B-9397-08002B2CF9AE}" pid="134" name="hmcheck_result_dd6bb9b5395b41fcb8f4881f57bb6ea8_type">
    <vt:i4>0</vt:i4>
  </property>
  <property fmtid="{D5CDD505-2E9C-101B-9397-08002B2CF9AE}" pid="135" name="hmcheck_result_dd6bb9b5395b41fcb8f4881f57bb6ea8_modifiedtype">
    <vt:i4>0</vt:i4>
  </property>
  <property fmtid="{D5CDD505-2E9C-101B-9397-08002B2CF9AE}" pid="136" name="hmcheck_result_22094f7cc9814cd384b36ce2596ffa81_errorword">
    <vt:lpwstr>区</vt:lpwstr>
  </property>
  <property fmtid="{D5CDD505-2E9C-101B-9397-08002B2CF9AE}" pid="137" name="hmcheck_result_22094f7cc9814cd384b36ce2596ffa81_correctwords">
    <vt:lpwstr>["区域"]</vt:lpwstr>
  </property>
  <property fmtid="{D5CDD505-2E9C-101B-9397-08002B2CF9AE}" pid="138" name="hmcheck_result_22094f7cc9814cd384b36ce2596ffa81_level">
    <vt:i4>1</vt:i4>
  </property>
  <property fmtid="{D5CDD505-2E9C-101B-9397-08002B2CF9AE}" pid="139" name="hmcheck_result_22094f7cc9814cd384b36ce2596ffa81_type">
    <vt:i4>0</vt:i4>
  </property>
  <property fmtid="{D5CDD505-2E9C-101B-9397-08002B2CF9AE}" pid="140" name="hmcheck_result_22094f7cc9814cd384b36ce2596ffa81_modifiedtype">
    <vt:i4>0</vt:i4>
  </property>
  <property fmtid="{D5CDD505-2E9C-101B-9397-08002B2CF9AE}" pid="141" name="hmcheck_result_9f5ce4a7e90840c29bd29e95f64fefdb_errorword">
    <vt:lpwstr>区</vt:lpwstr>
  </property>
  <property fmtid="{D5CDD505-2E9C-101B-9397-08002B2CF9AE}" pid="142" name="hmcheck_result_9f5ce4a7e90840c29bd29e95f64fefdb_correctwords">
    <vt:lpwstr>["区域"]</vt:lpwstr>
  </property>
  <property fmtid="{D5CDD505-2E9C-101B-9397-08002B2CF9AE}" pid="143" name="hmcheck_result_9f5ce4a7e90840c29bd29e95f64fefdb_level">
    <vt:i4>1</vt:i4>
  </property>
  <property fmtid="{D5CDD505-2E9C-101B-9397-08002B2CF9AE}" pid="144" name="hmcheck_result_9f5ce4a7e90840c29bd29e95f64fefdb_type">
    <vt:i4>0</vt:i4>
  </property>
  <property fmtid="{D5CDD505-2E9C-101B-9397-08002B2CF9AE}" pid="145" name="hmcheck_result_9f5ce4a7e90840c29bd29e95f64fefdb_modifiedtype">
    <vt:i4>0</vt:i4>
  </property>
  <property fmtid="{D5CDD505-2E9C-101B-9397-08002B2CF9AE}" pid="146" name="hmcheck_result_bf5ef3f4c9e642c0bad96dcbbd6816f2_errorword">
    <vt:lpwstr>3~5</vt:lpwstr>
  </property>
  <property fmtid="{D5CDD505-2E9C-101B-9397-08002B2CF9AE}" pid="147" name="hmcheck_result_bf5ef3f4c9e642c0bad96dcbbd6816f2_correctwords">
    <vt:lpwstr>["&lt;有错&gt;"]</vt:lpwstr>
  </property>
  <property fmtid="{D5CDD505-2E9C-101B-9397-08002B2CF9AE}" pid="148" name="hmcheck_result_bf5ef3f4c9e642c0bad96dcbbd6816f2_level">
    <vt:i4>1</vt:i4>
  </property>
  <property fmtid="{D5CDD505-2E9C-101B-9397-08002B2CF9AE}" pid="149" name="hmcheck_result_bf5ef3f4c9e642c0bad96dcbbd6816f2_type">
    <vt:i4>0</vt:i4>
  </property>
  <property fmtid="{D5CDD505-2E9C-101B-9397-08002B2CF9AE}" pid="150" name="hmcheck_result_bf5ef3f4c9e642c0bad96dcbbd6816f2_modifiedtype">
    <vt:i4>0</vt:i4>
  </property>
  <property fmtid="{D5CDD505-2E9C-101B-9397-08002B2CF9AE}" pid="151" name="hmcheck_result_9da9b3f678d544799719e0e976c50cc6_errorword">
    <vt:lpwstr>路右</vt:lpwstr>
  </property>
  <property fmtid="{D5CDD505-2E9C-101B-9397-08002B2CF9AE}" pid="152" name="hmcheck_result_9da9b3f678d544799719e0e976c50cc6_correctwords">
    <vt:lpwstr>["左右"]</vt:lpwstr>
  </property>
  <property fmtid="{D5CDD505-2E9C-101B-9397-08002B2CF9AE}" pid="153" name="hmcheck_result_9da9b3f678d544799719e0e976c50cc6_level">
    <vt:i4>1</vt:i4>
  </property>
  <property fmtid="{D5CDD505-2E9C-101B-9397-08002B2CF9AE}" pid="154" name="hmcheck_result_9da9b3f678d544799719e0e976c50cc6_type">
    <vt:i4>0</vt:i4>
  </property>
  <property fmtid="{D5CDD505-2E9C-101B-9397-08002B2CF9AE}" pid="155" name="hmcheck_result_9da9b3f678d544799719e0e976c50cc6_modifiedtype">
    <vt:i4>2</vt:i4>
  </property>
  <property fmtid="{D5CDD505-2E9C-101B-9397-08002B2CF9AE}" pid="156" name="hmcheck_result_5d51ace74bac48dbb86ed7a2f3ca74d6_errorword">
    <vt:lpwstr>~</vt:lpwstr>
  </property>
  <property fmtid="{D5CDD505-2E9C-101B-9397-08002B2CF9AE}" pid="157" name="hmcheck_result_5d51ace74bac48dbb86ed7a2f3ca74d6_correctwords">
    <vt:lpwstr>["～"]</vt:lpwstr>
  </property>
  <property fmtid="{D5CDD505-2E9C-101B-9397-08002B2CF9AE}" pid="158" name="hmcheck_result_5d51ace74bac48dbb86ed7a2f3ca74d6_level">
    <vt:i4>1</vt:i4>
  </property>
  <property fmtid="{D5CDD505-2E9C-101B-9397-08002B2CF9AE}" pid="159" name="hmcheck_result_5d51ace74bac48dbb86ed7a2f3ca74d6_type">
    <vt:i4>1</vt:i4>
  </property>
  <property fmtid="{D5CDD505-2E9C-101B-9397-08002B2CF9AE}" pid="160" name="hmcheck_result_5d51ace74bac48dbb86ed7a2f3ca74d6_modifiedtype">
    <vt:i4>0</vt:i4>
  </property>
  <property fmtid="{D5CDD505-2E9C-101B-9397-08002B2CF9AE}" pid="161" name="hmcheck_result_bcb2984311d140d399c7f8e26c8fc727_errorword">
    <vt:lpwstr>000~</vt:lpwstr>
  </property>
  <property fmtid="{D5CDD505-2E9C-101B-9397-08002B2CF9AE}" pid="162" name="hmcheck_result_bcb2984311d140d399c7f8e26c8fc727_correctwords">
    <vt:lpwstr>["&lt;有错&gt;"]</vt:lpwstr>
  </property>
  <property fmtid="{D5CDD505-2E9C-101B-9397-08002B2CF9AE}" pid="163" name="hmcheck_result_bcb2984311d140d399c7f8e26c8fc727_level">
    <vt:i4>1</vt:i4>
  </property>
  <property fmtid="{D5CDD505-2E9C-101B-9397-08002B2CF9AE}" pid="164" name="hmcheck_result_bcb2984311d140d399c7f8e26c8fc727_type">
    <vt:i4>0</vt:i4>
  </property>
  <property fmtid="{D5CDD505-2E9C-101B-9397-08002B2CF9AE}" pid="165" name="hmcheck_result_bcb2984311d140d399c7f8e26c8fc727_modifiedtype">
    <vt:i4>0</vt:i4>
  </property>
  <property fmtid="{D5CDD505-2E9C-101B-9397-08002B2CF9AE}" pid="166" name="hmcheck_result_ecd21fd0cd404d6eb08b438bab5484b8_errorword">
    <vt:lpwstr>000~</vt:lpwstr>
  </property>
  <property fmtid="{D5CDD505-2E9C-101B-9397-08002B2CF9AE}" pid="167" name="hmcheck_result_ecd21fd0cd404d6eb08b438bab5484b8_correctwords">
    <vt:lpwstr>["&lt;有错&gt;"]</vt:lpwstr>
  </property>
  <property fmtid="{D5CDD505-2E9C-101B-9397-08002B2CF9AE}" pid="168" name="hmcheck_result_ecd21fd0cd404d6eb08b438bab5484b8_level">
    <vt:i4>1</vt:i4>
  </property>
  <property fmtid="{D5CDD505-2E9C-101B-9397-08002B2CF9AE}" pid="169" name="hmcheck_result_ecd21fd0cd404d6eb08b438bab5484b8_type">
    <vt:i4>0</vt:i4>
  </property>
  <property fmtid="{D5CDD505-2E9C-101B-9397-08002B2CF9AE}" pid="170" name="hmcheck_result_ecd21fd0cd404d6eb08b438bab5484b8_modifiedtype">
    <vt:i4>0</vt:i4>
  </property>
  <property fmtid="{D5CDD505-2E9C-101B-9397-08002B2CF9AE}" pid="171" name="hmcheck_result_85f61c4fdb3a433296ab8706828bdfb8_errorword">
    <vt:lpwstr>较见</vt:lpwstr>
  </property>
  <property fmtid="{D5CDD505-2E9C-101B-9397-08002B2CF9AE}" pid="172" name="hmcheck_result_85f61c4fdb3a433296ab8706828bdfb8_correctwords">
    <vt:lpwstr>["较少"]</vt:lpwstr>
  </property>
  <property fmtid="{D5CDD505-2E9C-101B-9397-08002B2CF9AE}" pid="173" name="hmcheck_result_85f61c4fdb3a433296ab8706828bdfb8_level">
    <vt:i4>1</vt:i4>
  </property>
  <property fmtid="{D5CDD505-2E9C-101B-9397-08002B2CF9AE}" pid="174" name="hmcheck_result_85f61c4fdb3a433296ab8706828bdfb8_type">
    <vt:i4>0</vt:i4>
  </property>
  <property fmtid="{D5CDD505-2E9C-101B-9397-08002B2CF9AE}" pid="175" name="hmcheck_result_85f61c4fdb3a433296ab8706828bdfb8_modifiedtype">
    <vt:i4>0</vt:i4>
  </property>
  <property fmtid="{D5CDD505-2E9C-101B-9397-08002B2CF9AE}" pid="176" name="hmcheck_result_1e2f5e7f810644d7832fba94b5cb4ec0_errorword">
    <vt:lpwstr>况</vt:lpwstr>
  </property>
  <property fmtid="{D5CDD505-2E9C-101B-9397-08002B2CF9AE}" pid="177" name="hmcheck_result_1e2f5e7f810644d7832fba94b5cb4ec0_correctwords">
    <vt:lpwstr>["况意"]</vt:lpwstr>
  </property>
  <property fmtid="{D5CDD505-2E9C-101B-9397-08002B2CF9AE}" pid="178" name="hmcheck_result_1e2f5e7f810644d7832fba94b5cb4ec0_level">
    <vt:i4>1</vt:i4>
  </property>
  <property fmtid="{D5CDD505-2E9C-101B-9397-08002B2CF9AE}" pid="179" name="hmcheck_result_1e2f5e7f810644d7832fba94b5cb4ec0_type">
    <vt:i4>0</vt:i4>
  </property>
  <property fmtid="{D5CDD505-2E9C-101B-9397-08002B2CF9AE}" pid="180" name="hmcheck_result_1e2f5e7f810644d7832fba94b5cb4ec0_modifiedtype">
    <vt:i4>0</vt:i4>
  </property>
  <property fmtid="{D5CDD505-2E9C-101B-9397-08002B2CF9AE}" pid="181" name="hmcheck_result_acd0691fc17b4339b7d686d9d8dceccb_errorword">
    <vt:lpwstr>000~</vt:lpwstr>
  </property>
  <property fmtid="{D5CDD505-2E9C-101B-9397-08002B2CF9AE}" pid="182" name="hmcheck_result_acd0691fc17b4339b7d686d9d8dceccb_correctwords">
    <vt:lpwstr>["&lt;有错&gt;"]</vt:lpwstr>
  </property>
  <property fmtid="{D5CDD505-2E9C-101B-9397-08002B2CF9AE}" pid="183" name="hmcheck_result_acd0691fc17b4339b7d686d9d8dceccb_level">
    <vt:i4>1</vt:i4>
  </property>
  <property fmtid="{D5CDD505-2E9C-101B-9397-08002B2CF9AE}" pid="184" name="hmcheck_result_acd0691fc17b4339b7d686d9d8dceccb_type">
    <vt:i4>0</vt:i4>
  </property>
  <property fmtid="{D5CDD505-2E9C-101B-9397-08002B2CF9AE}" pid="185" name="hmcheck_result_acd0691fc17b4339b7d686d9d8dceccb_modifiedtype">
    <vt:i4>0</vt:i4>
  </property>
  <property fmtid="{D5CDD505-2E9C-101B-9397-08002B2CF9AE}" pid="186" name="hmcheck_result_1fe08abacc8a40e5971cff7c3da53dba_errorword">
    <vt:lpwstr>000~</vt:lpwstr>
  </property>
  <property fmtid="{D5CDD505-2E9C-101B-9397-08002B2CF9AE}" pid="187" name="hmcheck_result_1fe08abacc8a40e5971cff7c3da53dba_correctwords">
    <vt:lpwstr>["&lt;有错&gt;"]</vt:lpwstr>
  </property>
  <property fmtid="{D5CDD505-2E9C-101B-9397-08002B2CF9AE}" pid="188" name="hmcheck_result_1fe08abacc8a40e5971cff7c3da53dba_level">
    <vt:i4>1</vt:i4>
  </property>
  <property fmtid="{D5CDD505-2E9C-101B-9397-08002B2CF9AE}" pid="189" name="hmcheck_result_1fe08abacc8a40e5971cff7c3da53dba_type">
    <vt:i4>0</vt:i4>
  </property>
  <property fmtid="{D5CDD505-2E9C-101B-9397-08002B2CF9AE}" pid="190" name="hmcheck_result_1fe08abacc8a40e5971cff7c3da53dba_modifiedtype">
    <vt:i4>0</vt:i4>
  </property>
  <property fmtid="{D5CDD505-2E9C-101B-9397-08002B2CF9AE}" pid="191" name="hmcheck_result_58495a3abe8847d6affbad2255a6159b_errorword">
    <vt:lpwstr>线线</vt:lpwstr>
  </property>
  <property fmtid="{D5CDD505-2E9C-101B-9397-08002B2CF9AE}" pid="192" name="hmcheck_result_58495a3abe8847d6affbad2255a6159b_correctwords">
    <vt:lpwstr>["线"]</vt:lpwstr>
  </property>
  <property fmtid="{D5CDD505-2E9C-101B-9397-08002B2CF9AE}" pid="193" name="hmcheck_result_58495a3abe8847d6affbad2255a6159b_level">
    <vt:i4>1</vt:i4>
  </property>
  <property fmtid="{D5CDD505-2E9C-101B-9397-08002B2CF9AE}" pid="194" name="hmcheck_result_58495a3abe8847d6affbad2255a6159b_type">
    <vt:i4>0</vt:i4>
  </property>
  <property fmtid="{D5CDD505-2E9C-101B-9397-08002B2CF9AE}" pid="195" name="hmcheck_result_58495a3abe8847d6affbad2255a6159b_modifiedtype">
    <vt:i4>0</vt:i4>
  </property>
  <property fmtid="{D5CDD505-2E9C-101B-9397-08002B2CF9AE}" pid="196" name="hmcheck_result_9ee2feec86904c6e936f87a5dccab0bc_errorword">
    <vt:lpwstr>略优</vt:lpwstr>
  </property>
  <property fmtid="{D5CDD505-2E9C-101B-9397-08002B2CF9AE}" pid="197" name="hmcheck_result_9ee2feec86904c6e936f87a5dccab0bc_correctwords">
    <vt:lpwstr>["略有"]</vt:lpwstr>
  </property>
  <property fmtid="{D5CDD505-2E9C-101B-9397-08002B2CF9AE}" pid="198" name="hmcheck_result_9ee2feec86904c6e936f87a5dccab0bc_level">
    <vt:i4>1</vt:i4>
  </property>
  <property fmtid="{D5CDD505-2E9C-101B-9397-08002B2CF9AE}" pid="199" name="hmcheck_result_9ee2feec86904c6e936f87a5dccab0bc_type">
    <vt:i4>0</vt:i4>
  </property>
  <property fmtid="{D5CDD505-2E9C-101B-9397-08002B2CF9AE}" pid="200" name="hmcheck_result_9ee2feec86904c6e936f87a5dccab0bc_modifiedtype">
    <vt:i4>0</vt:i4>
  </property>
  <property fmtid="{D5CDD505-2E9C-101B-9397-08002B2CF9AE}" pid="201" name="hmcheck_result_b30e47599007446888852f62f36d9e66_errorword">
    <vt:lpwstr>较见</vt:lpwstr>
  </property>
  <property fmtid="{D5CDD505-2E9C-101B-9397-08002B2CF9AE}" pid="202" name="hmcheck_result_b30e47599007446888852f62f36d9e66_correctwords">
    <vt:lpwstr>["较少"]</vt:lpwstr>
  </property>
  <property fmtid="{D5CDD505-2E9C-101B-9397-08002B2CF9AE}" pid="203" name="hmcheck_result_b30e47599007446888852f62f36d9e66_level">
    <vt:i4>1</vt:i4>
  </property>
  <property fmtid="{D5CDD505-2E9C-101B-9397-08002B2CF9AE}" pid="204" name="hmcheck_result_b30e47599007446888852f62f36d9e66_type">
    <vt:i4>0</vt:i4>
  </property>
  <property fmtid="{D5CDD505-2E9C-101B-9397-08002B2CF9AE}" pid="205" name="hmcheck_result_b30e47599007446888852f62f36d9e66_modifiedtype">
    <vt:i4>0</vt:i4>
  </property>
  <property fmtid="{D5CDD505-2E9C-101B-9397-08002B2CF9AE}" pid="206" name="hmcheck_result_49eaa665c3704afdace633a392cde663_errorword">
    <vt:lpwstr>况</vt:lpwstr>
  </property>
  <property fmtid="{D5CDD505-2E9C-101B-9397-08002B2CF9AE}" pid="207" name="hmcheck_result_49eaa665c3704afdace633a392cde663_correctwords">
    <vt:lpwstr>["况意"]</vt:lpwstr>
  </property>
  <property fmtid="{D5CDD505-2E9C-101B-9397-08002B2CF9AE}" pid="208" name="hmcheck_result_49eaa665c3704afdace633a392cde663_level">
    <vt:i4>1</vt:i4>
  </property>
  <property fmtid="{D5CDD505-2E9C-101B-9397-08002B2CF9AE}" pid="209" name="hmcheck_result_49eaa665c3704afdace633a392cde663_type">
    <vt:i4>0</vt:i4>
  </property>
  <property fmtid="{D5CDD505-2E9C-101B-9397-08002B2CF9AE}" pid="210" name="hmcheck_result_49eaa665c3704afdace633a392cde663_modifiedtype">
    <vt:i4>0</vt:i4>
  </property>
  <property fmtid="{D5CDD505-2E9C-101B-9397-08002B2CF9AE}" pid="211" name="hmcheck_result_d792823c06e64588a30b1afd30521609_errorword">
    <vt:lpwstr>线线</vt:lpwstr>
  </property>
  <property fmtid="{D5CDD505-2E9C-101B-9397-08002B2CF9AE}" pid="212" name="hmcheck_result_d792823c06e64588a30b1afd30521609_correctwords">
    <vt:lpwstr>["线"]</vt:lpwstr>
  </property>
  <property fmtid="{D5CDD505-2E9C-101B-9397-08002B2CF9AE}" pid="213" name="hmcheck_result_d792823c06e64588a30b1afd30521609_level">
    <vt:i4>1</vt:i4>
  </property>
  <property fmtid="{D5CDD505-2E9C-101B-9397-08002B2CF9AE}" pid="214" name="hmcheck_result_d792823c06e64588a30b1afd30521609_type">
    <vt:i4>0</vt:i4>
  </property>
  <property fmtid="{D5CDD505-2E9C-101B-9397-08002B2CF9AE}" pid="215" name="hmcheck_result_d792823c06e64588a30b1afd30521609_modifiedtype">
    <vt:i4>0</vt:i4>
  </property>
  <property fmtid="{D5CDD505-2E9C-101B-9397-08002B2CF9AE}" pid="216" name="hmcheck_result_30fa5f71980c459a807c2033aab9599d_errorword">
    <vt:lpwstr>略优</vt:lpwstr>
  </property>
  <property fmtid="{D5CDD505-2E9C-101B-9397-08002B2CF9AE}" pid="217" name="hmcheck_result_30fa5f71980c459a807c2033aab9599d_correctwords">
    <vt:lpwstr>["略有"]</vt:lpwstr>
  </property>
  <property fmtid="{D5CDD505-2E9C-101B-9397-08002B2CF9AE}" pid="218" name="hmcheck_result_30fa5f71980c459a807c2033aab9599d_level">
    <vt:i4>1</vt:i4>
  </property>
  <property fmtid="{D5CDD505-2E9C-101B-9397-08002B2CF9AE}" pid="219" name="hmcheck_result_30fa5f71980c459a807c2033aab9599d_type">
    <vt:i4>0</vt:i4>
  </property>
  <property fmtid="{D5CDD505-2E9C-101B-9397-08002B2CF9AE}" pid="220" name="hmcheck_result_30fa5f71980c459a807c2033aab9599d_modifiedtype">
    <vt:i4>0</vt:i4>
  </property>
  <property fmtid="{D5CDD505-2E9C-101B-9397-08002B2CF9AE}" pid="221" name="hmcheck_result_c483f900e11f47248ead443b9236a057_errorword">
    <vt:lpwstr>技术指标见</vt:lpwstr>
  </property>
  <property fmtid="{D5CDD505-2E9C-101B-9397-08002B2CF9AE}" pid="222" name="hmcheck_result_c483f900e11f47248ead443b9236a057_correctwords">
    <vt:lpwstr>["技术指标"]</vt:lpwstr>
  </property>
  <property fmtid="{D5CDD505-2E9C-101B-9397-08002B2CF9AE}" pid="223" name="hmcheck_result_c483f900e11f47248ead443b9236a057_level">
    <vt:i4>1</vt:i4>
  </property>
  <property fmtid="{D5CDD505-2E9C-101B-9397-08002B2CF9AE}" pid="224" name="hmcheck_result_c483f900e11f47248ead443b9236a057_type">
    <vt:i4>0</vt:i4>
  </property>
  <property fmtid="{D5CDD505-2E9C-101B-9397-08002B2CF9AE}" pid="225" name="hmcheck_result_c483f900e11f47248ead443b9236a057_modifiedtype">
    <vt:i4>0</vt:i4>
  </property>
  <property fmtid="{D5CDD505-2E9C-101B-9397-08002B2CF9AE}" pid="226" name="hmcheck_result_fa5359c18cb54643be34f4a0776ce64e_errorword">
    <vt:lpwstr>（</vt:lpwstr>
  </property>
  <property fmtid="{D5CDD505-2E9C-101B-9397-08002B2CF9AE}" pid="227" name="hmcheck_result_fa5359c18cb54643be34f4a0776ce64e_correctwords">
    <vt:lpwstr>["（每"]</vt:lpwstr>
  </property>
  <property fmtid="{D5CDD505-2E9C-101B-9397-08002B2CF9AE}" pid="228" name="hmcheck_result_fa5359c18cb54643be34f4a0776ce64e_level">
    <vt:i4>1</vt:i4>
  </property>
  <property fmtid="{D5CDD505-2E9C-101B-9397-08002B2CF9AE}" pid="229" name="hmcheck_result_fa5359c18cb54643be34f4a0776ce64e_type">
    <vt:i4>0</vt:i4>
  </property>
  <property fmtid="{D5CDD505-2E9C-101B-9397-08002B2CF9AE}" pid="230" name="hmcheck_result_fa5359c18cb54643be34f4a0776ce64e_modifiedtype">
    <vt:i4>0</vt:i4>
  </property>
  <property fmtid="{D5CDD505-2E9C-101B-9397-08002B2CF9AE}" pid="231" name="hmcheck_result_84830e3a1b57410b870d71429240ada9_errorword">
    <vt:lpwstr>型式</vt:lpwstr>
  </property>
  <property fmtid="{D5CDD505-2E9C-101B-9397-08002B2CF9AE}" pid="232" name="hmcheck_result_84830e3a1b57410b870d71429240ada9_correctwords">
    <vt:lpwstr>["形式"]</vt:lpwstr>
  </property>
  <property fmtid="{D5CDD505-2E9C-101B-9397-08002B2CF9AE}" pid="233" name="hmcheck_result_84830e3a1b57410b870d71429240ada9_level">
    <vt:i4>1</vt:i4>
  </property>
  <property fmtid="{D5CDD505-2E9C-101B-9397-08002B2CF9AE}" pid="234" name="hmcheck_result_84830e3a1b57410b870d71429240ada9_type">
    <vt:i4>0</vt:i4>
  </property>
  <property fmtid="{D5CDD505-2E9C-101B-9397-08002B2CF9AE}" pid="235" name="hmcheck_result_84830e3a1b57410b870d71429240ada9_modifiedtype">
    <vt:i4>0</vt:i4>
  </property>
  <property fmtid="{D5CDD505-2E9C-101B-9397-08002B2CF9AE}" pid="236" name="hmcheck_result_2c6b80f06edd4cd89730b46efcec87eb_errorword">
    <vt:lpwstr>拌合站</vt:lpwstr>
  </property>
  <property fmtid="{D5CDD505-2E9C-101B-9397-08002B2CF9AE}" pid="237" name="hmcheck_result_2c6b80f06edd4cd89730b46efcec87eb_correctwords">
    <vt:lpwstr>["拌和站"]</vt:lpwstr>
  </property>
  <property fmtid="{D5CDD505-2E9C-101B-9397-08002B2CF9AE}" pid="238" name="hmcheck_result_2c6b80f06edd4cd89730b46efcec87eb_level">
    <vt:i4>1</vt:i4>
  </property>
  <property fmtid="{D5CDD505-2E9C-101B-9397-08002B2CF9AE}" pid="239" name="hmcheck_result_2c6b80f06edd4cd89730b46efcec87eb_type">
    <vt:i4>5</vt:i4>
  </property>
  <property fmtid="{D5CDD505-2E9C-101B-9397-08002B2CF9AE}" pid="240" name="hmcheck_result_2c6b80f06edd4cd89730b46efcec87eb_modifiedtype">
    <vt:i4>0</vt:i4>
  </property>
  <property fmtid="{D5CDD505-2E9C-101B-9397-08002B2CF9AE}" pid="241" name="hmcheck_result_41eb5aa28257483cb5de636002eb5758_errorword">
    <vt:lpwstr>余方</vt:lpwstr>
  </property>
  <property fmtid="{D5CDD505-2E9C-101B-9397-08002B2CF9AE}" pid="242" name="hmcheck_result_41eb5aa28257483cb5de636002eb5758_correctwords">
    <vt:lpwstr>["土方"]</vt:lpwstr>
  </property>
  <property fmtid="{D5CDD505-2E9C-101B-9397-08002B2CF9AE}" pid="243" name="hmcheck_result_41eb5aa28257483cb5de636002eb5758_level">
    <vt:i4>1</vt:i4>
  </property>
  <property fmtid="{D5CDD505-2E9C-101B-9397-08002B2CF9AE}" pid="244" name="hmcheck_result_41eb5aa28257483cb5de636002eb5758_type">
    <vt:i4>0</vt:i4>
  </property>
  <property fmtid="{D5CDD505-2E9C-101B-9397-08002B2CF9AE}" pid="245" name="hmcheck_result_41eb5aa28257483cb5de636002eb5758_modifiedtype">
    <vt:i4>0</vt:i4>
  </property>
  <property fmtid="{D5CDD505-2E9C-101B-9397-08002B2CF9AE}" pid="246" name="hmcheck_result_41d1cbfd8b744cd595bb14aaa71bccef_errorword">
    <vt:lpwstr>余方</vt:lpwstr>
  </property>
  <property fmtid="{D5CDD505-2E9C-101B-9397-08002B2CF9AE}" pid="247" name="hmcheck_result_41d1cbfd8b744cd595bb14aaa71bccef_correctwords">
    <vt:lpwstr>["土方"]</vt:lpwstr>
  </property>
  <property fmtid="{D5CDD505-2E9C-101B-9397-08002B2CF9AE}" pid="248" name="hmcheck_result_41d1cbfd8b744cd595bb14aaa71bccef_level">
    <vt:i4>1</vt:i4>
  </property>
  <property fmtid="{D5CDD505-2E9C-101B-9397-08002B2CF9AE}" pid="249" name="hmcheck_result_41d1cbfd8b744cd595bb14aaa71bccef_type">
    <vt:i4>0</vt:i4>
  </property>
  <property fmtid="{D5CDD505-2E9C-101B-9397-08002B2CF9AE}" pid="250" name="hmcheck_result_41d1cbfd8b744cd595bb14aaa71bccef_modifiedtype">
    <vt:i4>0</vt:i4>
  </property>
  <property fmtid="{D5CDD505-2E9C-101B-9397-08002B2CF9AE}" pid="251" name="hmcheck_result_470dba9f08c44af795f6af2fee0c5ddf_errorword">
    <vt:lpwstr>型式</vt:lpwstr>
  </property>
  <property fmtid="{D5CDD505-2E9C-101B-9397-08002B2CF9AE}" pid="252" name="hmcheck_result_470dba9f08c44af795f6af2fee0c5ddf_correctwords">
    <vt:lpwstr>["形式"]</vt:lpwstr>
  </property>
  <property fmtid="{D5CDD505-2E9C-101B-9397-08002B2CF9AE}" pid="253" name="hmcheck_result_470dba9f08c44af795f6af2fee0c5ddf_level">
    <vt:i4>1</vt:i4>
  </property>
  <property fmtid="{D5CDD505-2E9C-101B-9397-08002B2CF9AE}" pid="254" name="hmcheck_result_470dba9f08c44af795f6af2fee0c5ddf_type">
    <vt:i4>0</vt:i4>
  </property>
  <property fmtid="{D5CDD505-2E9C-101B-9397-08002B2CF9AE}" pid="255" name="hmcheck_result_470dba9f08c44af795f6af2fee0c5ddf_modifiedtype">
    <vt:i4>0</vt:i4>
  </property>
  <property fmtid="{D5CDD505-2E9C-101B-9397-08002B2CF9AE}" pid="256" name="hmcheck_result_3f0a2c77271642dfa5ea98e4d36d9c94_errorword">
    <vt:lpwstr>十字型</vt:lpwstr>
  </property>
  <property fmtid="{D5CDD505-2E9C-101B-9397-08002B2CF9AE}" pid="257" name="hmcheck_result_3f0a2c77271642dfa5ea98e4d36d9c94_correctwords">
    <vt:lpwstr>["十字形"]</vt:lpwstr>
  </property>
  <property fmtid="{D5CDD505-2E9C-101B-9397-08002B2CF9AE}" pid="258" name="hmcheck_result_3f0a2c77271642dfa5ea98e4d36d9c94_level">
    <vt:i4>1</vt:i4>
  </property>
  <property fmtid="{D5CDD505-2E9C-101B-9397-08002B2CF9AE}" pid="259" name="hmcheck_result_3f0a2c77271642dfa5ea98e4d36d9c94_type">
    <vt:i4>0</vt:i4>
  </property>
  <property fmtid="{D5CDD505-2E9C-101B-9397-08002B2CF9AE}" pid="260" name="hmcheck_result_3f0a2c77271642dfa5ea98e4d36d9c94_modifiedtype">
    <vt:i4>0</vt:i4>
  </property>
  <property fmtid="{D5CDD505-2E9C-101B-9397-08002B2CF9AE}" pid="261" name="hmcheck_result_66054424191d467ebec3abef62c5403b_errorword">
    <vt:lpwstr>字型</vt:lpwstr>
  </property>
  <property fmtid="{D5CDD505-2E9C-101B-9397-08002B2CF9AE}" pid="262" name="hmcheck_result_66054424191d467ebec3abef62c5403b_correctwords">
    <vt:lpwstr>["字形"]</vt:lpwstr>
  </property>
  <property fmtid="{D5CDD505-2E9C-101B-9397-08002B2CF9AE}" pid="263" name="hmcheck_result_66054424191d467ebec3abef62c5403b_level">
    <vt:i4>1</vt:i4>
  </property>
  <property fmtid="{D5CDD505-2E9C-101B-9397-08002B2CF9AE}" pid="264" name="hmcheck_result_66054424191d467ebec3abef62c5403b_type">
    <vt:i4>0</vt:i4>
  </property>
  <property fmtid="{D5CDD505-2E9C-101B-9397-08002B2CF9AE}" pid="265" name="hmcheck_result_66054424191d467ebec3abef62c5403b_modifiedtype">
    <vt:i4>0</vt:i4>
  </property>
  <property fmtid="{D5CDD505-2E9C-101B-9397-08002B2CF9AE}" pid="266" name="hmcheck_result_2faa25c1141a4b6d98d5d88364d505c5_errorword">
    <vt:lpwstr>型式</vt:lpwstr>
  </property>
  <property fmtid="{D5CDD505-2E9C-101B-9397-08002B2CF9AE}" pid="267" name="hmcheck_result_2faa25c1141a4b6d98d5d88364d505c5_correctwords">
    <vt:lpwstr>["形式"]</vt:lpwstr>
  </property>
  <property fmtid="{D5CDD505-2E9C-101B-9397-08002B2CF9AE}" pid="268" name="hmcheck_result_2faa25c1141a4b6d98d5d88364d505c5_level">
    <vt:i4>1</vt:i4>
  </property>
  <property fmtid="{D5CDD505-2E9C-101B-9397-08002B2CF9AE}" pid="269" name="hmcheck_result_2faa25c1141a4b6d98d5d88364d505c5_type">
    <vt:i4>0</vt:i4>
  </property>
  <property fmtid="{D5CDD505-2E9C-101B-9397-08002B2CF9AE}" pid="270" name="hmcheck_result_2faa25c1141a4b6d98d5d88364d505c5_modifiedtype">
    <vt:i4>0</vt:i4>
  </property>
  <property fmtid="{D5CDD505-2E9C-101B-9397-08002B2CF9AE}" pid="271" name="hmcheck_result_f1a920f71f2147c7ac68c2b5d024ae43_errorword">
    <vt:lpwstr>疏干</vt:lpwstr>
  </property>
  <property fmtid="{D5CDD505-2E9C-101B-9397-08002B2CF9AE}" pid="272" name="hmcheck_result_f1a920f71f2147c7ac68c2b5d024ae43_correctwords">
    <vt:lpwstr>["疏于"]</vt:lpwstr>
  </property>
  <property fmtid="{D5CDD505-2E9C-101B-9397-08002B2CF9AE}" pid="273" name="hmcheck_result_f1a920f71f2147c7ac68c2b5d024ae43_level">
    <vt:i4>1</vt:i4>
  </property>
  <property fmtid="{D5CDD505-2E9C-101B-9397-08002B2CF9AE}" pid="274" name="hmcheck_result_f1a920f71f2147c7ac68c2b5d024ae43_type">
    <vt:i4>0</vt:i4>
  </property>
  <property fmtid="{D5CDD505-2E9C-101B-9397-08002B2CF9AE}" pid="275" name="hmcheck_result_f1a920f71f2147c7ac68c2b5d024ae43_modifiedtype">
    <vt:i4>0</vt:i4>
  </property>
  <property fmtid="{D5CDD505-2E9C-101B-9397-08002B2CF9AE}" pid="276" name="hmcheck_result_37aad4cd02304b189f5d4effc89c394c_errorword">
    <vt:lpwstr>做处理</vt:lpwstr>
  </property>
  <property fmtid="{D5CDD505-2E9C-101B-9397-08002B2CF9AE}" pid="277" name="hmcheck_result_37aad4cd02304b189f5d4effc89c394c_correctwords">
    <vt:lpwstr>["作处理"]</vt:lpwstr>
  </property>
  <property fmtid="{D5CDD505-2E9C-101B-9397-08002B2CF9AE}" pid="278" name="hmcheck_result_37aad4cd02304b189f5d4effc89c394c_level">
    <vt:i4>1</vt:i4>
  </property>
  <property fmtid="{D5CDD505-2E9C-101B-9397-08002B2CF9AE}" pid="279" name="hmcheck_result_37aad4cd02304b189f5d4effc89c394c_type">
    <vt:i4>0</vt:i4>
  </property>
  <property fmtid="{D5CDD505-2E9C-101B-9397-08002B2CF9AE}" pid="280" name="hmcheck_result_37aad4cd02304b189f5d4effc89c394c_modifiedtype">
    <vt:i4>0</vt:i4>
  </property>
  <property fmtid="{D5CDD505-2E9C-101B-9397-08002B2CF9AE}" pid="281" name="hmcheck_result_c022856b13c14b81a0de472a938c5d75_errorword">
    <vt:lpwstr>拱型</vt:lpwstr>
  </property>
  <property fmtid="{D5CDD505-2E9C-101B-9397-08002B2CF9AE}" pid="282" name="hmcheck_result_c022856b13c14b81a0de472a938c5d75_correctwords">
    <vt:lpwstr>["拱形"]</vt:lpwstr>
  </property>
  <property fmtid="{D5CDD505-2E9C-101B-9397-08002B2CF9AE}" pid="283" name="hmcheck_result_c022856b13c14b81a0de472a938c5d75_level">
    <vt:i4>1</vt:i4>
  </property>
  <property fmtid="{D5CDD505-2E9C-101B-9397-08002B2CF9AE}" pid="284" name="hmcheck_result_c022856b13c14b81a0de472a938c5d75_type">
    <vt:i4>0</vt:i4>
  </property>
  <property fmtid="{D5CDD505-2E9C-101B-9397-08002B2CF9AE}" pid="285" name="hmcheck_result_c022856b13c14b81a0de472a938c5d75_modifiedtype">
    <vt:i4>0</vt:i4>
  </property>
  <property fmtid="{D5CDD505-2E9C-101B-9397-08002B2CF9AE}" pid="286" name="hmcheck_result_2dcb65fee8034fddbca078e0aac86e5f_errorword">
    <vt:lpwstr>5m小</vt:lpwstr>
  </property>
  <property fmtid="{D5CDD505-2E9C-101B-9397-08002B2CF9AE}" pid="287" name="hmcheck_result_2dcb65fee8034fddbca078e0aac86e5f_correctwords">
    <vt:lpwstr>["5m"]</vt:lpwstr>
  </property>
  <property fmtid="{D5CDD505-2E9C-101B-9397-08002B2CF9AE}" pid="288" name="hmcheck_result_2dcb65fee8034fddbca078e0aac86e5f_level">
    <vt:i4>1</vt:i4>
  </property>
  <property fmtid="{D5CDD505-2E9C-101B-9397-08002B2CF9AE}" pid="289" name="hmcheck_result_2dcb65fee8034fddbca078e0aac86e5f_type">
    <vt:i4>0</vt:i4>
  </property>
  <property fmtid="{D5CDD505-2E9C-101B-9397-08002B2CF9AE}" pid="290" name="hmcheck_result_2dcb65fee8034fddbca078e0aac86e5f_modifiedtype">
    <vt:i4>0</vt:i4>
  </property>
  <property fmtid="{D5CDD505-2E9C-101B-9397-08002B2CF9AE}" pid="291" name="hmcheck_result_d93a06ae6cfd42a28a867fba28564239_errorword">
    <vt:lpwstr>拱型</vt:lpwstr>
  </property>
  <property fmtid="{D5CDD505-2E9C-101B-9397-08002B2CF9AE}" pid="292" name="hmcheck_result_d93a06ae6cfd42a28a867fba28564239_correctwords">
    <vt:lpwstr>["拱形"]</vt:lpwstr>
  </property>
  <property fmtid="{D5CDD505-2E9C-101B-9397-08002B2CF9AE}" pid="293" name="hmcheck_result_d93a06ae6cfd42a28a867fba28564239_level">
    <vt:i4>1</vt:i4>
  </property>
  <property fmtid="{D5CDD505-2E9C-101B-9397-08002B2CF9AE}" pid="294" name="hmcheck_result_d93a06ae6cfd42a28a867fba28564239_type">
    <vt:i4>0</vt:i4>
  </property>
  <property fmtid="{D5CDD505-2E9C-101B-9397-08002B2CF9AE}" pid="295" name="hmcheck_result_d93a06ae6cfd42a28a867fba28564239_modifiedtype">
    <vt:i4>0</vt:i4>
  </property>
  <property fmtid="{D5CDD505-2E9C-101B-9397-08002B2CF9AE}" pid="296" name="hmcheck_result_b55e76ab8ed045bb9f355d805228fb03_errorword">
    <vt:lpwstr>拱型</vt:lpwstr>
  </property>
  <property fmtid="{D5CDD505-2E9C-101B-9397-08002B2CF9AE}" pid="297" name="hmcheck_result_b55e76ab8ed045bb9f355d805228fb03_correctwords">
    <vt:lpwstr>["拱形"]</vt:lpwstr>
  </property>
  <property fmtid="{D5CDD505-2E9C-101B-9397-08002B2CF9AE}" pid="298" name="hmcheck_result_b55e76ab8ed045bb9f355d805228fb03_level">
    <vt:i4>1</vt:i4>
  </property>
  <property fmtid="{D5CDD505-2E9C-101B-9397-08002B2CF9AE}" pid="299" name="hmcheck_result_b55e76ab8ed045bb9f355d805228fb03_type">
    <vt:i4>0</vt:i4>
  </property>
  <property fmtid="{D5CDD505-2E9C-101B-9397-08002B2CF9AE}" pid="300" name="hmcheck_result_b55e76ab8ed045bb9f355d805228fb03_modifiedtype">
    <vt:i4>0</vt:i4>
  </property>
  <property fmtid="{D5CDD505-2E9C-101B-9397-08002B2CF9AE}" pid="301" name="hmcheck_result_b1e13d47bd66448698cb348ca9ed5311_errorword">
    <vt:lpwstr>采用设</vt:lpwstr>
  </property>
  <property fmtid="{D5CDD505-2E9C-101B-9397-08002B2CF9AE}" pid="302" name="hmcheck_result_b1e13d47bd66448698cb348ca9ed5311_correctwords">
    <vt:lpwstr>["采用"]</vt:lpwstr>
  </property>
  <property fmtid="{D5CDD505-2E9C-101B-9397-08002B2CF9AE}" pid="303" name="hmcheck_result_b1e13d47bd66448698cb348ca9ed5311_errordescription">
    <vt:lpwstr>〈动〉认为合适而使用：～新工艺｜～举手表决方式｜那篇稿子已被编辑部～。</vt:lpwstr>
  </property>
  <property fmtid="{D5CDD505-2E9C-101B-9397-08002B2CF9AE}" pid="304" name="hmcheck_result_b1e13d47bd66448698cb348ca9ed5311_level">
    <vt:i4>1</vt:i4>
  </property>
  <property fmtid="{D5CDD505-2E9C-101B-9397-08002B2CF9AE}" pid="305" name="hmcheck_result_b1e13d47bd66448698cb348ca9ed5311_type">
    <vt:i4>0</vt:i4>
  </property>
  <property fmtid="{D5CDD505-2E9C-101B-9397-08002B2CF9AE}" pid="306" name="hmcheck_result_b1e13d47bd66448698cb348ca9ed5311_modifiedtype">
    <vt:i4>0</vt:i4>
  </property>
  <property fmtid="{D5CDD505-2E9C-101B-9397-08002B2CF9AE}" pid="307" name="hmcheck_result_e9f52884895b44ef84c63ea101cbb805_errorword">
    <vt:lpwstr>：</vt:lpwstr>
  </property>
  <property fmtid="{D5CDD505-2E9C-101B-9397-08002B2CF9AE}" pid="308" name="hmcheck_result_e9f52884895b44ef84c63ea101cbb805_correctwords">
    <vt:lpwstr>[":"]</vt:lpwstr>
  </property>
  <property fmtid="{D5CDD505-2E9C-101B-9397-08002B2CF9AE}" pid="309" name="hmcheck_result_e9f52884895b44ef84c63ea101cbb805_errordescription">
    <vt:lpwstr>文本全半角错误</vt:lpwstr>
  </property>
  <property fmtid="{D5CDD505-2E9C-101B-9397-08002B2CF9AE}" pid="310" name="hmcheck_result_e9f52884895b44ef84c63ea101cbb805_level">
    <vt:i4>1</vt:i4>
  </property>
  <property fmtid="{D5CDD505-2E9C-101B-9397-08002B2CF9AE}" pid="311" name="hmcheck_result_e9f52884895b44ef84c63ea101cbb805_type">
    <vt:i4>1</vt:i4>
  </property>
  <property fmtid="{D5CDD505-2E9C-101B-9397-08002B2CF9AE}" pid="312" name="hmcheck_result_e9f52884895b44ef84c63ea101cbb805_modifiedtype">
    <vt:i4>0</vt:i4>
  </property>
  <property fmtid="{D5CDD505-2E9C-101B-9397-08002B2CF9AE}" pid="313" name="hmcheck_result_025c753b09b549828bfffd709f6e0216_errorword">
    <vt:lpwstr>-</vt:lpwstr>
  </property>
  <property fmtid="{D5CDD505-2E9C-101B-9397-08002B2CF9AE}" pid="314" name="hmcheck_result_025c753b09b549828bfffd709f6e0216_correctwords">
    <vt:lpwstr>["－"]</vt:lpwstr>
  </property>
  <property fmtid="{D5CDD505-2E9C-101B-9397-08002B2CF9AE}" pid="315" name="hmcheck_result_025c753b09b549828bfffd709f6e0216_level">
    <vt:i4>1</vt:i4>
  </property>
  <property fmtid="{D5CDD505-2E9C-101B-9397-08002B2CF9AE}" pid="316" name="hmcheck_result_025c753b09b549828bfffd709f6e0216_type">
    <vt:i4>1</vt:i4>
  </property>
  <property fmtid="{D5CDD505-2E9C-101B-9397-08002B2CF9AE}" pid="317" name="hmcheck_result_025c753b09b549828bfffd709f6e0216_modifiedtype">
    <vt:i4>0</vt:i4>
  </property>
  <property fmtid="{D5CDD505-2E9C-101B-9397-08002B2CF9AE}" pid="318" name="hmcheck_result_2a4e25953c0a4698b28abd56bc04cd4a_errorword">
    <vt:lpwstr>场地地</vt:lpwstr>
  </property>
  <property fmtid="{D5CDD505-2E9C-101B-9397-08002B2CF9AE}" pid="319" name="hmcheck_result_2a4e25953c0a4698b28abd56bc04cd4a_correctwords">
    <vt:lpwstr>["场地的"]</vt:lpwstr>
  </property>
  <property fmtid="{D5CDD505-2E9C-101B-9397-08002B2CF9AE}" pid="320" name="hmcheck_result_2a4e25953c0a4698b28abd56bc04cd4a_level">
    <vt:i4>1</vt:i4>
  </property>
  <property fmtid="{D5CDD505-2E9C-101B-9397-08002B2CF9AE}" pid="321" name="hmcheck_result_2a4e25953c0a4698b28abd56bc04cd4a_type">
    <vt:i4>4</vt:i4>
  </property>
  <property fmtid="{D5CDD505-2E9C-101B-9397-08002B2CF9AE}" pid="322" name="hmcheck_result_2a4e25953c0a4698b28abd56bc04cd4a_modifiedtype">
    <vt:i4>0</vt:i4>
  </property>
  <property fmtid="{D5CDD505-2E9C-101B-9397-08002B2CF9AE}" pid="323" name="hmcheck_result_06c3cee2fc844738b95c355a45417be4_errorword">
    <vt:lpwstr>-米</vt:lpwstr>
  </property>
  <property fmtid="{D5CDD505-2E9C-101B-9397-08002B2CF9AE}" pid="324" name="hmcheck_result_06c3cee2fc844738b95c355a45417be4_correctwords">
    <vt:lpwstr>["一米"]</vt:lpwstr>
  </property>
  <property fmtid="{D5CDD505-2E9C-101B-9397-08002B2CF9AE}" pid="325" name="hmcheck_result_06c3cee2fc844738b95c355a45417be4_level">
    <vt:i4>1</vt:i4>
  </property>
  <property fmtid="{D5CDD505-2E9C-101B-9397-08002B2CF9AE}" pid="326" name="hmcheck_result_06c3cee2fc844738b95c355a45417be4_type">
    <vt:i4>0</vt:i4>
  </property>
  <property fmtid="{D5CDD505-2E9C-101B-9397-08002B2CF9AE}" pid="327" name="hmcheck_result_06c3cee2fc844738b95c355a45417be4_modifiedtype">
    <vt:i4>0</vt:i4>
  </property>
  <property fmtid="{D5CDD505-2E9C-101B-9397-08002B2CF9AE}" pid="328" name="hmcheck_result_5609bc608e2d42eca4c0c0388e3f0914_errorword">
    <vt:lpwstr>‘</vt:lpwstr>
  </property>
  <property fmtid="{D5CDD505-2E9C-101B-9397-08002B2CF9AE}" pid="329" name="hmcheck_result_5609bc608e2d42eca4c0c0388e3f0914_correctwords">
    <vt:lpwstr>[]</vt:lpwstr>
  </property>
  <property fmtid="{D5CDD505-2E9C-101B-9397-08002B2CF9AE}" pid="330" name="hmcheck_result_5609bc608e2d42eca4c0c0388e3f0914_errordescription">
    <vt:lpwstr>标点符号‘缺少成对</vt:lpwstr>
  </property>
  <property fmtid="{D5CDD505-2E9C-101B-9397-08002B2CF9AE}" pid="331" name="hmcheck_result_5609bc608e2d42eca4c0c0388e3f0914_level">
    <vt:i4>1</vt:i4>
  </property>
  <property fmtid="{D5CDD505-2E9C-101B-9397-08002B2CF9AE}" pid="332" name="hmcheck_result_5609bc608e2d42eca4c0c0388e3f0914_type">
    <vt:i4>1</vt:i4>
  </property>
  <property fmtid="{D5CDD505-2E9C-101B-9397-08002B2CF9AE}" pid="333" name="hmcheck_result_5609bc608e2d42eca4c0c0388e3f0914_modifiedtype">
    <vt:i4>0</vt:i4>
  </property>
  <property fmtid="{D5CDD505-2E9C-101B-9397-08002B2CF9AE}" pid="334" name="hmcheck_result_4ee09ef6e4ac4a5dae0f339d4cf22c46_errorword">
    <vt:lpwstr>里程牌</vt:lpwstr>
  </property>
  <property fmtid="{D5CDD505-2E9C-101B-9397-08002B2CF9AE}" pid="335" name="hmcheck_result_4ee09ef6e4ac4a5dae0f339d4cf22c46_correctwords">
    <vt:lpwstr>["里程碑"]</vt:lpwstr>
  </property>
  <property fmtid="{D5CDD505-2E9C-101B-9397-08002B2CF9AE}" pid="336" name="hmcheck_result_4ee09ef6e4ac4a5dae0f339d4cf22c46_level">
    <vt:i4>1</vt:i4>
  </property>
  <property fmtid="{D5CDD505-2E9C-101B-9397-08002B2CF9AE}" pid="337" name="hmcheck_result_4ee09ef6e4ac4a5dae0f339d4cf22c46_type">
    <vt:i4>0</vt:i4>
  </property>
  <property fmtid="{D5CDD505-2E9C-101B-9397-08002B2CF9AE}" pid="338" name="hmcheck_result_4ee09ef6e4ac4a5dae0f339d4cf22c46_modifiedtype">
    <vt:i4>0</vt:i4>
  </property>
  <property fmtid="{D5CDD505-2E9C-101B-9397-08002B2CF9AE}" pid="339" name="hmcheck_result_3ffb91dab1e541789e9eea5508649a43_errorword">
    <vt:lpwstr>黄檗</vt:lpwstr>
  </property>
  <property fmtid="{D5CDD505-2E9C-101B-9397-08002B2CF9AE}" pid="340" name="hmcheck_result_3ffb91dab1e541789e9eea5508649a43_correctwords">
    <vt:lpwstr>["黄"]</vt:lpwstr>
  </property>
  <property fmtid="{D5CDD505-2E9C-101B-9397-08002B2CF9AE}" pid="341" name="hmcheck_result_3ffb91dab1e541789e9eea5508649a43_level">
    <vt:i4>1</vt:i4>
  </property>
  <property fmtid="{D5CDD505-2E9C-101B-9397-08002B2CF9AE}" pid="342" name="hmcheck_result_3ffb91dab1e541789e9eea5508649a43_type">
    <vt:i4>0</vt:i4>
  </property>
  <property fmtid="{D5CDD505-2E9C-101B-9397-08002B2CF9AE}" pid="343" name="hmcheck_result_3ffb91dab1e541789e9eea5508649a43_modifiedtype">
    <vt:i4>0</vt:i4>
  </property>
  <property fmtid="{D5CDD505-2E9C-101B-9397-08002B2CF9AE}" pid="344" name="hmcheck_result_215b250bf45a4624b1c23a811f934807_errorword">
    <vt:lpwstr>线性</vt:lpwstr>
  </property>
  <property fmtid="{D5CDD505-2E9C-101B-9397-08002B2CF9AE}" pid="345" name="hmcheck_result_215b250bf45a4624b1c23a811f934807_correctwords">
    <vt:lpwstr>["线形"]</vt:lpwstr>
  </property>
  <property fmtid="{D5CDD505-2E9C-101B-9397-08002B2CF9AE}" pid="346" name="hmcheck_result_215b250bf45a4624b1c23a811f934807_level">
    <vt:i4>1</vt:i4>
  </property>
  <property fmtid="{D5CDD505-2E9C-101B-9397-08002B2CF9AE}" pid="347" name="hmcheck_result_215b250bf45a4624b1c23a811f934807_type">
    <vt:i4>0</vt:i4>
  </property>
  <property fmtid="{D5CDD505-2E9C-101B-9397-08002B2CF9AE}" pid="348" name="hmcheck_result_215b250bf45a4624b1c23a811f934807_modifiedtype">
    <vt:i4>0</vt:i4>
  </property>
  <property fmtid="{D5CDD505-2E9C-101B-9397-08002B2CF9AE}" pid="349" name="hmcheck_result_51f1fa3e6d984a698011d6ed8abdb061_errorword">
    <vt:lpwstr>）四</vt:lpwstr>
  </property>
  <property fmtid="{D5CDD505-2E9C-101B-9397-08002B2CF9AE}" pid="350" name="hmcheck_result_51f1fa3e6d984a698011d6ed8abdb061_correctwords">
    <vt:lpwstr>["）"]</vt:lpwstr>
  </property>
  <property fmtid="{D5CDD505-2E9C-101B-9397-08002B2CF9AE}" pid="351" name="hmcheck_result_51f1fa3e6d984a698011d6ed8abdb061_level">
    <vt:i4>1</vt:i4>
  </property>
  <property fmtid="{D5CDD505-2E9C-101B-9397-08002B2CF9AE}" pid="352" name="hmcheck_result_51f1fa3e6d984a698011d6ed8abdb061_type">
    <vt:i4>0</vt:i4>
  </property>
  <property fmtid="{D5CDD505-2E9C-101B-9397-08002B2CF9AE}" pid="353" name="hmcheck_result_51f1fa3e6d984a698011d6ed8abdb061_modifiedtype">
    <vt:i4>0</vt:i4>
  </property>
  <property fmtid="{D5CDD505-2E9C-101B-9397-08002B2CF9AE}" pid="354" name="hmcheck_result_90aedc2a9de84e72b744da0f7b07cbad_errorword">
    <vt:lpwstr>000~</vt:lpwstr>
  </property>
  <property fmtid="{D5CDD505-2E9C-101B-9397-08002B2CF9AE}" pid="355" name="hmcheck_result_90aedc2a9de84e72b744da0f7b07cbad_correctwords">
    <vt:lpwstr>["&lt;有错&gt;"]</vt:lpwstr>
  </property>
  <property fmtid="{D5CDD505-2E9C-101B-9397-08002B2CF9AE}" pid="356" name="hmcheck_result_90aedc2a9de84e72b744da0f7b07cbad_level">
    <vt:i4>1</vt:i4>
  </property>
  <property fmtid="{D5CDD505-2E9C-101B-9397-08002B2CF9AE}" pid="357" name="hmcheck_result_90aedc2a9de84e72b744da0f7b07cbad_type">
    <vt:i4>0</vt:i4>
  </property>
  <property fmtid="{D5CDD505-2E9C-101B-9397-08002B2CF9AE}" pid="358" name="hmcheck_result_90aedc2a9de84e72b744da0f7b07cbad_modifiedtype">
    <vt:i4>0</vt:i4>
  </property>
  <property fmtid="{D5CDD505-2E9C-101B-9397-08002B2CF9AE}" pid="359" name="hmcheck_result_07e041a17b304aedb70404ddeb3e120a_errorword">
    <vt:lpwstr>000~</vt:lpwstr>
  </property>
  <property fmtid="{D5CDD505-2E9C-101B-9397-08002B2CF9AE}" pid="360" name="hmcheck_result_07e041a17b304aedb70404ddeb3e120a_correctwords">
    <vt:lpwstr>["&lt;有错&gt;"]</vt:lpwstr>
  </property>
  <property fmtid="{D5CDD505-2E9C-101B-9397-08002B2CF9AE}" pid="361" name="hmcheck_result_07e041a17b304aedb70404ddeb3e120a_level">
    <vt:i4>1</vt:i4>
  </property>
  <property fmtid="{D5CDD505-2E9C-101B-9397-08002B2CF9AE}" pid="362" name="hmcheck_result_07e041a17b304aedb70404ddeb3e120a_type">
    <vt:i4>0</vt:i4>
  </property>
  <property fmtid="{D5CDD505-2E9C-101B-9397-08002B2CF9AE}" pid="363" name="hmcheck_result_07e041a17b304aedb70404ddeb3e120a_modifiedtype">
    <vt:i4>0</vt:i4>
  </property>
  <property fmtid="{D5CDD505-2E9C-101B-9397-08002B2CF9AE}" pid="364" name="hmcheck_result_0b041a4cbc9a4e7fb4de458c9b70ce07_errorword">
    <vt:lpwstr>000~</vt:lpwstr>
  </property>
  <property fmtid="{D5CDD505-2E9C-101B-9397-08002B2CF9AE}" pid="365" name="hmcheck_result_0b041a4cbc9a4e7fb4de458c9b70ce07_correctwords">
    <vt:lpwstr>["&lt;有错&gt;"]</vt:lpwstr>
  </property>
  <property fmtid="{D5CDD505-2E9C-101B-9397-08002B2CF9AE}" pid="366" name="hmcheck_result_0b041a4cbc9a4e7fb4de458c9b70ce07_level">
    <vt:i4>1</vt:i4>
  </property>
  <property fmtid="{D5CDD505-2E9C-101B-9397-08002B2CF9AE}" pid="367" name="hmcheck_result_0b041a4cbc9a4e7fb4de458c9b70ce07_type">
    <vt:i4>0</vt:i4>
  </property>
  <property fmtid="{D5CDD505-2E9C-101B-9397-08002B2CF9AE}" pid="368" name="hmcheck_result_0b041a4cbc9a4e7fb4de458c9b70ce07_modifiedtype">
    <vt:i4>0</vt:i4>
  </property>
  <property fmtid="{D5CDD505-2E9C-101B-9397-08002B2CF9AE}" pid="369" name="hmcheck_result_17135f3f0f82476fb40f863281edc29b_errorword">
    <vt:lpwstr>000~</vt:lpwstr>
  </property>
  <property fmtid="{D5CDD505-2E9C-101B-9397-08002B2CF9AE}" pid="370" name="hmcheck_result_17135f3f0f82476fb40f863281edc29b_correctwords">
    <vt:lpwstr>["&lt;有错&gt;"]</vt:lpwstr>
  </property>
  <property fmtid="{D5CDD505-2E9C-101B-9397-08002B2CF9AE}" pid="371" name="hmcheck_result_17135f3f0f82476fb40f863281edc29b_level">
    <vt:i4>1</vt:i4>
  </property>
  <property fmtid="{D5CDD505-2E9C-101B-9397-08002B2CF9AE}" pid="372" name="hmcheck_result_17135f3f0f82476fb40f863281edc29b_type">
    <vt:i4>0</vt:i4>
  </property>
  <property fmtid="{D5CDD505-2E9C-101B-9397-08002B2CF9AE}" pid="373" name="hmcheck_result_17135f3f0f82476fb40f863281edc29b_modifiedtype">
    <vt:i4>0</vt:i4>
  </property>
  <property fmtid="{D5CDD505-2E9C-101B-9397-08002B2CF9AE}" pid="374" name="hmcheck_result_3bb57ca9c7ae41b3a905166d2fd0d8ed_errorword">
    <vt:lpwstr>000~</vt:lpwstr>
  </property>
  <property fmtid="{D5CDD505-2E9C-101B-9397-08002B2CF9AE}" pid="375" name="hmcheck_result_3bb57ca9c7ae41b3a905166d2fd0d8ed_correctwords">
    <vt:lpwstr>["&lt;有错&gt;"]</vt:lpwstr>
  </property>
  <property fmtid="{D5CDD505-2E9C-101B-9397-08002B2CF9AE}" pid="376" name="hmcheck_result_3bb57ca9c7ae41b3a905166d2fd0d8ed_level">
    <vt:i4>1</vt:i4>
  </property>
  <property fmtid="{D5CDD505-2E9C-101B-9397-08002B2CF9AE}" pid="377" name="hmcheck_result_3bb57ca9c7ae41b3a905166d2fd0d8ed_type">
    <vt:i4>0</vt:i4>
  </property>
  <property fmtid="{D5CDD505-2E9C-101B-9397-08002B2CF9AE}" pid="378" name="hmcheck_result_3bb57ca9c7ae41b3a905166d2fd0d8ed_modifiedtype">
    <vt:i4>0</vt:i4>
  </property>
  <property fmtid="{D5CDD505-2E9C-101B-9397-08002B2CF9AE}" pid="379" name="hmcheck_result_fe1ed9ff1bef43e0b785845c6b909774_errorword">
    <vt:lpwstr>000~</vt:lpwstr>
  </property>
  <property fmtid="{D5CDD505-2E9C-101B-9397-08002B2CF9AE}" pid="380" name="hmcheck_result_fe1ed9ff1bef43e0b785845c6b909774_correctwords">
    <vt:lpwstr>["&lt;有错&gt;"]</vt:lpwstr>
  </property>
  <property fmtid="{D5CDD505-2E9C-101B-9397-08002B2CF9AE}" pid="381" name="hmcheck_result_fe1ed9ff1bef43e0b785845c6b909774_level">
    <vt:i4>1</vt:i4>
  </property>
  <property fmtid="{D5CDD505-2E9C-101B-9397-08002B2CF9AE}" pid="382" name="hmcheck_result_fe1ed9ff1bef43e0b785845c6b909774_type">
    <vt:i4>0</vt:i4>
  </property>
  <property fmtid="{D5CDD505-2E9C-101B-9397-08002B2CF9AE}" pid="383" name="hmcheck_result_fe1ed9ff1bef43e0b785845c6b909774_modifiedtype">
    <vt:i4>0</vt:i4>
  </property>
  <property fmtid="{D5CDD505-2E9C-101B-9397-08002B2CF9AE}" pid="384" name="hmcheck_result_fe3ee65df5034d9990c871c50095f6bb_errorword">
    <vt:lpwstr>000~</vt:lpwstr>
  </property>
  <property fmtid="{D5CDD505-2E9C-101B-9397-08002B2CF9AE}" pid="385" name="hmcheck_result_fe3ee65df5034d9990c871c50095f6bb_correctwords">
    <vt:lpwstr>["&lt;有错&gt;"]</vt:lpwstr>
  </property>
  <property fmtid="{D5CDD505-2E9C-101B-9397-08002B2CF9AE}" pid="386" name="hmcheck_result_fe3ee65df5034d9990c871c50095f6bb_level">
    <vt:i4>1</vt:i4>
  </property>
  <property fmtid="{D5CDD505-2E9C-101B-9397-08002B2CF9AE}" pid="387" name="hmcheck_result_fe3ee65df5034d9990c871c50095f6bb_type">
    <vt:i4>0</vt:i4>
  </property>
  <property fmtid="{D5CDD505-2E9C-101B-9397-08002B2CF9AE}" pid="388" name="hmcheck_result_fe3ee65df5034d9990c871c50095f6bb_modifiedtype">
    <vt:i4>0</vt:i4>
  </property>
  <property fmtid="{D5CDD505-2E9C-101B-9397-08002B2CF9AE}" pid="389" name="hmcheck_result_5bf2edd6b13347edb9ae20a3e429e013_errorword">
    <vt:lpwstr>~</vt:lpwstr>
  </property>
  <property fmtid="{D5CDD505-2E9C-101B-9397-08002B2CF9AE}" pid="390" name="hmcheck_result_5bf2edd6b13347edb9ae20a3e429e013_correctwords">
    <vt:lpwstr>["～"]</vt:lpwstr>
  </property>
  <property fmtid="{D5CDD505-2E9C-101B-9397-08002B2CF9AE}" pid="391" name="hmcheck_result_5bf2edd6b13347edb9ae20a3e429e013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392" name="hmcheck_result_5bf2edd6b13347edb9ae20a3e429e013_level">
    <vt:i4>1</vt:i4>
  </property>
  <property fmtid="{D5CDD505-2E9C-101B-9397-08002B2CF9AE}" pid="393" name="hmcheck_result_5bf2edd6b13347edb9ae20a3e429e013_type">
    <vt:i4>1</vt:i4>
  </property>
  <property fmtid="{D5CDD505-2E9C-101B-9397-08002B2CF9AE}" pid="394" name="hmcheck_result_5bf2edd6b13347edb9ae20a3e429e013_modifiedtype">
    <vt:i4>0</vt:i4>
  </property>
  <property fmtid="{D5CDD505-2E9C-101B-9397-08002B2CF9AE}" pid="395" name="hmcheck_result_d3574aad6e9240d18fce6888d291ed58_errorword">
    <vt:lpwstr>~</vt:lpwstr>
  </property>
  <property fmtid="{D5CDD505-2E9C-101B-9397-08002B2CF9AE}" pid="396" name="hmcheck_result_d3574aad6e9240d18fce6888d291ed58_correctwords">
    <vt:lpwstr>["～"]</vt:lpwstr>
  </property>
  <property fmtid="{D5CDD505-2E9C-101B-9397-08002B2CF9AE}" pid="397" name="hmcheck_result_d3574aad6e9240d18fce6888d291ed58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398" name="hmcheck_result_d3574aad6e9240d18fce6888d291ed58_level">
    <vt:i4>1</vt:i4>
  </property>
  <property fmtid="{D5CDD505-2E9C-101B-9397-08002B2CF9AE}" pid="399" name="hmcheck_result_d3574aad6e9240d18fce6888d291ed58_type">
    <vt:i4>1</vt:i4>
  </property>
  <property fmtid="{D5CDD505-2E9C-101B-9397-08002B2CF9AE}" pid="400" name="hmcheck_result_d3574aad6e9240d18fce6888d291ed58_modifiedtype">
    <vt:i4>0</vt:i4>
  </property>
  <property fmtid="{D5CDD505-2E9C-101B-9397-08002B2CF9AE}" pid="401" name="hmcheck_result_6a4ffaa91dee45cfaf3871945de587a8_errorword">
    <vt:lpwstr>:</vt:lpwstr>
  </property>
  <property fmtid="{D5CDD505-2E9C-101B-9397-08002B2CF9AE}" pid="402" name="hmcheck_result_6a4ffaa91dee45cfaf3871945de587a8_correctwords">
    <vt:lpwstr>["："]</vt:lpwstr>
  </property>
  <property fmtid="{D5CDD505-2E9C-101B-9397-08002B2CF9AE}" pid="403" name="hmcheck_result_6a4ffaa91dee45cfaf3871945de587a8_errordescription">
    <vt:lpwstr>文本全半角错误</vt:lpwstr>
  </property>
  <property fmtid="{D5CDD505-2E9C-101B-9397-08002B2CF9AE}" pid="404" name="hmcheck_result_6a4ffaa91dee45cfaf3871945de587a8_level">
    <vt:i4>1</vt:i4>
  </property>
  <property fmtid="{D5CDD505-2E9C-101B-9397-08002B2CF9AE}" pid="405" name="hmcheck_result_6a4ffaa91dee45cfaf3871945de587a8_type">
    <vt:i4>1</vt:i4>
  </property>
  <property fmtid="{D5CDD505-2E9C-101B-9397-08002B2CF9AE}" pid="406" name="hmcheck_result_6a4ffaa91dee45cfaf3871945de587a8_modifiedtype">
    <vt:i4>0</vt:i4>
  </property>
  <property fmtid="{D5CDD505-2E9C-101B-9397-08002B2CF9AE}" pid="407" name="hmcheck_result_d52987fae72d475ba7e74e7356a5c565_errorword">
    <vt:lpwstr>通讯工具</vt:lpwstr>
  </property>
  <property fmtid="{D5CDD505-2E9C-101B-9397-08002B2CF9AE}" pid="408" name="hmcheck_result_d52987fae72d475ba7e74e7356a5c565_correctwords">
    <vt:lpwstr>["通信工具"]</vt:lpwstr>
  </property>
  <property fmtid="{D5CDD505-2E9C-101B-9397-08002B2CF9AE}" pid="409" name="hmcheck_result_d52987fae72d475ba7e74e7356a5c565_level">
    <vt:i4>1</vt:i4>
  </property>
  <property fmtid="{D5CDD505-2E9C-101B-9397-08002B2CF9AE}" pid="410" name="hmcheck_result_d52987fae72d475ba7e74e7356a5c565_type">
    <vt:i4>0</vt:i4>
  </property>
  <property fmtid="{D5CDD505-2E9C-101B-9397-08002B2CF9AE}" pid="411" name="hmcheck_result_d52987fae72d475ba7e74e7356a5c565_modifiedtype">
    <vt:i4>0</vt:i4>
  </property>
  <property fmtid="{D5CDD505-2E9C-101B-9397-08002B2CF9AE}" pid="412" name="hmcheck_result_1427fa9ae00b4e9bbb7423d26f874f06_errorword">
    <vt:lpwstr>拌合站</vt:lpwstr>
  </property>
  <property fmtid="{D5CDD505-2E9C-101B-9397-08002B2CF9AE}" pid="413" name="hmcheck_result_1427fa9ae00b4e9bbb7423d26f874f06_correctwords">
    <vt:lpwstr>["拌和站"]</vt:lpwstr>
  </property>
  <property fmtid="{D5CDD505-2E9C-101B-9397-08002B2CF9AE}" pid="414" name="hmcheck_result_1427fa9ae00b4e9bbb7423d26f874f06_level">
    <vt:i4>1</vt:i4>
  </property>
  <property fmtid="{D5CDD505-2E9C-101B-9397-08002B2CF9AE}" pid="415" name="hmcheck_result_1427fa9ae00b4e9bbb7423d26f874f06_type">
    <vt:i4>5</vt:i4>
  </property>
  <property fmtid="{D5CDD505-2E9C-101B-9397-08002B2CF9AE}" pid="416" name="hmcheck_result_1427fa9ae00b4e9bbb7423d26f874f06_modifiedtype">
    <vt:i4>0</vt:i4>
  </property>
  <property fmtid="{D5CDD505-2E9C-101B-9397-08002B2CF9AE}" pid="417" name="hmcheck_result_ce26b508f1014d4ca165919bf288048f_errorword">
    <vt:lpwstr>拌合站</vt:lpwstr>
  </property>
  <property fmtid="{D5CDD505-2E9C-101B-9397-08002B2CF9AE}" pid="418" name="hmcheck_result_ce26b508f1014d4ca165919bf288048f_correctwords">
    <vt:lpwstr>["拌和站"]</vt:lpwstr>
  </property>
  <property fmtid="{D5CDD505-2E9C-101B-9397-08002B2CF9AE}" pid="419" name="hmcheck_result_ce26b508f1014d4ca165919bf288048f_level">
    <vt:i4>1</vt:i4>
  </property>
  <property fmtid="{D5CDD505-2E9C-101B-9397-08002B2CF9AE}" pid="420" name="hmcheck_result_ce26b508f1014d4ca165919bf288048f_type">
    <vt:i4>5</vt:i4>
  </property>
  <property fmtid="{D5CDD505-2E9C-101B-9397-08002B2CF9AE}" pid="421" name="hmcheck_result_ce26b508f1014d4ca165919bf288048f_modifiedtype">
    <vt:i4>0</vt:i4>
  </property>
  <property fmtid="{D5CDD505-2E9C-101B-9397-08002B2CF9AE}" pid="422" name="hmcheck_result_1c17aee20187452b8fcfdb69d69d3b78_errorword">
    <vt:lpwstr>周边无</vt:lpwstr>
  </property>
  <property fmtid="{D5CDD505-2E9C-101B-9397-08002B2CF9AE}" pid="423" name="hmcheck_result_1c17aee20187452b8fcfdb69d69d3b78_correctwords">
    <vt:lpwstr>["周边"]</vt:lpwstr>
  </property>
  <property fmtid="{D5CDD505-2E9C-101B-9397-08002B2CF9AE}" pid="424" name="hmcheck_result_1c17aee20187452b8fcfdb69d69d3b78_level">
    <vt:i4>1</vt:i4>
  </property>
  <property fmtid="{D5CDD505-2E9C-101B-9397-08002B2CF9AE}" pid="425" name="hmcheck_result_1c17aee20187452b8fcfdb69d69d3b78_type">
    <vt:i4>0</vt:i4>
  </property>
  <property fmtid="{D5CDD505-2E9C-101B-9397-08002B2CF9AE}" pid="426" name="hmcheck_result_1c17aee20187452b8fcfdb69d69d3b78_modifiedtype">
    <vt:i4>0</vt:i4>
  </property>
  <property fmtid="{D5CDD505-2E9C-101B-9397-08002B2CF9AE}" pid="427" name="hmcheck_result_abd746d9b9d24c39b2eb460503e36991_errorword">
    <vt:lpwstr>拌合站</vt:lpwstr>
  </property>
  <property fmtid="{D5CDD505-2E9C-101B-9397-08002B2CF9AE}" pid="428" name="hmcheck_result_abd746d9b9d24c39b2eb460503e36991_correctwords">
    <vt:lpwstr>["拌和站"]</vt:lpwstr>
  </property>
  <property fmtid="{D5CDD505-2E9C-101B-9397-08002B2CF9AE}" pid="429" name="hmcheck_result_abd746d9b9d24c39b2eb460503e36991_level">
    <vt:i4>1</vt:i4>
  </property>
  <property fmtid="{D5CDD505-2E9C-101B-9397-08002B2CF9AE}" pid="430" name="hmcheck_result_abd746d9b9d24c39b2eb460503e36991_type">
    <vt:i4>5</vt:i4>
  </property>
  <property fmtid="{D5CDD505-2E9C-101B-9397-08002B2CF9AE}" pid="431" name="hmcheck_result_abd746d9b9d24c39b2eb460503e36991_modifiedtype">
    <vt:i4>0</vt:i4>
  </property>
  <property fmtid="{D5CDD505-2E9C-101B-9397-08002B2CF9AE}" pid="432" name="hmcheck_result_e661dba75eac49518a9905f1e01dcf6d_errorword">
    <vt:lpwstr>完</vt:lpwstr>
  </property>
  <property fmtid="{D5CDD505-2E9C-101B-9397-08002B2CF9AE}" pid="433" name="hmcheck_result_e661dba75eac49518a9905f1e01dcf6d_correctwords">
    <vt:lpwstr>["完成"]</vt:lpwstr>
  </property>
  <property fmtid="{D5CDD505-2E9C-101B-9397-08002B2CF9AE}" pid="434" name="hmcheck_result_e661dba75eac49518a9905f1e01dcf6d_errordescription">
    <vt:lpwstr>〈动〉按照预期的目的结束；做成：～任务｜～作业｜计划完得成。</vt:lpwstr>
  </property>
  <property fmtid="{D5CDD505-2E9C-101B-9397-08002B2CF9AE}" pid="435" name="hmcheck_result_e661dba75eac49518a9905f1e01dcf6d_level">
    <vt:i4>1</vt:i4>
  </property>
  <property fmtid="{D5CDD505-2E9C-101B-9397-08002B2CF9AE}" pid="436" name="hmcheck_result_e661dba75eac49518a9905f1e01dcf6d_type">
    <vt:i4>0</vt:i4>
  </property>
  <property fmtid="{D5CDD505-2E9C-101B-9397-08002B2CF9AE}" pid="437" name="hmcheck_result_e661dba75eac49518a9905f1e01dcf6d_modifiedtype">
    <vt:i4>0</vt:i4>
  </property>
  <property fmtid="{D5CDD505-2E9C-101B-9397-08002B2CF9AE}" pid="438" name="hmcheck_result_ca511e7e10b84ea4ac50240d0252666e_errorword">
    <vt:lpwstr>余方</vt:lpwstr>
  </property>
  <property fmtid="{D5CDD505-2E9C-101B-9397-08002B2CF9AE}" pid="439" name="hmcheck_result_ca511e7e10b84ea4ac50240d0252666e_correctwords">
    <vt:lpwstr>["土方"]</vt:lpwstr>
  </property>
  <property fmtid="{D5CDD505-2E9C-101B-9397-08002B2CF9AE}" pid="440" name="hmcheck_result_ca511e7e10b84ea4ac50240d0252666e_level">
    <vt:i4>1</vt:i4>
  </property>
  <property fmtid="{D5CDD505-2E9C-101B-9397-08002B2CF9AE}" pid="441" name="hmcheck_result_ca511e7e10b84ea4ac50240d0252666e_type">
    <vt:i4>0</vt:i4>
  </property>
  <property fmtid="{D5CDD505-2E9C-101B-9397-08002B2CF9AE}" pid="442" name="hmcheck_result_ca511e7e10b84ea4ac50240d0252666e_modifiedtype">
    <vt:i4>0</vt:i4>
  </property>
  <property fmtid="{D5CDD505-2E9C-101B-9397-08002B2CF9AE}" pid="443" name="hmcheck_result_b5bad834812a4f7fb8d6f5c7025c5a31_errorword">
    <vt:lpwstr>程</vt:lpwstr>
  </property>
  <property fmtid="{D5CDD505-2E9C-101B-9397-08002B2CF9AE}" pid="444" name="hmcheck_result_b5bad834812a4f7fb8d6f5c7025c5a31_correctwords">
    <vt:lpwstr>["程意"]</vt:lpwstr>
  </property>
  <property fmtid="{D5CDD505-2E9C-101B-9397-08002B2CF9AE}" pid="445" name="hmcheck_result_b5bad834812a4f7fb8d6f5c7025c5a31_level">
    <vt:i4>1</vt:i4>
  </property>
  <property fmtid="{D5CDD505-2E9C-101B-9397-08002B2CF9AE}" pid="446" name="hmcheck_result_b5bad834812a4f7fb8d6f5c7025c5a31_type">
    <vt:i4>0</vt:i4>
  </property>
  <property fmtid="{D5CDD505-2E9C-101B-9397-08002B2CF9AE}" pid="447" name="hmcheck_result_b5bad834812a4f7fb8d6f5c7025c5a31_modifiedtype">
    <vt:i4>0</vt:i4>
  </property>
  <property fmtid="{D5CDD505-2E9C-101B-9397-08002B2CF9AE}" pid="448" name="hmcheck_result_9e998fd3126e45bcb7a282cc08f7df96_errorword">
    <vt:lpwstr>程</vt:lpwstr>
  </property>
  <property fmtid="{D5CDD505-2E9C-101B-9397-08002B2CF9AE}" pid="449" name="hmcheck_result_9e998fd3126e45bcb7a282cc08f7df96_correctwords">
    <vt:lpwstr>["程意"]</vt:lpwstr>
  </property>
  <property fmtid="{D5CDD505-2E9C-101B-9397-08002B2CF9AE}" pid="450" name="hmcheck_result_9e998fd3126e45bcb7a282cc08f7df96_level">
    <vt:i4>1</vt:i4>
  </property>
  <property fmtid="{D5CDD505-2E9C-101B-9397-08002B2CF9AE}" pid="451" name="hmcheck_result_9e998fd3126e45bcb7a282cc08f7df96_type">
    <vt:i4>0</vt:i4>
  </property>
  <property fmtid="{D5CDD505-2E9C-101B-9397-08002B2CF9AE}" pid="452" name="hmcheck_result_9e998fd3126e45bcb7a282cc08f7df96_modifiedtype">
    <vt:i4>0</vt:i4>
  </property>
  <property fmtid="{D5CDD505-2E9C-101B-9397-08002B2CF9AE}" pid="453" name="hmcheck_result_2b7619a9ec9c4ee188f0908183d86ee7_errorword">
    <vt:lpwstr>涵洞形式</vt:lpwstr>
  </property>
  <property fmtid="{D5CDD505-2E9C-101B-9397-08002B2CF9AE}" pid="454" name="hmcheck_result_2b7619a9ec9c4ee188f0908183d86ee7_correctwords">
    <vt:lpwstr>["涵洞型式"]</vt:lpwstr>
  </property>
  <property fmtid="{D5CDD505-2E9C-101B-9397-08002B2CF9AE}" pid="455" name="hmcheck_result_2b7619a9ec9c4ee188f0908183d86ee7_level">
    <vt:i4>1</vt:i4>
  </property>
  <property fmtid="{D5CDD505-2E9C-101B-9397-08002B2CF9AE}" pid="456" name="hmcheck_result_2b7619a9ec9c4ee188f0908183d86ee7_type">
    <vt:i4>0</vt:i4>
  </property>
  <property fmtid="{D5CDD505-2E9C-101B-9397-08002B2CF9AE}" pid="457" name="hmcheck_result_2b7619a9ec9c4ee188f0908183d86ee7_modifiedtype">
    <vt:i4>0</vt:i4>
  </property>
  <property fmtid="{D5CDD505-2E9C-101B-9397-08002B2CF9AE}" pid="458" name="hmcheck_result_beb85378ce8a4d8db18ef2bd5c4062b1_errorword">
    <vt:lpwstr>拌合</vt:lpwstr>
  </property>
  <property fmtid="{D5CDD505-2E9C-101B-9397-08002B2CF9AE}" pid="459" name="hmcheck_result_beb85378ce8a4d8db18ef2bd5c4062b1_correctwords">
    <vt:lpwstr>["拌和"]</vt:lpwstr>
  </property>
  <property fmtid="{D5CDD505-2E9C-101B-9397-08002B2CF9AE}" pid="460" name="hmcheck_result_beb85378ce8a4d8db18ef2bd5c4062b1_level">
    <vt:i4>1</vt:i4>
  </property>
  <property fmtid="{D5CDD505-2E9C-101B-9397-08002B2CF9AE}" pid="461" name="hmcheck_result_beb85378ce8a4d8db18ef2bd5c4062b1_type">
    <vt:i4>0</vt:i4>
  </property>
  <property fmtid="{D5CDD505-2E9C-101B-9397-08002B2CF9AE}" pid="462" name="hmcheck_result_beb85378ce8a4d8db18ef2bd5c4062b1_modifiedtype">
    <vt:i4>0</vt:i4>
  </property>
  <property fmtid="{D5CDD505-2E9C-101B-9397-08002B2CF9AE}" pid="463" name="hmcheck_result_1b19121bc99f43e6a4e5f7cc196b6265_errorword">
    <vt:lpwstr>拌和</vt:lpwstr>
  </property>
  <property fmtid="{D5CDD505-2E9C-101B-9397-08002B2CF9AE}" pid="464" name="hmcheck_result_1b19121bc99f43e6a4e5f7cc196b6265_correctwords">
    <vt:lpwstr>["拌合"]</vt:lpwstr>
  </property>
  <property fmtid="{D5CDD505-2E9C-101B-9397-08002B2CF9AE}" pid="465" name="hmcheck_result_1b19121bc99f43e6a4e5f7cc196b6265_level">
    <vt:i4>1</vt:i4>
  </property>
  <property fmtid="{D5CDD505-2E9C-101B-9397-08002B2CF9AE}" pid="466" name="hmcheck_result_1b19121bc99f43e6a4e5f7cc196b6265_type">
    <vt:i4>0</vt:i4>
  </property>
  <property fmtid="{D5CDD505-2E9C-101B-9397-08002B2CF9AE}" pid="467" name="hmcheck_result_1b19121bc99f43e6a4e5f7cc196b6265_modifiedtype">
    <vt:i4>0</vt:i4>
  </property>
  <property fmtid="{D5CDD505-2E9C-101B-9397-08002B2CF9AE}" pid="468" name="hmcheck_result_8f8a63d644ea4dc3b888377b340422a9_errorword">
    <vt:lpwstr>设有</vt:lpwstr>
  </property>
  <property fmtid="{D5CDD505-2E9C-101B-9397-08002B2CF9AE}" pid="469" name="hmcheck_result_8f8a63d644ea4dc3b888377b340422a9_correctwords">
    <vt:lpwstr>["有"]</vt:lpwstr>
  </property>
  <property fmtid="{D5CDD505-2E9C-101B-9397-08002B2CF9AE}" pid="470" name="hmcheck_result_8f8a63d644ea4dc3b888377b340422a9_errordescription">
    <vt:lpwstr>〈书〉同“又”▲：三十～八年。</vt:lpwstr>
  </property>
  <property fmtid="{D5CDD505-2E9C-101B-9397-08002B2CF9AE}" pid="471" name="hmcheck_result_8f8a63d644ea4dc3b888377b340422a9_level">
    <vt:i4>1</vt:i4>
  </property>
  <property fmtid="{D5CDD505-2E9C-101B-9397-08002B2CF9AE}" pid="472" name="hmcheck_result_8f8a63d644ea4dc3b888377b340422a9_type">
    <vt:i4>0</vt:i4>
  </property>
  <property fmtid="{D5CDD505-2E9C-101B-9397-08002B2CF9AE}" pid="473" name="hmcheck_result_8f8a63d644ea4dc3b888377b340422a9_modifiedtype">
    <vt:i4>0</vt:i4>
  </property>
  <property fmtid="{D5CDD505-2E9C-101B-9397-08002B2CF9AE}" pid="474" name="hmcheck_result_074c45ed1e8345a6aba07e54a92b9261_errorword">
    <vt:lpwstr>管法</vt:lpwstr>
  </property>
  <property fmtid="{D5CDD505-2E9C-101B-9397-08002B2CF9AE}" pid="475" name="hmcheck_result_074c45ed1e8345a6aba07e54a92b9261_correctwords">
    <vt:lpwstr>["灌法"]</vt:lpwstr>
  </property>
  <property fmtid="{D5CDD505-2E9C-101B-9397-08002B2CF9AE}" pid="476" name="hmcheck_result_074c45ed1e8345a6aba07e54a92b9261_level">
    <vt:i4>1</vt:i4>
  </property>
  <property fmtid="{D5CDD505-2E9C-101B-9397-08002B2CF9AE}" pid="477" name="hmcheck_result_074c45ed1e8345a6aba07e54a92b9261_type">
    <vt:i4>0</vt:i4>
  </property>
  <property fmtid="{D5CDD505-2E9C-101B-9397-08002B2CF9AE}" pid="478" name="hmcheck_result_074c45ed1e8345a6aba07e54a92b9261_modifiedtype">
    <vt:i4>0</vt:i4>
  </property>
  <property fmtid="{D5CDD505-2E9C-101B-9397-08002B2CF9AE}" pid="479" name="hmcheck_result_06e7e711c10143c3a68b683f558a1dc6_errorword">
    <vt:lpwstr>联接</vt:lpwstr>
  </property>
  <property fmtid="{D5CDD505-2E9C-101B-9397-08002B2CF9AE}" pid="480" name="hmcheck_result_06e7e711c10143c3a68b683f558a1dc6_correctwords">
    <vt:lpwstr>["连接"]</vt:lpwstr>
  </property>
  <property fmtid="{D5CDD505-2E9C-101B-9397-08002B2CF9AE}" pid="481" name="hmcheck_result_06e7e711c10143c3a68b683f558a1dc6_errordescription">
    <vt:lpwstr>（联接）liánjiē〈动〉❶（事物）互相衔接：山岭～。❷使连接：～线路。</vt:lpwstr>
  </property>
  <property fmtid="{D5CDD505-2E9C-101B-9397-08002B2CF9AE}" pid="482" name="hmcheck_result_06e7e711c10143c3a68b683f558a1dc6_level">
    <vt:i4>1</vt:i4>
  </property>
  <property fmtid="{D5CDD505-2E9C-101B-9397-08002B2CF9AE}" pid="483" name="hmcheck_result_06e7e711c10143c3a68b683f558a1dc6_type">
    <vt:i4>0</vt:i4>
  </property>
  <property fmtid="{D5CDD505-2E9C-101B-9397-08002B2CF9AE}" pid="484" name="hmcheck_result_06e7e711c10143c3a68b683f558a1dc6_modifiedtype">
    <vt:i4>0</vt:i4>
  </property>
  <property fmtid="{D5CDD505-2E9C-101B-9397-08002B2CF9AE}" pid="485" name="hmcheck_result_3f45fba10c494862a7170dff1e99b939_errorword">
    <vt:lpwstr>管法</vt:lpwstr>
  </property>
  <property fmtid="{D5CDD505-2E9C-101B-9397-08002B2CF9AE}" pid="486" name="hmcheck_result_3f45fba10c494862a7170dff1e99b939_correctwords">
    <vt:lpwstr>["灌法"]</vt:lpwstr>
  </property>
  <property fmtid="{D5CDD505-2E9C-101B-9397-08002B2CF9AE}" pid="487" name="hmcheck_result_3f45fba10c494862a7170dff1e99b939_level">
    <vt:i4>1</vt:i4>
  </property>
  <property fmtid="{D5CDD505-2E9C-101B-9397-08002B2CF9AE}" pid="488" name="hmcheck_result_3f45fba10c494862a7170dff1e99b939_type">
    <vt:i4>0</vt:i4>
  </property>
  <property fmtid="{D5CDD505-2E9C-101B-9397-08002B2CF9AE}" pid="489" name="hmcheck_result_3f45fba10c494862a7170dff1e99b939_modifiedtype">
    <vt:i4>0</vt:i4>
  </property>
  <property fmtid="{D5CDD505-2E9C-101B-9397-08002B2CF9AE}" pid="490" name="hmcheck_result_6f78fa70cb754712891fae6cad1f4762_errorword">
    <vt:lpwstr>车车</vt:lpwstr>
  </property>
  <property fmtid="{D5CDD505-2E9C-101B-9397-08002B2CF9AE}" pid="491" name="hmcheck_result_6f78fa70cb754712891fae6cad1f4762_correctwords">
    <vt:lpwstr>["车"]</vt:lpwstr>
  </property>
  <property fmtid="{D5CDD505-2E9C-101B-9397-08002B2CF9AE}" pid="492" name="hmcheck_result_6f78fa70cb754712891fae6cad1f4762_level">
    <vt:i4>1</vt:i4>
  </property>
  <property fmtid="{D5CDD505-2E9C-101B-9397-08002B2CF9AE}" pid="493" name="hmcheck_result_6f78fa70cb754712891fae6cad1f4762_type">
    <vt:i4>0</vt:i4>
  </property>
  <property fmtid="{D5CDD505-2E9C-101B-9397-08002B2CF9AE}" pid="494" name="hmcheck_result_6f78fa70cb754712891fae6cad1f4762_modifiedtype">
    <vt:i4>0</vt:i4>
  </property>
  <property fmtid="{D5CDD505-2E9C-101B-9397-08002B2CF9AE}" pid="495" name="hmcheck_result_252ef24bb70f4bd9988ea46a682b1b78_errorword">
    <vt:lpwstr>钢筋笼是</vt:lpwstr>
  </property>
  <property fmtid="{D5CDD505-2E9C-101B-9397-08002B2CF9AE}" pid="496" name="hmcheck_result_252ef24bb70f4bd9988ea46a682b1b78_correctwords">
    <vt:lpwstr>["钢筋笼时"]</vt:lpwstr>
  </property>
  <property fmtid="{D5CDD505-2E9C-101B-9397-08002B2CF9AE}" pid="497" name="hmcheck_result_252ef24bb70f4bd9988ea46a682b1b78_level">
    <vt:i4>1</vt:i4>
  </property>
  <property fmtid="{D5CDD505-2E9C-101B-9397-08002B2CF9AE}" pid="498" name="hmcheck_result_252ef24bb70f4bd9988ea46a682b1b78_type">
    <vt:i4>0</vt:i4>
  </property>
  <property fmtid="{D5CDD505-2E9C-101B-9397-08002B2CF9AE}" pid="499" name="hmcheck_result_252ef24bb70f4bd9988ea46a682b1b78_modifiedtype">
    <vt:i4>0</vt:i4>
  </property>
  <property fmtid="{D5CDD505-2E9C-101B-9397-08002B2CF9AE}" pid="500" name="hmcheck_result_7c902194965d4a3a91dadf12ec8db834_errorword">
    <vt:lpwstr>完</vt:lpwstr>
  </property>
  <property fmtid="{D5CDD505-2E9C-101B-9397-08002B2CF9AE}" pid="501" name="hmcheck_result_7c902194965d4a3a91dadf12ec8db834_correctwords">
    <vt:lpwstr>["完成"]</vt:lpwstr>
  </property>
  <property fmtid="{D5CDD505-2E9C-101B-9397-08002B2CF9AE}" pid="502" name="hmcheck_result_7c902194965d4a3a91dadf12ec8db834_errordescription">
    <vt:lpwstr>〈动〉按照预期的目的结束；做成：～任务｜～作业｜计划完得成。</vt:lpwstr>
  </property>
  <property fmtid="{D5CDD505-2E9C-101B-9397-08002B2CF9AE}" pid="503" name="hmcheck_result_7c902194965d4a3a91dadf12ec8db834_level">
    <vt:i4>1</vt:i4>
  </property>
  <property fmtid="{D5CDD505-2E9C-101B-9397-08002B2CF9AE}" pid="504" name="hmcheck_result_7c902194965d4a3a91dadf12ec8db834_type">
    <vt:i4>0</vt:i4>
  </property>
  <property fmtid="{D5CDD505-2E9C-101B-9397-08002B2CF9AE}" pid="505" name="hmcheck_result_7c902194965d4a3a91dadf12ec8db834_modifiedtype">
    <vt:i4>0</vt:i4>
  </property>
  <property fmtid="{D5CDD505-2E9C-101B-9397-08002B2CF9AE}" pid="506" name="hmcheck_result_f43fb1fb19314716b7f5f5d359c16d5b_errorword">
    <vt:lpwstr>程</vt:lpwstr>
  </property>
  <property fmtid="{D5CDD505-2E9C-101B-9397-08002B2CF9AE}" pid="507" name="hmcheck_result_f43fb1fb19314716b7f5f5d359c16d5b_correctwords">
    <vt:lpwstr>["程意"]</vt:lpwstr>
  </property>
  <property fmtid="{D5CDD505-2E9C-101B-9397-08002B2CF9AE}" pid="508" name="hmcheck_result_f43fb1fb19314716b7f5f5d359c16d5b_level">
    <vt:i4>1</vt:i4>
  </property>
  <property fmtid="{D5CDD505-2E9C-101B-9397-08002B2CF9AE}" pid="509" name="hmcheck_result_f43fb1fb19314716b7f5f5d359c16d5b_type">
    <vt:i4>0</vt:i4>
  </property>
  <property fmtid="{D5CDD505-2E9C-101B-9397-08002B2CF9AE}" pid="510" name="hmcheck_result_f43fb1fb19314716b7f5f5d359c16d5b_modifiedtype">
    <vt:i4>0</vt:i4>
  </property>
  <property fmtid="{D5CDD505-2E9C-101B-9397-08002B2CF9AE}" pid="511" name="hmcheck_result_1e4005a682374b3dad8eeae2af167137_errorword">
    <vt:lpwstr>-</vt:lpwstr>
  </property>
  <property fmtid="{D5CDD505-2E9C-101B-9397-08002B2CF9AE}" pid="512" name="hmcheck_result_1e4005a682374b3dad8eeae2af167137_correctwords">
    <vt:lpwstr>["—"]</vt:lpwstr>
  </property>
  <property fmtid="{D5CDD505-2E9C-101B-9397-08002B2CF9AE}" pid="513" name="hmcheck_result_1e4005a682374b3dad8eeae2af167137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514" name="hmcheck_result_1e4005a682374b3dad8eeae2af167137_level">
    <vt:i4>1</vt:i4>
  </property>
  <property fmtid="{D5CDD505-2E9C-101B-9397-08002B2CF9AE}" pid="515" name="hmcheck_result_1e4005a682374b3dad8eeae2af167137_type">
    <vt:i4>1</vt:i4>
  </property>
  <property fmtid="{D5CDD505-2E9C-101B-9397-08002B2CF9AE}" pid="516" name="hmcheck_result_1e4005a682374b3dad8eeae2af167137_modifiedtype">
    <vt:i4>0</vt:i4>
  </property>
  <property fmtid="{D5CDD505-2E9C-101B-9397-08002B2CF9AE}" pid="517" name="hmcheck_result_fa5d2e28b888474395bb37fcd8d4110e_errorword">
    <vt:lpwstr>-</vt:lpwstr>
  </property>
  <property fmtid="{D5CDD505-2E9C-101B-9397-08002B2CF9AE}" pid="518" name="hmcheck_result_fa5d2e28b888474395bb37fcd8d4110e_correctwords">
    <vt:lpwstr>["—"]</vt:lpwstr>
  </property>
  <property fmtid="{D5CDD505-2E9C-101B-9397-08002B2CF9AE}" pid="519" name="hmcheck_result_fa5d2e28b888474395bb37fcd8d4110e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520" name="hmcheck_result_fa5d2e28b888474395bb37fcd8d4110e_level">
    <vt:i4>1</vt:i4>
  </property>
  <property fmtid="{D5CDD505-2E9C-101B-9397-08002B2CF9AE}" pid="521" name="hmcheck_result_fa5d2e28b888474395bb37fcd8d4110e_type">
    <vt:i4>1</vt:i4>
  </property>
  <property fmtid="{D5CDD505-2E9C-101B-9397-08002B2CF9AE}" pid="522" name="hmcheck_result_fa5d2e28b888474395bb37fcd8d4110e_modifiedtype">
    <vt:i4>0</vt:i4>
  </property>
  <property fmtid="{D5CDD505-2E9C-101B-9397-08002B2CF9AE}" pid="523" name="hmcheck_result_e23b9f4cfbe54ff0aa73380a17ab8bce_errorword">
    <vt:lpwstr>-</vt:lpwstr>
  </property>
  <property fmtid="{D5CDD505-2E9C-101B-9397-08002B2CF9AE}" pid="524" name="hmcheck_result_e23b9f4cfbe54ff0aa73380a17ab8bce_correctwords">
    <vt:lpwstr>["—"]</vt:lpwstr>
  </property>
  <property fmtid="{D5CDD505-2E9C-101B-9397-08002B2CF9AE}" pid="525" name="hmcheck_result_e23b9f4cfbe54ff0aa73380a17ab8bce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526" name="hmcheck_result_e23b9f4cfbe54ff0aa73380a17ab8bce_level">
    <vt:i4>1</vt:i4>
  </property>
  <property fmtid="{D5CDD505-2E9C-101B-9397-08002B2CF9AE}" pid="527" name="hmcheck_result_e23b9f4cfbe54ff0aa73380a17ab8bce_type">
    <vt:i4>1</vt:i4>
  </property>
  <property fmtid="{D5CDD505-2E9C-101B-9397-08002B2CF9AE}" pid="528" name="hmcheck_result_e23b9f4cfbe54ff0aa73380a17ab8bce_modifiedtype">
    <vt:i4>0</vt:i4>
  </property>
  <property fmtid="{D5CDD505-2E9C-101B-9397-08002B2CF9AE}" pid="529" name="hmcheck_result_60208737cd9742d3ae5e9112c0f2a05a_errorword">
    <vt:lpwstr>联接</vt:lpwstr>
  </property>
  <property fmtid="{D5CDD505-2E9C-101B-9397-08002B2CF9AE}" pid="530" name="hmcheck_result_60208737cd9742d3ae5e9112c0f2a05a_correctwords">
    <vt:lpwstr>["连接"]</vt:lpwstr>
  </property>
  <property fmtid="{D5CDD505-2E9C-101B-9397-08002B2CF9AE}" pid="531" name="hmcheck_result_60208737cd9742d3ae5e9112c0f2a05a_errordescription">
    <vt:lpwstr>（联接）liánjiē〈动〉❶（事物）互相衔接：山岭～。❷使连接：～线路。</vt:lpwstr>
  </property>
  <property fmtid="{D5CDD505-2E9C-101B-9397-08002B2CF9AE}" pid="532" name="hmcheck_result_60208737cd9742d3ae5e9112c0f2a05a_level">
    <vt:i4>1</vt:i4>
  </property>
  <property fmtid="{D5CDD505-2E9C-101B-9397-08002B2CF9AE}" pid="533" name="hmcheck_result_60208737cd9742d3ae5e9112c0f2a05a_type">
    <vt:i4>0</vt:i4>
  </property>
  <property fmtid="{D5CDD505-2E9C-101B-9397-08002B2CF9AE}" pid="534" name="hmcheck_result_60208737cd9742d3ae5e9112c0f2a05a_modifiedtype">
    <vt:i4>0</vt:i4>
  </property>
  <property fmtid="{D5CDD505-2E9C-101B-9397-08002B2CF9AE}" pid="535" name="hmcheck_result_d50811458b364349aa1d1d67f8539dc4_errorword">
    <vt:lpwstr>联接</vt:lpwstr>
  </property>
  <property fmtid="{D5CDD505-2E9C-101B-9397-08002B2CF9AE}" pid="536" name="hmcheck_result_d50811458b364349aa1d1d67f8539dc4_correctwords">
    <vt:lpwstr>["连接"]</vt:lpwstr>
  </property>
  <property fmtid="{D5CDD505-2E9C-101B-9397-08002B2CF9AE}" pid="537" name="hmcheck_result_d50811458b364349aa1d1d67f8539dc4_errordescription">
    <vt:lpwstr>（联接）liánjiē〈动〉❶（事物）互相衔接：山岭～。❷使连接：～线路。</vt:lpwstr>
  </property>
  <property fmtid="{D5CDD505-2E9C-101B-9397-08002B2CF9AE}" pid="538" name="hmcheck_result_d50811458b364349aa1d1d67f8539dc4_level">
    <vt:i4>1</vt:i4>
  </property>
  <property fmtid="{D5CDD505-2E9C-101B-9397-08002B2CF9AE}" pid="539" name="hmcheck_result_d50811458b364349aa1d1d67f8539dc4_type">
    <vt:i4>0</vt:i4>
  </property>
  <property fmtid="{D5CDD505-2E9C-101B-9397-08002B2CF9AE}" pid="540" name="hmcheck_result_d50811458b364349aa1d1d67f8539dc4_modifiedtype">
    <vt:i4>0</vt:i4>
  </property>
  <property fmtid="{D5CDD505-2E9C-101B-9397-08002B2CF9AE}" pid="541" name="hmcheck_result_ab0c4f816bb24fa19760406e3d626a2b_errorword">
    <vt:lpwstr>加劲</vt:lpwstr>
  </property>
  <property fmtid="{D5CDD505-2E9C-101B-9397-08002B2CF9AE}" pid="542" name="hmcheck_result_ab0c4f816bb24fa19760406e3d626a2b_correctwords">
    <vt:lpwstr>["加筋"]</vt:lpwstr>
  </property>
  <property fmtid="{D5CDD505-2E9C-101B-9397-08002B2CF9AE}" pid="543" name="hmcheck_result_ab0c4f816bb24fa19760406e3d626a2b_level">
    <vt:i4>1</vt:i4>
  </property>
  <property fmtid="{D5CDD505-2E9C-101B-9397-08002B2CF9AE}" pid="544" name="hmcheck_result_ab0c4f816bb24fa19760406e3d626a2b_type">
    <vt:i4>0</vt:i4>
  </property>
  <property fmtid="{D5CDD505-2E9C-101B-9397-08002B2CF9AE}" pid="545" name="hmcheck_result_ab0c4f816bb24fa19760406e3d626a2b_modifiedtype">
    <vt:i4>0</vt:i4>
  </property>
  <property fmtid="{D5CDD505-2E9C-101B-9397-08002B2CF9AE}" pid="546" name="hmcheck_result_bd936d767f77436aae8021fd9ad677d6_errorword">
    <vt:lpwstr>钢砂</vt:lpwstr>
  </property>
  <property fmtid="{D5CDD505-2E9C-101B-9397-08002B2CF9AE}" pid="547" name="hmcheck_result_bd936d767f77436aae8021fd9ad677d6_correctwords">
    <vt:lpwstr>["钢"]</vt:lpwstr>
  </property>
  <property fmtid="{D5CDD505-2E9C-101B-9397-08002B2CF9AE}" pid="548" name="hmcheck_result_bd936d767f77436aae8021fd9ad677d6_level">
    <vt:i4>1</vt:i4>
  </property>
  <property fmtid="{D5CDD505-2E9C-101B-9397-08002B2CF9AE}" pid="549" name="hmcheck_result_bd936d767f77436aae8021fd9ad677d6_type">
    <vt:i4>0</vt:i4>
  </property>
  <property fmtid="{D5CDD505-2E9C-101B-9397-08002B2CF9AE}" pid="550" name="hmcheck_result_bd936d767f77436aae8021fd9ad677d6_modifiedtype">
    <vt:i4>0</vt:i4>
  </property>
  <property fmtid="{D5CDD505-2E9C-101B-9397-08002B2CF9AE}" pid="551" name="hmcheck_result_da2f9e11a0d04f7aa8f2973ed3ee3355_errorword">
    <vt:lpwstr>拌合</vt:lpwstr>
  </property>
  <property fmtid="{D5CDD505-2E9C-101B-9397-08002B2CF9AE}" pid="552" name="hmcheck_result_da2f9e11a0d04f7aa8f2973ed3ee3355_correctwords">
    <vt:lpwstr>["拌和"]</vt:lpwstr>
  </property>
  <property fmtid="{D5CDD505-2E9C-101B-9397-08002B2CF9AE}" pid="553" name="hmcheck_result_da2f9e11a0d04f7aa8f2973ed3ee3355_level">
    <vt:i4>1</vt:i4>
  </property>
  <property fmtid="{D5CDD505-2E9C-101B-9397-08002B2CF9AE}" pid="554" name="hmcheck_result_da2f9e11a0d04f7aa8f2973ed3ee3355_type">
    <vt:i4>0</vt:i4>
  </property>
  <property fmtid="{D5CDD505-2E9C-101B-9397-08002B2CF9AE}" pid="555" name="hmcheck_result_da2f9e11a0d04f7aa8f2973ed3ee3355_modifiedtype">
    <vt:i4>0</vt:i4>
  </property>
  <property fmtid="{D5CDD505-2E9C-101B-9397-08002B2CF9AE}" pid="556" name="hmcheck_result_4388003604474226bf73bb8407990441_errorword">
    <vt:lpwstr>：</vt:lpwstr>
  </property>
  <property fmtid="{D5CDD505-2E9C-101B-9397-08002B2CF9AE}" pid="557" name="hmcheck_result_4388003604474226bf73bb8407990441_correctwords">
    <vt:lpwstr>[":"]</vt:lpwstr>
  </property>
  <property fmtid="{D5CDD505-2E9C-101B-9397-08002B2CF9AE}" pid="558" name="hmcheck_result_4388003604474226bf73bb8407990441_errordescription">
    <vt:lpwstr>文本全半角错误</vt:lpwstr>
  </property>
  <property fmtid="{D5CDD505-2E9C-101B-9397-08002B2CF9AE}" pid="559" name="hmcheck_result_4388003604474226bf73bb8407990441_level">
    <vt:i4>1</vt:i4>
  </property>
  <property fmtid="{D5CDD505-2E9C-101B-9397-08002B2CF9AE}" pid="560" name="hmcheck_result_4388003604474226bf73bb8407990441_type">
    <vt:i4>1</vt:i4>
  </property>
  <property fmtid="{D5CDD505-2E9C-101B-9397-08002B2CF9AE}" pid="561" name="hmcheck_result_4388003604474226bf73bb8407990441_modifiedtype">
    <vt:i4>0</vt:i4>
  </property>
  <property fmtid="{D5CDD505-2E9C-101B-9397-08002B2CF9AE}" pid="562" name="hmcheck_result_209274c65664490da8503b8d8b4292ef_errorword">
    <vt:lpwstr>：</vt:lpwstr>
  </property>
  <property fmtid="{D5CDD505-2E9C-101B-9397-08002B2CF9AE}" pid="563" name="hmcheck_result_209274c65664490da8503b8d8b4292ef_correctwords">
    <vt:lpwstr>[":"]</vt:lpwstr>
  </property>
  <property fmtid="{D5CDD505-2E9C-101B-9397-08002B2CF9AE}" pid="564" name="hmcheck_result_209274c65664490da8503b8d8b4292ef_errordescription">
    <vt:lpwstr>文本全半角错误</vt:lpwstr>
  </property>
  <property fmtid="{D5CDD505-2E9C-101B-9397-08002B2CF9AE}" pid="565" name="hmcheck_result_209274c65664490da8503b8d8b4292ef_level">
    <vt:i4>1</vt:i4>
  </property>
  <property fmtid="{D5CDD505-2E9C-101B-9397-08002B2CF9AE}" pid="566" name="hmcheck_result_209274c65664490da8503b8d8b4292ef_type">
    <vt:i4>1</vt:i4>
  </property>
  <property fmtid="{D5CDD505-2E9C-101B-9397-08002B2CF9AE}" pid="567" name="hmcheck_result_209274c65664490da8503b8d8b4292ef_modifiedtype">
    <vt:i4>0</vt:i4>
  </property>
  <property fmtid="{D5CDD505-2E9C-101B-9397-08002B2CF9AE}" pid="568" name="hmcheck_result_3bc2bac5bcf84f469afdfd88803d911e_errorword">
    <vt:lpwstr>仓面</vt:lpwstr>
  </property>
  <property fmtid="{D5CDD505-2E9C-101B-9397-08002B2CF9AE}" pid="569" name="hmcheck_result_3bc2bac5bcf84f469afdfd88803d911e_correctwords">
    <vt:lpwstr>["舱面"]</vt:lpwstr>
  </property>
  <property fmtid="{D5CDD505-2E9C-101B-9397-08002B2CF9AE}" pid="570" name="hmcheck_result_3bc2bac5bcf84f469afdfd88803d911e_level">
    <vt:i4>1</vt:i4>
  </property>
  <property fmtid="{D5CDD505-2E9C-101B-9397-08002B2CF9AE}" pid="571" name="hmcheck_result_3bc2bac5bcf84f469afdfd88803d911e_type">
    <vt:i4>0</vt:i4>
  </property>
  <property fmtid="{D5CDD505-2E9C-101B-9397-08002B2CF9AE}" pid="572" name="hmcheck_result_3bc2bac5bcf84f469afdfd88803d911e_modifiedtype">
    <vt:i4>0</vt:i4>
  </property>
  <property fmtid="{D5CDD505-2E9C-101B-9397-08002B2CF9AE}" pid="573" name="hmcheck_result_c033cad21f5a4dd3bffed146fecc94d1_errorword">
    <vt:lpwstr>仓面</vt:lpwstr>
  </property>
  <property fmtid="{D5CDD505-2E9C-101B-9397-08002B2CF9AE}" pid="574" name="hmcheck_result_c033cad21f5a4dd3bffed146fecc94d1_correctwords">
    <vt:lpwstr>["舱面"]</vt:lpwstr>
  </property>
  <property fmtid="{D5CDD505-2E9C-101B-9397-08002B2CF9AE}" pid="575" name="hmcheck_result_c033cad21f5a4dd3bffed146fecc94d1_level">
    <vt:i4>1</vt:i4>
  </property>
  <property fmtid="{D5CDD505-2E9C-101B-9397-08002B2CF9AE}" pid="576" name="hmcheck_result_c033cad21f5a4dd3bffed146fecc94d1_type">
    <vt:i4>0</vt:i4>
  </property>
  <property fmtid="{D5CDD505-2E9C-101B-9397-08002B2CF9AE}" pid="577" name="hmcheck_result_c033cad21f5a4dd3bffed146fecc94d1_modifiedtype">
    <vt:i4>0</vt:i4>
  </property>
  <property fmtid="{D5CDD505-2E9C-101B-9397-08002B2CF9AE}" pid="578" name="hmcheck_result_8121ad29e14b4c5ba18a7007c1b29405_errorword">
    <vt:lpwstr>钢筋制</vt:lpwstr>
  </property>
  <property fmtid="{D5CDD505-2E9C-101B-9397-08002B2CF9AE}" pid="579" name="hmcheck_result_8121ad29e14b4c5ba18a7007c1b29405_correctwords">
    <vt:lpwstr>["钢筋"]</vt:lpwstr>
  </property>
  <property fmtid="{D5CDD505-2E9C-101B-9397-08002B2CF9AE}" pid="580" name="hmcheck_result_8121ad29e14b4c5ba18a7007c1b29405_level">
    <vt:i4>1</vt:i4>
  </property>
  <property fmtid="{D5CDD505-2E9C-101B-9397-08002B2CF9AE}" pid="581" name="hmcheck_result_8121ad29e14b4c5ba18a7007c1b29405_type">
    <vt:i4>0</vt:i4>
  </property>
  <property fmtid="{D5CDD505-2E9C-101B-9397-08002B2CF9AE}" pid="582" name="hmcheck_result_8121ad29e14b4c5ba18a7007c1b29405_modifiedtype">
    <vt:i4>0</vt:i4>
  </property>
  <property fmtid="{D5CDD505-2E9C-101B-9397-08002B2CF9AE}" pid="583" name="hmcheck_result_338eff3de5c8439f997a0ab2a9636460_errorword">
    <vt:lpwstr>粘土</vt:lpwstr>
  </property>
  <property fmtid="{D5CDD505-2E9C-101B-9397-08002B2CF9AE}" pid="584" name="hmcheck_result_338eff3de5c8439f997a0ab2a9636460_correctwords">
    <vt:lpwstr>["黏土"]</vt:lpwstr>
  </property>
  <property fmtid="{D5CDD505-2E9C-101B-9397-08002B2CF9AE}" pid="585" name="hmcheck_result_338eff3de5c8439f997a0ab2a9636460_level">
    <vt:i4>1</vt:i4>
  </property>
  <property fmtid="{D5CDD505-2E9C-101B-9397-08002B2CF9AE}" pid="586" name="hmcheck_result_338eff3de5c8439f997a0ab2a9636460_type">
    <vt:i4>0</vt:i4>
  </property>
  <property fmtid="{D5CDD505-2E9C-101B-9397-08002B2CF9AE}" pid="587" name="hmcheck_result_338eff3de5c8439f997a0ab2a9636460_modifiedtype">
    <vt:i4>0</vt:i4>
  </property>
  <property fmtid="{D5CDD505-2E9C-101B-9397-08002B2CF9AE}" pid="588" name="hmcheck_result_d86c4d17cd30489883376669515849a8_errorword">
    <vt:lpwstr>台后</vt:lpwstr>
  </property>
  <property fmtid="{D5CDD505-2E9C-101B-9397-08002B2CF9AE}" pid="589" name="hmcheck_result_d86c4d17cd30489883376669515849a8_correctwords">
    <vt:lpwstr>["后台"]</vt:lpwstr>
  </property>
  <property fmtid="{D5CDD505-2E9C-101B-9397-08002B2CF9AE}" pid="590" name="hmcheck_result_d86c4d17cd30489883376669515849a8_level">
    <vt:i4>1</vt:i4>
  </property>
  <property fmtid="{D5CDD505-2E9C-101B-9397-08002B2CF9AE}" pid="591" name="hmcheck_result_d86c4d17cd30489883376669515849a8_type">
    <vt:i4>0</vt:i4>
  </property>
  <property fmtid="{D5CDD505-2E9C-101B-9397-08002B2CF9AE}" pid="592" name="hmcheck_result_d86c4d17cd30489883376669515849a8_modifiedtype">
    <vt:i4>0</vt:i4>
  </property>
  <property fmtid="{D5CDD505-2E9C-101B-9397-08002B2CF9AE}" pid="593" name="hmcheck_result_aa93dc31bdb9409b9b2565aab0143938_errorword">
    <vt:lpwstr>pcu</vt:lpwstr>
  </property>
  <property fmtid="{D5CDD505-2E9C-101B-9397-08002B2CF9AE}" pid="594" name="hmcheck_result_aa93dc31bdb9409b9b2565aab0143938_correctwords">
    <vt:lpwstr>["pdu","pvu","pci","cu","pc"]</vt:lpwstr>
  </property>
  <property fmtid="{D5CDD505-2E9C-101B-9397-08002B2CF9AE}" pid="595" name="hmcheck_result_aa93dc31bdb9409b9b2565aab0143938_level">
    <vt:i4>1</vt:i4>
  </property>
  <property fmtid="{D5CDD505-2E9C-101B-9397-08002B2CF9AE}" pid="596" name="hmcheck_result_aa93dc31bdb9409b9b2565aab0143938_type">
    <vt:i4>6</vt:i4>
  </property>
  <property fmtid="{D5CDD505-2E9C-101B-9397-08002B2CF9AE}" pid="597" name="hmcheck_result_aa93dc31bdb9409b9b2565aab0143938_modifiedtype">
    <vt:i4>0</vt:i4>
  </property>
  <property fmtid="{D5CDD505-2E9C-101B-9397-08002B2CF9AE}" pid="598" name="hmcheck_result_a5f73f598ca34aa98b7cbf0eeb8944c6_errorword">
    <vt:lpwstr>pcu</vt:lpwstr>
  </property>
  <property fmtid="{D5CDD505-2E9C-101B-9397-08002B2CF9AE}" pid="599" name="hmcheck_result_a5f73f598ca34aa98b7cbf0eeb8944c6_correctwords">
    <vt:lpwstr>["pdu","pvu","pci","cu","pc"]</vt:lpwstr>
  </property>
  <property fmtid="{D5CDD505-2E9C-101B-9397-08002B2CF9AE}" pid="600" name="hmcheck_result_a5f73f598ca34aa98b7cbf0eeb8944c6_level">
    <vt:i4>1</vt:i4>
  </property>
  <property fmtid="{D5CDD505-2E9C-101B-9397-08002B2CF9AE}" pid="601" name="hmcheck_result_a5f73f598ca34aa98b7cbf0eeb8944c6_type">
    <vt:i4>6</vt:i4>
  </property>
  <property fmtid="{D5CDD505-2E9C-101B-9397-08002B2CF9AE}" pid="602" name="hmcheck_result_a5f73f598ca34aa98b7cbf0eeb8944c6_modifiedtype">
    <vt:i4>0</vt:i4>
  </property>
  <property fmtid="{D5CDD505-2E9C-101B-9397-08002B2CF9AE}" pid="603" name="hmcheck_result_45b30845cd8d4808b11b9564f5e55c17_errorword">
    <vt:lpwstr>[2010]</vt:lpwstr>
  </property>
  <property fmtid="{D5CDD505-2E9C-101B-9397-08002B2CF9AE}" pid="604" name="hmcheck_result_45b30845cd8d4808b11b9564f5e55c17_correctwords">
    <vt:lpwstr>["〔2010〕"]</vt:lpwstr>
  </property>
  <property fmtid="{D5CDD505-2E9C-101B-9397-08002B2CF9AE}" pid="605" name="hmcheck_result_45b30845cd8d4808b11b9564f5e55c17_level">
    <vt:i4>1</vt:i4>
  </property>
  <property fmtid="{D5CDD505-2E9C-101B-9397-08002B2CF9AE}" pid="606" name="hmcheck_result_45b30845cd8d4808b11b9564f5e55c17_type">
    <vt:i4>0</vt:i4>
  </property>
  <property fmtid="{D5CDD505-2E9C-101B-9397-08002B2CF9AE}" pid="607" name="hmcheck_result_45b30845cd8d4808b11b9564f5e55c17_modifiedtype">
    <vt:i4>0</vt:i4>
  </property>
  <property fmtid="{D5CDD505-2E9C-101B-9397-08002B2CF9AE}" pid="608" name="hmcheck_result_a4a78e982bf94ff88e5624cfa6ede3d5_errorword">
    <vt:lpwstr>依据工</vt:lpwstr>
  </property>
  <property fmtid="{D5CDD505-2E9C-101B-9397-08002B2CF9AE}" pid="609" name="hmcheck_result_a4a78e982bf94ff88e5624cfa6ede3d5_correctwords">
    <vt:lpwstr>["依据"]</vt:lpwstr>
  </property>
  <property fmtid="{D5CDD505-2E9C-101B-9397-08002B2CF9AE}" pid="610" name="hmcheck_result_a4a78e982bf94ff88e5624cfa6ede3d5_level">
    <vt:i4>1</vt:i4>
  </property>
  <property fmtid="{D5CDD505-2E9C-101B-9397-08002B2CF9AE}" pid="611" name="hmcheck_result_a4a78e982bf94ff88e5624cfa6ede3d5_type">
    <vt:i4>0</vt:i4>
  </property>
  <property fmtid="{D5CDD505-2E9C-101B-9397-08002B2CF9AE}" pid="612" name="hmcheck_result_a4a78e982bf94ff88e5624cfa6ede3d5_modifiedtype">
    <vt:i4>0</vt:i4>
  </property>
  <property fmtid="{D5CDD505-2E9C-101B-9397-08002B2CF9AE}" pid="613" name="hmcheck_result_f728adc66e7243e399334606728fb973_errorword">
    <vt:lpwstr>常驻</vt:lpwstr>
  </property>
  <property fmtid="{D5CDD505-2E9C-101B-9397-08002B2CF9AE}" pid="614" name="hmcheck_result_f728adc66e7243e399334606728fb973_correctwords">
    <vt:lpwstr>["常住"]</vt:lpwstr>
  </property>
  <property fmtid="{D5CDD505-2E9C-101B-9397-08002B2CF9AE}" pid="615" name="hmcheck_result_f728adc66e7243e399334606728fb973_level">
    <vt:i4>1</vt:i4>
  </property>
  <property fmtid="{D5CDD505-2E9C-101B-9397-08002B2CF9AE}" pid="616" name="hmcheck_result_f728adc66e7243e399334606728fb973_type">
    <vt:i4>0</vt:i4>
  </property>
  <property fmtid="{D5CDD505-2E9C-101B-9397-08002B2CF9AE}" pid="617" name="hmcheck_result_f728adc66e7243e399334606728fb973_modifiedtype">
    <vt:i4>0</vt:i4>
  </property>
  <property fmtid="{D5CDD505-2E9C-101B-9397-08002B2CF9AE}" pid="618" name="hmcheck_result_f1809b4e24e8441094baaa4925a9a26e_errorword">
    <vt:lpwstr>~</vt:lpwstr>
  </property>
  <property fmtid="{D5CDD505-2E9C-101B-9397-08002B2CF9AE}" pid="619" name="hmcheck_result_f1809b4e24e8441094baaa4925a9a26e_correctwords">
    <vt:lpwstr>["～"]</vt:lpwstr>
  </property>
  <property fmtid="{D5CDD505-2E9C-101B-9397-08002B2CF9AE}" pid="620" name="hmcheck_result_f1809b4e24e8441094baaa4925a9a26e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621" name="hmcheck_result_f1809b4e24e8441094baaa4925a9a26e_level">
    <vt:i4>1</vt:i4>
  </property>
  <property fmtid="{D5CDD505-2E9C-101B-9397-08002B2CF9AE}" pid="622" name="hmcheck_result_f1809b4e24e8441094baaa4925a9a26e_type">
    <vt:i4>1</vt:i4>
  </property>
  <property fmtid="{D5CDD505-2E9C-101B-9397-08002B2CF9AE}" pid="623" name="hmcheck_result_f1809b4e24e8441094baaa4925a9a26e_modifiedtype">
    <vt:i4>0</vt:i4>
  </property>
  <property fmtid="{D5CDD505-2E9C-101B-9397-08002B2CF9AE}" pid="624" name="hmcheck_result_d5ad174cb8364232bcd1195d3e83d059_errorword">
    <vt:lpwstr>拌合站</vt:lpwstr>
  </property>
  <property fmtid="{D5CDD505-2E9C-101B-9397-08002B2CF9AE}" pid="625" name="hmcheck_result_d5ad174cb8364232bcd1195d3e83d059_correctwords">
    <vt:lpwstr>["拌和站"]</vt:lpwstr>
  </property>
  <property fmtid="{D5CDD505-2E9C-101B-9397-08002B2CF9AE}" pid="626" name="hmcheck_result_d5ad174cb8364232bcd1195d3e83d059_level">
    <vt:i4>1</vt:i4>
  </property>
  <property fmtid="{D5CDD505-2E9C-101B-9397-08002B2CF9AE}" pid="627" name="hmcheck_result_d5ad174cb8364232bcd1195d3e83d059_type">
    <vt:i4>5</vt:i4>
  </property>
  <property fmtid="{D5CDD505-2E9C-101B-9397-08002B2CF9AE}" pid="628" name="hmcheck_result_d5ad174cb8364232bcd1195d3e83d059_modifiedtype">
    <vt:i4>0</vt:i4>
  </property>
  <property fmtid="{D5CDD505-2E9C-101B-9397-08002B2CF9AE}" pid="629" name="hmcheck_result_0d658bdaf3d14a2ab498e3902f819aa0_errorword">
    <vt:lpwstr>拌和</vt:lpwstr>
  </property>
  <property fmtid="{D5CDD505-2E9C-101B-9397-08002B2CF9AE}" pid="630" name="hmcheck_result_0d658bdaf3d14a2ab498e3902f819aa0_correctwords">
    <vt:lpwstr>["拌合"]</vt:lpwstr>
  </property>
  <property fmtid="{D5CDD505-2E9C-101B-9397-08002B2CF9AE}" pid="631" name="hmcheck_result_0d658bdaf3d14a2ab498e3902f819aa0_level">
    <vt:i4>1</vt:i4>
  </property>
  <property fmtid="{D5CDD505-2E9C-101B-9397-08002B2CF9AE}" pid="632" name="hmcheck_result_0d658bdaf3d14a2ab498e3902f819aa0_type">
    <vt:i4>0</vt:i4>
  </property>
  <property fmtid="{D5CDD505-2E9C-101B-9397-08002B2CF9AE}" pid="633" name="hmcheck_result_0d658bdaf3d14a2ab498e3902f819aa0_modifiedtype">
    <vt:i4>0</vt:i4>
  </property>
  <property fmtid="{D5CDD505-2E9C-101B-9397-08002B2CF9AE}" pid="634" name="hmcheck_result_c25b1ecbe61a4061a6a7bd09a45a1ec5_errorword">
    <vt:lpwstr>经泵</vt:lpwstr>
  </property>
  <property fmtid="{D5CDD505-2E9C-101B-9397-08002B2CF9AE}" pid="635" name="hmcheck_result_c25b1ecbe61a4061a6a7bd09a45a1ec5_correctwords">
    <vt:lpwstr>["经常"]</vt:lpwstr>
  </property>
  <property fmtid="{D5CDD505-2E9C-101B-9397-08002B2CF9AE}" pid="636" name="hmcheck_result_c25b1ecbe61a4061a6a7bd09a45a1ec5_level">
    <vt:i4>1</vt:i4>
  </property>
  <property fmtid="{D5CDD505-2E9C-101B-9397-08002B2CF9AE}" pid="637" name="hmcheck_result_c25b1ecbe61a4061a6a7bd09a45a1ec5_type">
    <vt:i4>0</vt:i4>
  </property>
  <property fmtid="{D5CDD505-2E9C-101B-9397-08002B2CF9AE}" pid="638" name="hmcheck_result_c25b1ecbe61a4061a6a7bd09a45a1ec5_modifiedtype">
    <vt:i4>0</vt:i4>
  </property>
  <property fmtid="{D5CDD505-2E9C-101B-9397-08002B2CF9AE}" pid="639" name="hmcheck_result_66f10bb3bc4d452cb39b7c0eeacbfbf8_errorword">
    <vt:lpwstr>经泵</vt:lpwstr>
  </property>
  <property fmtid="{D5CDD505-2E9C-101B-9397-08002B2CF9AE}" pid="640" name="hmcheck_result_66f10bb3bc4d452cb39b7c0eeacbfbf8_correctwords">
    <vt:lpwstr>["经常"]</vt:lpwstr>
  </property>
  <property fmtid="{D5CDD505-2E9C-101B-9397-08002B2CF9AE}" pid="641" name="hmcheck_result_66f10bb3bc4d452cb39b7c0eeacbfbf8_level">
    <vt:i4>1</vt:i4>
  </property>
  <property fmtid="{D5CDD505-2E9C-101B-9397-08002B2CF9AE}" pid="642" name="hmcheck_result_66f10bb3bc4d452cb39b7c0eeacbfbf8_type">
    <vt:i4>0</vt:i4>
  </property>
  <property fmtid="{D5CDD505-2E9C-101B-9397-08002B2CF9AE}" pid="643" name="hmcheck_result_66f10bb3bc4d452cb39b7c0eeacbfbf8_modifiedtype">
    <vt:i4>0</vt:i4>
  </property>
  <property fmtid="{D5CDD505-2E9C-101B-9397-08002B2CF9AE}" pid="644" name="hmcheck_result_66a3d784a2a2413cb5f098093083b5fc_errorword">
    <vt:lpwstr>拌和</vt:lpwstr>
  </property>
  <property fmtid="{D5CDD505-2E9C-101B-9397-08002B2CF9AE}" pid="645" name="hmcheck_result_66a3d784a2a2413cb5f098093083b5fc_correctwords">
    <vt:lpwstr>["拌合"]</vt:lpwstr>
  </property>
  <property fmtid="{D5CDD505-2E9C-101B-9397-08002B2CF9AE}" pid="646" name="hmcheck_result_66a3d784a2a2413cb5f098093083b5fc_level">
    <vt:i4>1</vt:i4>
  </property>
  <property fmtid="{D5CDD505-2E9C-101B-9397-08002B2CF9AE}" pid="647" name="hmcheck_result_66a3d784a2a2413cb5f098093083b5fc_type">
    <vt:i4>0</vt:i4>
  </property>
  <property fmtid="{D5CDD505-2E9C-101B-9397-08002B2CF9AE}" pid="648" name="hmcheck_result_66a3d784a2a2413cb5f098093083b5fc_modifiedtype">
    <vt:i4>0</vt:i4>
  </property>
  <property fmtid="{D5CDD505-2E9C-101B-9397-08002B2CF9AE}" pid="649" name="hmcheck_result_c4d3fe6c84534814bbe6b1c276a49713_errorword">
    <vt:lpwstr>拌合站</vt:lpwstr>
  </property>
  <property fmtid="{D5CDD505-2E9C-101B-9397-08002B2CF9AE}" pid="650" name="hmcheck_result_c4d3fe6c84534814bbe6b1c276a49713_correctwords">
    <vt:lpwstr>["拌和站"]</vt:lpwstr>
  </property>
  <property fmtid="{D5CDD505-2E9C-101B-9397-08002B2CF9AE}" pid="651" name="hmcheck_result_c4d3fe6c84534814bbe6b1c276a49713_level">
    <vt:i4>1</vt:i4>
  </property>
  <property fmtid="{D5CDD505-2E9C-101B-9397-08002B2CF9AE}" pid="652" name="hmcheck_result_c4d3fe6c84534814bbe6b1c276a49713_type">
    <vt:i4>5</vt:i4>
  </property>
  <property fmtid="{D5CDD505-2E9C-101B-9397-08002B2CF9AE}" pid="653" name="hmcheck_result_c4d3fe6c84534814bbe6b1c276a49713_modifiedtype">
    <vt:i4>0</vt:i4>
  </property>
  <property fmtid="{D5CDD505-2E9C-101B-9397-08002B2CF9AE}" pid="654" name="hmcheck_result_a6438c3cd6ec4883a40311c6fc76d662_errorword">
    <vt:lpwstr>水稳拌和站</vt:lpwstr>
  </property>
  <property fmtid="{D5CDD505-2E9C-101B-9397-08002B2CF9AE}" pid="655" name="hmcheck_result_a6438c3cd6ec4883a40311c6fc76d662_correctwords">
    <vt:lpwstr>["水稳拌合站"]</vt:lpwstr>
  </property>
  <property fmtid="{D5CDD505-2E9C-101B-9397-08002B2CF9AE}" pid="656" name="hmcheck_result_a6438c3cd6ec4883a40311c6fc76d662_level">
    <vt:i4>1</vt:i4>
  </property>
  <property fmtid="{D5CDD505-2E9C-101B-9397-08002B2CF9AE}" pid="657" name="hmcheck_result_a6438c3cd6ec4883a40311c6fc76d662_type">
    <vt:i4>0</vt:i4>
  </property>
  <property fmtid="{D5CDD505-2E9C-101B-9397-08002B2CF9AE}" pid="658" name="hmcheck_result_a6438c3cd6ec4883a40311c6fc76d662_modifiedtype">
    <vt:i4>2</vt:i4>
  </property>
  <property fmtid="{D5CDD505-2E9C-101B-9397-08002B2CF9AE}" pid="659" name="hmcheck_result_675c06e1aa9d4f588b4f9c54018b5c01_errorword">
    <vt:lpwstr>最大程度的减少</vt:lpwstr>
  </property>
  <property fmtid="{D5CDD505-2E9C-101B-9397-08002B2CF9AE}" pid="660" name="hmcheck_result_675c06e1aa9d4f588b4f9c54018b5c01_correctwords">
    <vt:lpwstr>["最大限度地减少"]</vt:lpwstr>
  </property>
  <property fmtid="{D5CDD505-2E9C-101B-9397-08002B2CF9AE}" pid="661" name="hmcheck_result_675c06e1aa9d4f588b4f9c54018b5c01_level">
    <vt:i4>1</vt:i4>
  </property>
  <property fmtid="{D5CDD505-2E9C-101B-9397-08002B2CF9AE}" pid="662" name="hmcheck_result_675c06e1aa9d4f588b4f9c54018b5c01_type">
    <vt:i4>0</vt:i4>
  </property>
  <property fmtid="{D5CDD505-2E9C-101B-9397-08002B2CF9AE}" pid="663" name="hmcheck_result_675c06e1aa9d4f588b4f9c54018b5c01_modifiedtype">
    <vt:i4>0</vt:i4>
  </property>
  <property fmtid="{D5CDD505-2E9C-101B-9397-08002B2CF9AE}" pid="664" name="hmcheck_result_df713f2d6523479bafda03948c19fe17_errorword">
    <vt:lpwstr>值见</vt:lpwstr>
  </property>
  <property fmtid="{D5CDD505-2E9C-101B-9397-08002B2CF9AE}" pid="665" name="hmcheck_result_df713f2d6523479bafda03948c19fe17_correctwords">
    <vt:lpwstr>["值"]</vt:lpwstr>
  </property>
  <property fmtid="{D5CDD505-2E9C-101B-9397-08002B2CF9AE}" pid="666" name="hmcheck_result_df713f2d6523479bafda03948c19fe17_level">
    <vt:i4>1</vt:i4>
  </property>
  <property fmtid="{D5CDD505-2E9C-101B-9397-08002B2CF9AE}" pid="667" name="hmcheck_result_df713f2d6523479bafda03948c19fe17_type">
    <vt:i4>0</vt:i4>
  </property>
  <property fmtid="{D5CDD505-2E9C-101B-9397-08002B2CF9AE}" pid="668" name="hmcheck_result_df713f2d6523479bafda03948c19fe17_modifiedtype">
    <vt:i4>0</vt:i4>
  </property>
  <property fmtid="{D5CDD505-2E9C-101B-9397-08002B2CF9AE}" pid="669" name="hmcheck_result_1ef233f5c68c4265ab7cae79d7f6a55b_errorword">
    <vt:lpwstr>国家环保总局</vt:lpwstr>
  </property>
  <property fmtid="{D5CDD505-2E9C-101B-9397-08002B2CF9AE}" pid="670" name="hmcheck_result_1ef233f5c68c4265ab7cae79d7f6a55b_correctwords">
    <vt:lpwstr>["环境保护部"]</vt:lpwstr>
  </property>
  <property fmtid="{D5CDD505-2E9C-101B-9397-08002B2CF9AE}" pid="671" name="hmcheck_result_1ef233f5c68c4265ab7cae79d7f6a55b_level">
    <vt:i4>1</vt:i4>
  </property>
  <property fmtid="{D5CDD505-2E9C-101B-9397-08002B2CF9AE}" pid="672" name="hmcheck_result_1ef233f5c68c4265ab7cae79d7f6a55b_type">
    <vt:i4>5</vt:i4>
  </property>
  <property fmtid="{D5CDD505-2E9C-101B-9397-08002B2CF9AE}" pid="673" name="hmcheck_result_1ef233f5c68c4265ab7cae79d7f6a55b_modifiedtype">
    <vt:i4>2</vt:i4>
  </property>
  <property fmtid="{D5CDD505-2E9C-101B-9397-08002B2CF9AE}" pid="674" name="hmcheck_result_e082b4cc4dde434584b06790e98d2e26_errorword">
    <vt:lpwstr>历时的</vt:lpwstr>
  </property>
  <property fmtid="{D5CDD505-2E9C-101B-9397-08002B2CF9AE}" pid="675" name="hmcheck_result_e082b4cc4dde434584b06790e98d2e26_correctwords">
    <vt:lpwstr>["历史的"]</vt:lpwstr>
  </property>
  <property fmtid="{D5CDD505-2E9C-101B-9397-08002B2CF9AE}" pid="676" name="hmcheck_result_e082b4cc4dde434584b06790e98d2e26_level">
    <vt:i4>1</vt:i4>
  </property>
  <property fmtid="{D5CDD505-2E9C-101B-9397-08002B2CF9AE}" pid="677" name="hmcheck_result_e082b4cc4dde434584b06790e98d2e26_type">
    <vt:i4>0</vt:i4>
  </property>
  <property fmtid="{D5CDD505-2E9C-101B-9397-08002B2CF9AE}" pid="678" name="hmcheck_result_e082b4cc4dde434584b06790e98d2e26_modifiedtype">
    <vt:i4>0</vt:i4>
  </property>
  <property fmtid="{D5CDD505-2E9C-101B-9397-08002B2CF9AE}" pid="679" name="hmcheck_result_47270b9a79834447ac98e32d8bb5789f_errorword">
    <vt:lpwstr>历时的</vt:lpwstr>
  </property>
  <property fmtid="{D5CDD505-2E9C-101B-9397-08002B2CF9AE}" pid="680" name="hmcheck_result_47270b9a79834447ac98e32d8bb5789f_correctwords">
    <vt:lpwstr>["历史的"]</vt:lpwstr>
  </property>
  <property fmtid="{D5CDD505-2E9C-101B-9397-08002B2CF9AE}" pid="681" name="hmcheck_result_47270b9a79834447ac98e32d8bb5789f_level">
    <vt:i4>1</vt:i4>
  </property>
  <property fmtid="{D5CDD505-2E9C-101B-9397-08002B2CF9AE}" pid="682" name="hmcheck_result_47270b9a79834447ac98e32d8bb5789f_type">
    <vt:i4>0</vt:i4>
  </property>
  <property fmtid="{D5CDD505-2E9C-101B-9397-08002B2CF9AE}" pid="683" name="hmcheck_result_47270b9a79834447ac98e32d8bb5789f_modifiedtype">
    <vt:i4>0</vt:i4>
  </property>
  <property fmtid="{D5CDD505-2E9C-101B-9397-08002B2CF9AE}" pid="684" name="hmcheck_result_a82237af38834d41866d67f03c86e48d_errorword">
    <vt:lpwstr>~</vt:lpwstr>
  </property>
  <property fmtid="{D5CDD505-2E9C-101B-9397-08002B2CF9AE}" pid="685" name="hmcheck_result_a82237af38834d41866d67f03c86e48d_correctwords">
    <vt:lpwstr>["～"]</vt:lpwstr>
  </property>
  <property fmtid="{D5CDD505-2E9C-101B-9397-08002B2CF9AE}" pid="686" name="hmcheck_result_a82237af38834d41866d67f03c86e48d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687" name="hmcheck_result_a82237af38834d41866d67f03c86e48d_level">
    <vt:i4>1</vt:i4>
  </property>
  <property fmtid="{D5CDD505-2E9C-101B-9397-08002B2CF9AE}" pid="688" name="hmcheck_result_a82237af38834d41866d67f03c86e48d_type">
    <vt:i4>1</vt:i4>
  </property>
  <property fmtid="{D5CDD505-2E9C-101B-9397-08002B2CF9AE}" pid="689" name="hmcheck_result_a82237af38834d41866d67f03c86e48d_modifiedtype">
    <vt:i4>0</vt:i4>
  </property>
  <property fmtid="{D5CDD505-2E9C-101B-9397-08002B2CF9AE}" pid="690" name="hmcheck_result_d37096939cec48fb94b9f781be05f6db_errorword">
    <vt:lpwstr>~</vt:lpwstr>
  </property>
  <property fmtid="{D5CDD505-2E9C-101B-9397-08002B2CF9AE}" pid="691" name="hmcheck_result_d37096939cec48fb94b9f781be05f6db_correctwords">
    <vt:lpwstr>["～"]</vt:lpwstr>
  </property>
  <property fmtid="{D5CDD505-2E9C-101B-9397-08002B2CF9AE}" pid="692" name="hmcheck_result_d37096939cec48fb94b9f781be05f6db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693" name="hmcheck_result_d37096939cec48fb94b9f781be05f6db_level">
    <vt:i4>1</vt:i4>
  </property>
  <property fmtid="{D5CDD505-2E9C-101B-9397-08002B2CF9AE}" pid="694" name="hmcheck_result_d37096939cec48fb94b9f781be05f6db_type">
    <vt:i4>1</vt:i4>
  </property>
  <property fmtid="{D5CDD505-2E9C-101B-9397-08002B2CF9AE}" pid="695" name="hmcheck_result_d37096939cec48fb94b9f781be05f6db_modifiedtype">
    <vt:i4>0</vt:i4>
  </property>
  <property fmtid="{D5CDD505-2E9C-101B-9397-08002B2CF9AE}" pid="696" name="hmcheck_result_18c029206dcd41acb355c915c229c586_errorword">
    <vt:lpwstr>~</vt:lpwstr>
  </property>
  <property fmtid="{D5CDD505-2E9C-101B-9397-08002B2CF9AE}" pid="697" name="hmcheck_result_18c029206dcd41acb355c915c229c586_correctwords">
    <vt:lpwstr>["～"]</vt:lpwstr>
  </property>
  <property fmtid="{D5CDD505-2E9C-101B-9397-08002B2CF9AE}" pid="698" name="hmcheck_result_18c029206dcd41acb355c915c229c586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699" name="hmcheck_result_18c029206dcd41acb355c915c229c586_level">
    <vt:i4>1</vt:i4>
  </property>
  <property fmtid="{D5CDD505-2E9C-101B-9397-08002B2CF9AE}" pid="700" name="hmcheck_result_18c029206dcd41acb355c915c229c586_type">
    <vt:i4>1</vt:i4>
  </property>
  <property fmtid="{D5CDD505-2E9C-101B-9397-08002B2CF9AE}" pid="701" name="hmcheck_result_18c029206dcd41acb355c915c229c586_modifiedtype">
    <vt:i4>0</vt:i4>
  </property>
  <property fmtid="{D5CDD505-2E9C-101B-9397-08002B2CF9AE}" pid="702" name="hmcheck_result_1f7d6bc7b9d84ca18494e612e69dc7bc_errorword">
    <vt:lpwstr>：</vt:lpwstr>
  </property>
  <property fmtid="{D5CDD505-2E9C-101B-9397-08002B2CF9AE}" pid="703" name="hmcheck_result_1f7d6bc7b9d84ca18494e612e69dc7bc_correctwords">
    <vt:lpwstr>[":"]</vt:lpwstr>
  </property>
  <property fmtid="{D5CDD505-2E9C-101B-9397-08002B2CF9AE}" pid="704" name="hmcheck_result_1f7d6bc7b9d84ca18494e612e69dc7bc_errordescription">
    <vt:lpwstr>文本全半角错误</vt:lpwstr>
  </property>
  <property fmtid="{D5CDD505-2E9C-101B-9397-08002B2CF9AE}" pid="705" name="hmcheck_result_1f7d6bc7b9d84ca18494e612e69dc7bc_level">
    <vt:i4>1</vt:i4>
  </property>
  <property fmtid="{D5CDD505-2E9C-101B-9397-08002B2CF9AE}" pid="706" name="hmcheck_result_1f7d6bc7b9d84ca18494e612e69dc7bc_type">
    <vt:i4>1</vt:i4>
  </property>
  <property fmtid="{D5CDD505-2E9C-101B-9397-08002B2CF9AE}" pid="707" name="hmcheck_result_1f7d6bc7b9d84ca18494e612e69dc7bc_modifiedtype">
    <vt:i4>0</vt:i4>
  </property>
  <property fmtid="{D5CDD505-2E9C-101B-9397-08002B2CF9AE}" pid="708" name="hmcheck_result_e10ac17dca6248878096407163ddbd4a_errorword">
    <vt:lpwstr>：</vt:lpwstr>
  </property>
  <property fmtid="{D5CDD505-2E9C-101B-9397-08002B2CF9AE}" pid="709" name="hmcheck_result_e10ac17dca6248878096407163ddbd4a_correctwords">
    <vt:lpwstr>[":"]</vt:lpwstr>
  </property>
  <property fmtid="{D5CDD505-2E9C-101B-9397-08002B2CF9AE}" pid="710" name="hmcheck_result_e10ac17dca6248878096407163ddbd4a_errordescription">
    <vt:lpwstr>文本全半角错误</vt:lpwstr>
  </property>
  <property fmtid="{D5CDD505-2E9C-101B-9397-08002B2CF9AE}" pid="711" name="hmcheck_result_e10ac17dca6248878096407163ddbd4a_level">
    <vt:i4>1</vt:i4>
  </property>
  <property fmtid="{D5CDD505-2E9C-101B-9397-08002B2CF9AE}" pid="712" name="hmcheck_result_e10ac17dca6248878096407163ddbd4a_type">
    <vt:i4>1</vt:i4>
  </property>
  <property fmtid="{D5CDD505-2E9C-101B-9397-08002B2CF9AE}" pid="713" name="hmcheck_result_e10ac17dca6248878096407163ddbd4a_modifiedtype">
    <vt:i4>0</vt:i4>
  </property>
  <property fmtid="{D5CDD505-2E9C-101B-9397-08002B2CF9AE}" pid="714" name="hmcheck_result_27a4acc6e242450db2685d7b6f80de8b_errorword">
    <vt:lpwstr>线型</vt:lpwstr>
  </property>
  <property fmtid="{D5CDD505-2E9C-101B-9397-08002B2CF9AE}" pid="715" name="hmcheck_result_27a4acc6e242450db2685d7b6f80de8b_correctwords">
    <vt:lpwstr>["线形"]</vt:lpwstr>
  </property>
  <property fmtid="{D5CDD505-2E9C-101B-9397-08002B2CF9AE}" pid="716" name="hmcheck_result_27a4acc6e242450db2685d7b6f80de8b_level">
    <vt:i4>1</vt:i4>
  </property>
  <property fmtid="{D5CDD505-2E9C-101B-9397-08002B2CF9AE}" pid="717" name="hmcheck_result_27a4acc6e242450db2685d7b6f80de8b_type">
    <vt:i4>0</vt:i4>
  </property>
  <property fmtid="{D5CDD505-2E9C-101B-9397-08002B2CF9AE}" pid="718" name="hmcheck_result_27a4acc6e242450db2685d7b6f80de8b_modifiedtype">
    <vt:i4>0</vt:i4>
  </property>
  <property fmtid="{D5CDD505-2E9C-101B-9397-08002B2CF9AE}" pid="719" name="hmcheck_result_9f6f2766cfc74d8ca3a7389d62deb509_errorword">
    <vt:lpwstr>~</vt:lpwstr>
  </property>
  <property fmtid="{D5CDD505-2E9C-101B-9397-08002B2CF9AE}" pid="720" name="hmcheck_result_9f6f2766cfc74d8ca3a7389d62deb509_correctwords">
    <vt:lpwstr>["～"]</vt:lpwstr>
  </property>
  <property fmtid="{D5CDD505-2E9C-101B-9397-08002B2CF9AE}" pid="721" name="hmcheck_result_9f6f2766cfc74d8ca3a7389d62deb509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722" name="hmcheck_result_9f6f2766cfc74d8ca3a7389d62deb509_level">
    <vt:i4>1</vt:i4>
  </property>
  <property fmtid="{D5CDD505-2E9C-101B-9397-08002B2CF9AE}" pid="723" name="hmcheck_result_9f6f2766cfc74d8ca3a7389d62deb509_type">
    <vt:i4>1</vt:i4>
  </property>
  <property fmtid="{D5CDD505-2E9C-101B-9397-08002B2CF9AE}" pid="724" name="hmcheck_result_9f6f2766cfc74d8ca3a7389d62deb509_modifiedtype">
    <vt:i4>0</vt:i4>
  </property>
  <property fmtid="{D5CDD505-2E9C-101B-9397-08002B2CF9AE}" pid="725" name="hmcheck_result_5ae3b3e948224f97a5056b430b5faf39_errorword">
    <vt:lpwstr>lgVS</vt:lpwstr>
  </property>
  <property fmtid="{D5CDD505-2E9C-101B-9397-08002B2CF9AE}" pid="726" name="hmcheck_result_5ae3b3e948224f97a5056b430b5faf39_correctwords">
    <vt:lpwstr>["&lt;有错&gt;"]</vt:lpwstr>
  </property>
  <property fmtid="{D5CDD505-2E9C-101B-9397-08002B2CF9AE}" pid="727" name="hmcheck_result_5ae3b3e948224f97a5056b430b5faf39_level">
    <vt:i4>1</vt:i4>
  </property>
  <property fmtid="{D5CDD505-2E9C-101B-9397-08002B2CF9AE}" pid="728" name="hmcheck_result_5ae3b3e948224f97a5056b430b5faf39_type">
    <vt:i4>6</vt:i4>
  </property>
  <property fmtid="{D5CDD505-2E9C-101B-9397-08002B2CF9AE}" pid="729" name="hmcheck_result_5ae3b3e948224f97a5056b430b5faf39_modifiedtype">
    <vt:i4>0</vt:i4>
  </property>
  <property fmtid="{D5CDD505-2E9C-101B-9397-08002B2CF9AE}" pid="730" name="hmcheck_result_8b2c681088304d63ae757e14dda3a287_errorword">
    <vt:lpwstr>lgVM</vt:lpwstr>
  </property>
  <property fmtid="{D5CDD505-2E9C-101B-9397-08002B2CF9AE}" pid="731" name="hmcheck_result_8b2c681088304d63ae757e14dda3a287_correctwords">
    <vt:lpwstr>["&lt;有错&gt;"]</vt:lpwstr>
  </property>
  <property fmtid="{D5CDD505-2E9C-101B-9397-08002B2CF9AE}" pid="732" name="hmcheck_result_8b2c681088304d63ae757e14dda3a287_level">
    <vt:i4>1</vt:i4>
  </property>
  <property fmtid="{D5CDD505-2E9C-101B-9397-08002B2CF9AE}" pid="733" name="hmcheck_result_8b2c681088304d63ae757e14dda3a287_type">
    <vt:i4>6</vt:i4>
  </property>
  <property fmtid="{D5CDD505-2E9C-101B-9397-08002B2CF9AE}" pid="734" name="hmcheck_result_8b2c681088304d63ae757e14dda3a287_modifiedtype">
    <vt:i4>0</vt:i4>
  </property>
  <property fmtid="{D5CDD505-2E9C-101B-9397-08002B2CF9AE}" pid="735" name="hmcheck_result_c330c993a9c0448590e3611edfe157b8_errorword">
    <vt:lpwstr>lgVL</vt:lpwstr>
  </property>
  <property fmtid="{D5CDD505-2E9C-101B-9397-08002B2CF9AE}" pid="736" name="hmcheck_result_c330c993a9c0448590e3611edfe157b8_correctwords">
    <vt:lpwstr>["&lt;有错&gt;"]</vt:lpwstr>
  </property>
  <property fmtid="{D5CDD505-2E9C-101B-9397-08002B2CF9AE}" pid="737" name="hmcheck_result_c330c993a9c0448590e3611edfe157b8_level">
    <vt:i4>1</vt:i4>
  </property>
  <property fmtid="{D5CDD505-2E9C-101B-9397-08002B2CF9AE}" pid="738" name="hmcheck_result_c330c993a9c0448590e3611edfe157b8_type">
    <vt:i4>6</vt:i4>
  </property>
  <property fmtid="{D5CDD505-2E9C-101B-9397-08002B2CF9AE}" pid="739" name="hmcheck_result_c330c993a9c0448590e3611edfe157b8_modifiedtype">
    <vt:i4>0</vt:i4>
  </property>
  <property fmtid="{D5CDD505-2E9C-101B-9397-08002B2CF9AE}" pid="740" name="hmcheck_result_1b8953d820934e188a6a6a6a035c2d18_errorword">
    <vt:lpwstr>噪声源强</vt:lpwstr>
  </property>
  <property fmtid="{D5CDD505-2E9C-101B-9397-08002B2CF9AE}" pid="741" name="hmcheck_result_1b8953d820934e188a6a6a6a035c2d18_correctwords">
    <vt:lpwstr>["噪声源"]</vt:lpwstr>
  </property>
  <property fmtid="{D5CDD505-2E9C-101B-9397-08002B2CF9AE}" pid="742" name="hmcheck_result_1b8953d820934e188a6a6a6a035c2d18_level">
    <vt:i4>1</vt:i4>
  </property>
  <property fmtid="{D5CDD505-2E9C-101B-9397-08002B2CF9AE}" pid="743" name="hmcheck_result_1b8953d820934e188a6a6a6a035c2d18_type">
    <vt:i4>0</vt:i4>
  </property>
  <property fmtid="{D5CDD505-2E9C-101B-9397-08002B2CF9AE}" pid="744" name="hmcheck_result_1b8953d820934e188a6a6a6a035c2d18_modifiedtype">
    <vt:i4>0</vt:i4>
  </property>
  <property fmtid="{D5CDD505-2E9C-101B-9397-08002B2CF9AE}" pid="745" name="hmcheck_result_b58523d396b843e49d029ad32a1c7537_errorword">
    <vt:lpwstr>、以及</vt:lpwstr>
  </property>
  <property fmtid="{D5CDD505-2E9C-101B-9397-08002B2CF9AE}" pid="746" name="hmcheck_result_b58523d396b843e49d029ad32a1c7537_correctwords">
    <vt:lpwstr>["，以及"]</vt:lpwstr>
  </property>
  <property fmtid="{D5CDD505-2E9C-101B-9397-08002B2CF9AE}" pid="747" name="hmcheck_result_b58523d396b843e49d029ad32a1c7537_level">
    <vt:i4>1</vt:i4>
  </property>
  <property fmtid="{D5CDD505-2E9C-101B-9397-08002B2CF9AE}" pid="748" name="hmcheck_result_b58523d396b843e49d029ad32a1c7537_type">
    <vt:i4>0</vt:i4>
  </property>
  <property fmtid="{D5CDD505-2E9C-101B-9397-08002B2CF9AE}" pid="749" name="hmcheck_result_b58523d396b843e49d029ad32a1c7537_modifiedtype">
    <vt:i4>0</vt:i4>
  </property>
  <property fmtid="{D5CDD505-2E9C-101B-9397-08002B2CF9AE}" pid="750" name="hmcheck_result_43d8d21eee3b4c1d828d1caa5b63b74a_errorword">
    <vt:lpwstr>拌合站</vt:lpwstr>
  </property>
  <property fmtid="{D5CDD505-2E9C-101B-9397-08002B2CF9AE}" pid="751" name="hmcheck_result_43d8d21eee3b4c1d828d1caa5b63b74a_correctwords">
    <vt:lpwstr>["拌和站"]</vt:lpwstr>
  </property>
  <property fmtid="{D5CDD505-2E9C-101B-9397-08002B2CF9AE}" pid="752" name="hmcheck_result_43d8d21eee3b4c1d828d1caa5b63b74a_level">
    <vt:i4>1</vt:i4>
  </property>
  <property fmtid="{D5CDD505-2E9C-101B-9397-08002B2CF9AE}" pid="753" name="hmcheck_result_43d8d21eee3b4c1d828d1caa5b63b74a_type">
    <vt:i4>5</vt:i4>
  </property>
  <property fmtid="{D5CDD505-2E9C-101B-9397-08002B2CF9AE}" pid="754" name="hmcheck_result_43d8d21eee3b4c1d828d1caa5b63b74a_modifiedtype">
    <vt:i4>0</vt:i4>
  </property>
  <property fmtid="{D5CDD505-2E9C-101B-9397-08002B2CF9AE}" pid="755" name="hmcheck_result_584f9f06c0d548878e12e868f068382f_errorword">
    <vt:lpwstr>占地</vt:lpwstr>
  </property>
  <property fmtid="{D5CDD505-2E9C-101B-9397-08002B2CF9AE}" pid="756" name="hmcheck_result_584f9f06c0d548878e12e868f068382f_correctwords">
    <vt:lpwstr>["场地"]</vt:lpwstr>
  </property>
  <property fmtid="{D5CDD505-2E9C-101B-9397-08002B2CF9AE}" pid="757" name="hmcheck_result_584f9f06c0d548878e12e868f068382f_level">
    <vt:i4>1</vt:i4>
  </property>
  <property fmtid="{D5CDD505-2E9C-101B-9397-08002B2CF9AE}" pid="758" name="hmcheck_result_584f9f06c0d548878e12e868f068382f_type">
    <vt:i4>0</vt:i4>
  </property>
  <property fmtid="{D5CDD505-2E9C-101B-9397-08002B2CF9AE}" pid="759" name="hmcheck_result_584f9f06c0d548878e12e868f068382f_modifiedtype">
    <vt:i4>0</vt:i4>
  </property>
  <property fmtid="{D5CDD505-2E9C-101B-9397-08002B2CF9AE}" pid="760" name="hmcheck_result_5b9404fcbaa044d0ad681f1c233d2b1b_errorword">
    <vt:lpwstr>拌和</vt:lpwstr>
  </property>
  <property fmtid="{D5CDD505-2E9C-101B-9397-08002B2CF9AE}" pid="761" name="hmcheck_result_5b9404fcbaa044d0ad681f1c233d2b1b_correctwords">
    <vt:lpwstr>["拌合"]</vt:lpwstr>
  </property>
  <property fmtid="{D5CDD505-2E9C-101B-9397-08002B2CF9AE}" pid="762" name="hmcheck_result_5b9404fcbaa044d0ad681f1c233d2b1b_level">
    <vt:i4>1</vt:i4>
  </property>
  <property fmtid="{D5CDD505-2E9C-101B-9397-08002B2CF9AE}" pid="763" name="hmcheck_result_5b9404fcbaa044d0ad681f1c233d2b1b_type">
    <vt:i4>0</vt:i4>
  </property>
  <property fmtid="{D5CDD505-2E9C-101B-9397-08002B2CF9AE}" pid="764" name="hmcheck_result_5b9404fcbaa044d0ad681f1c233d2b1b_modifiedtype">
    <vt:i4>0</vt:i4>
  </property>
  <property fmtid="{D5CDD505-2E9C-101B-9397-08002B2CF9AE}" pid="765" name="hmcheck_result_cd81c5a34dae4f7fba8bb4bbf1c61b46_errorword">
    <vt:lpwstr>恢复至</vt:lpwstr>
  </property>
  <property fmtid="{D5CDD505-2E9C-101B-9397-08002B2CF9AE}" pid="766" name="hmcheck_result_cd81c5a34dae4f7fba8bb4bbf1c61b46_correctwords">
    <vt:lpwstr>["恢复"]</vt:lpwstr>
  </property>
  <property fmtid="{D5CDD505-2E9C-101B-9397-08002B2CF9AE}" pid="767" name="hmcheck_result_cd81c5a34dae4f7fba8bb4bbf1c61b46_level">
    <vt:i4>1</vt:i4>
  </property>
  <property fmtid="{D5CDD505-2E9C-101B-9397-08002B2CF9AE}" pid="768" name="hmcheck_result_cd81c5a34dae4f7fba8bb4bbf1c61b46_type">
    <vt:i4>0</vt:i4>
  </property>
  <property fmtid="{D5CDD505-2E9C-101B-9397-08002B2CF9AE}" pid="769" name="hmcheck_result_cd81c5a34dae4f7fba8bb4bbf1c61b46_modifiedtype">
    <vt:i4>0</vt:i4>
  </property>
  <property fmtid="{D5CDD505-2E9C-101B-9397-08002B2CF9AE}" pid="770" name="hmcheck_result_cf0c5034a8814f3e98d51501d923ae01_errorword">
    <vt:lpwstr>恢复至</vt:lpwstr>
  </property>
  <property fmtid="{D5CDD505-2E9C-101B-9397-08002B2CF9AE}" pid="771" name="hmcheck_result_cf0c5034a8814f3e98d51501d923ae01_correctwords">
    <vt:lpwstr>["恢复"]</vt:lpwstr>
  </property>
  <property fmtid="{D5CDD505-2E9C-101B-9397-08002B2CF9AE}" pid="772" name="hmcheck_result_cf0c5034a8814f3e98d51501d923ae01_level">
    <vt:i4>1</vt:i4>
  </property>
  <property fmtid="{D5CDD505-2E9C-101B-9397-08002B2CF9AE}" pid="773" name="hmcheck_result_cf0c5034a8814f3e98d51501d923ae01_type">
    <vt:i4>0</vt:i4>
  </property>
  <property fmtid="{D5CDD505-2E9C-101B-9397-08002B2CF9AE}" pid="774" name="hmcheck_result_cf0c5034a8814f3e98d51501d923ae01_modifiedtype">
    <vt:i4>0</vt:i4>
  </property>
  <property fmtid="{D5CDD505-2E9C-101B-9397-08002B2CF9AE}" pid="775" name="hmcheck_result_92f38639186349a0b93a142ca1ff689b_errorword">
    <vt:lpwstr>国家林业局</vt:lpwstr>
  </property>
  <property fmtid="{D5CDD505-2E9C-101B-9397-08002B2CF9AE}" pid="776" name="hmcheck_result_92f38639186349a0b93a142ca1ff689b_correctwords">
    <vt:lpwstr>["国家林业和草原局"]</vt:lpwstr>
  </property>
  <property fmtid="{D5CDD505-2E9C-101B-9397-08002B2CF9AE}" pid="777" name="hmcheck_result_92f38639186349a0b93a142ca1ff689b_errordescription">
    <vt:lpwstr>误用该机关单位的曾用名</vt:lpwstr>
  </property>
  <property fmtid="{D5CDD505-2E9C-101B-9397-08002B2CF9AE}" pid="778" name="hmcheck_result_92f38639186349a0b93a142ca1ff689b_level">
    <vt:i4>1</vt:i4>
  </property>
  <property fmtid="{D5CDD505-2E9C-101B-9397-08002B2CF9AE}" pid="779" name="hmcheck_result_92f38639186349a0b93a142ca1ff689b_type">
    <vt:i4>9</vt:i4>
  </property>
  <property fmtid="{D5CDD505-2E9C-101B-9397-08002B2CF9AE}" pid="780" name="hmcheck_result_92f38639186349a0b93a142ca1ff689b_modifiedtype">
    <vt:i4>2</vt:i4>
  </property>
  <property fmtid="{D5CDD505-2E9C-101B-9397-08002B2CF9AE}" pid="781" name="hmcheck_result_79a9a2e650c6417090928ed72e74e7b3_errorword">
    <vt:lpwstr>国家林业局</vt:lpwstr>
  </property>
  <property fmtid="{D5CDD505-2E9C-101B-9397-08002B2CF9AE}" pid="782" name="hmcheck_result_79a9a2e650c6417090928ed72e74e7b3_correctwords">
    <vt:lpwstr>["国家林业和草原局"]</vt:lpwstr>
  </property>
  <property fmtid="{D5CDD505-2E9C-101B-9397-08002B2CF9AE}" pid="783" name="hmcheck_result_79a9a2e650c6417090928ed72e74e7b3_errordescription">
    <vt:lpwstr>误用该机关单位的曾用名</vt:lpwstr>
  </property>
  <property fmtid="{D5CDD505-2E9C-101B-9397-08002B2CF9AE}" pid="784" name="hmcheck_result_79a9a2e650c6417090928ed72e74e7b3_level">
    <vt:i4>1</vt:i4>
  </property>
  <property fmtid="{D5CDD505-2E9C-101B-9397-08002B2CF9AE}" pid="785" name="hmcheck_result_79a9a2e650c6417090928ed72e74e7b3_type">
    <vt:i4>9</vt:i4>
  </property>
  <property fmtid="{D5CDD505-2E9C-101B-9397-08002B2CF9AE}" pid="786" name="hmcheck_result_79a9a2e650c6417090928ed72e74e7b3_modifiedtype">
    <vt:i4>2</vt:i4>
  </property>
  <property fmtid="{D5CDD505-2E9C-101B-9397-08002B2CF9AE}" pid="787" name="hmcheck_result_a9efbf86c3b94b04b2251f2fb50649fb_errorword">
    <vt:lpwstr>（2024）</vt:lpwstr>
  </property>
  <property fmtid="{D5CDD505-2E9C-101B-9397-08002B2CF9AE}" pid="788" name="hmcheck_result_a9efbf86c3b94b04b2251f2fb50649fb_correctwords">
    <vt:lpwstr>["〔2024〕"]</vt:lpwstr>
  </property>
  <property fmtid="{D5CDD505-2E9C-101B-9397-08002B2CF9AE}" pid="789" name="hmcheck_result_a9efbf86c3b94b04b2251f2fb50649fb_level">
    <vt:i4>1</vt:i4>
  </property>
  <property fmtid="{D5CDD505-2E9C-101B-9397-08002B2CF9AE}" pid="790" name="hmcheck_result_a9efbf86c3b94b04b2251f2fb50649fb_type">
    <vt:i4>0</vt:i4>
  </property>
  <property fmtid="{D5CDD505-2E9C-101B-9397-08002B2CF9AE}" pid="791" name="hmcheck_result_a9efbf86c3b94b04b2251f2fb50649fb_modifiedtype">
    <vt:i4>0</vt:i4>
  </property>
  <property fmtid="{D5CDD505-2E9C-101B-9397-08002B2CF9AE}" pid="792" name="hmcheck_result_f398e5c028e7413d88a643ca09e969b7_errorword">
    <vt:lpwstr>生态生态</vt:lpwstr>
  </property>
  <property fmtid="{D5CDD505-2E9C-101B-9397-08002B2CF9AE}" pid="793" name="hmcheck_result_f398e5c028e7413d88a643ca09e969b7_correctwords">
    <vt:lpwstr>["生态"]</vt:lpwstr>
  </property>
  <property fmtid="{D5CDD505-2E9C-101B-9397-08002B2CF9AE}" pid="794" name="hmcheck_result_f398e5c028e7413d88a643ca09e969b7_level">
    <vt:i4>1</vt:i4>
  </property>
  <property fmtid="{D5CDD505-2E9C-101B-9397-08002B2CF9AE}" pid="795" name="hmcheck_result_f398e5c028e7413d88a643ca09e969b7_type">
    <vt:i4>0</vt:i4>
  </property>
  <property fmtid="{D5CDD505-2E9C-101B-9397-08002B2CF9AE}" pid="796" name="hmcheck_result_f398e5c028e7413d88a643ca09e969b7_modifiedtype">
    <vt:i4>2</vt:i4>
  </property>
  <property fmtid="{D5CDD505-2E9C-101B-9397-08002B2CF9AE}" pid="797" name="hmcheck_result_107f74e625674b21a4f706b70660f59a_errorword">
    <vt:lpwstr>生态生态</vt:lpwstr>
  </property>
  <property fmtid="{D5CDD505-2E9C-101B-9397-08002B2CF9AE}" pid="798" name="hmcheck_result_107f74e625674b21a4f706b70660f59a_correctwords">
    <vt:lpwstr>["生态"]</vt:lpwstr>
  </property>
  <property fmtid="{D5CDD505-2E9C-101B-9397-08002B2CF9AE}" pid="799" name="hmcheck_result_107f74e625674b21a4f706b70660f59a_level">
    <vt:i4>1</vt:i4>
  </property>
  <property fmtid="{D5CDD505-2E9C-101B-9397-08002B2CF9AE}" pid="800" name="hmcheck_result_107f74e625674b21a4f706b70660f59a_type">
    <vt:i4>0</vt:i4>
  </property>
  <property fmtid="{D5CDD505-2E9C-101B-9397-08002B2CF9AE}" pid="801" name="hmcheck_result_107f74e625674b21a4f706b70660f59a_modifiedtype">
    <vt:i4>2</vt:i4>
  </property>
  <property fmtid="{D5CDD505-2E9C-101B-9397-08002B2CF9AE}" pid="802" name="hmcheck_result_36e466ed115546679211fa0000a83671_errorword">
    <vt:lpwstr>自源</vt:lpwstr>
  </property>
  <property fmtid="{D5CDD505-2E9C-101B-9397-08002B2CF9AE}" pid="803" name="hmcheck_result_36e466ed115546679211fa0000a83671_correctwords">
    <vt:lpwstr>["资源"]</vt:lpwstr>
  </property>
  <property fmtid="{D5CDD505-2E9C-101B-9397-08002B2CF9AE}" pid="804" name="hmcheck_result_36e466ed115546679211fa0000a83671_errordescription">
    <vt:lpwstr>〈名〉生产资料或生活资料的天然来源：地下～｜水力～｜旅游～。</vt:lpwstr>
  </property>
  <property fmtid="{D5CDD505-2E9C-101B-9397-08002B2CF9AE}" pid="805" name="hmcheck_result_36e466ed115546679211fa0000a83671_level">
    <vt:i4>1</vt:i4>
  </property>
  <property fmtid="{D5CDD505-2E9C-101B-9397-08002B2CF9AE}" pid="806" name="hmcheck_result_36e466ed115546679211fa0000a83671_type">
    <vt:i4>0</vt:i4>
  </property>
  <property fmtid="{D5CDD505-2E9C-101B-9397-08002B2CF9AE}" pid="807" name="hmcheck_result_36e466ed115546679211fa0000a83671_modifiedtype">
    <vt:i4>2</vt:i4>
  </property>
  <property fmtid="{D5CDD505-2E9C-101B-9397-08002B2CF9AE}" pid="808" name="hmcheck_result_ed9fc57ebc854dee9d7471118b584c3c_errorword">
    <vt:lpwstr>三区三线</vt:lpwstr>
  </property>
  <property fmtid="{D5CDD505-2E9C-101B-9397-08002B2CF9AE}" pid="809" name="hmcheck_result_ed9fc57ebc854dee9d7471118b584c3c_correctwords">
    <vt:lpwstr>["“三区三线”"]</vt:lpwstr>
  </property>
  <property fmtid="{D5CDD505-2E9C-101B-9397-08002B2CF9AE}" pid="810" name="hmcheck_result_ed9fc57ebc854dee9d7471118b584c3c_errordescription">
    <vt:lpwstr>注意检查当前固定表述标点是否使用规范。</vt:lpwstr>
  </property>
  <property fmtid="{D5CDD505-2E9C-101B-9397-08002B2CF9AE}" pid="811" name="hmcheck_result_ed9fc57ebc854dee9d7471118b584c3c_level">
    <vt:i4>1</vt:i4>
  </property>
  <property fmtid="{D5CDD505-2E9C-101B-9397-08002B2CF9AE}" pid="812" name="hmcheck_result_ed9fc57ebc854dee9d7471118b584c3c_type">
    <vt:i4>11</vt:i4>
  </property>
  <property fmtid="{D5CDD505-2E9C-101B-9397-08002B2CF9AE}" pid="813" name="hmcheck_result_ed9fc57ebc854dee9d7471118b584c3c_modifiedtype">
    <vt:i4>0</vt:i4>
  </property>
  <property fmtid="{D5CDD505-2E9C-101B-9397-08002B2CF9AE}" pid="814" name="hmcheck_result_40fcddd0bf5b4926b90546b92f642e28_errorword">
    <vt:lpwstr>-</vt:lpwstr>
  </property>
  <property fmtid="{D5CDD505-2E9C-101B-9397-08002B2CF9AE}" pid="815" name="hmcheck_result_40fcddd0bf5b4926b90546b92f642e28_correctwords">
    <vt:lpwstr>["－"]</vt:lpwstr>
  </property>
  <property fmtid="{D5CDD505-2E9C-101B-9397-08002B2CF9AE}" pid="816" name="hmcheck_result_40fcddd0bf5b4926b90546b92f642e28_level">
    <vt:i4>1</vt:i4>
  </property>
  <property fmtid="{D5CDD505-2E9C-101B-9397-08002B2CF9AE}" pid="817" name="hmcheck_result_40fcddd0bf5b4926b90546b92f642e28_type">
    <vt:i4>1</vt:i4>
  </property>
  <property fmtid="{D5CDD505-2E9C-101B-9397-08002B2CF9AE}" pid="818" name="hmcheck_result_40fcddd0bf5b4926b90546b92f642e28_modifiedtype">
    <vt:i4>0</vt:i4>
  </property>
  <property fmtid="{D5CDD505-2E9C-101B-9397-08002B2CF9AE}" pid="819" name="hmcheck_result_5e8fc14a69214e68be54bd8d304590cf_errorword">
    <vt:lpwstr>三区三线</vt:lpwstr>
  </property>
  <property fmtid="{D5CDD505-2E9C-101B-9397-08002B2CF9AE}" pid="820" name="hmcheck_result_5e8fc14a69214e68be54bd8d304590cf_correctwords">
    <vt:lpwstr>["“三区三线”"]</vt:lpwstr>
  </property>
  <property fmtid="{D5CDD505-2E9C-101B-9397-08002B2CF9AE}" pid="821" name="hmcheck_result_5e8fc14a69214e68be54bd8d304590cf_errordescription">
    <vt:lpwstr>注意检查当前固定表述标点是否使用规范。</vt:lpwstr>
  </property>
  <property fmtid="{D5CDD505-2E9C-101B-9397-08002B2CF9AE}" pid="822" name="hmcheck_result_5e8fc14a69214e68be54bd8d304590cf_level">
    <vt:i4>1</vt:i4>
  </property>
  <property fmtid="{D5CDD505-2E9C-101B-9397-08002B2CF9AE}" pid="823" name="hmcheck_result_5e8fc14a69214e68be54bd8d304590cf_type">
    <vt:i4>11</vt:i4>
  </property>
  <property fmtid="{D5CDD505-2E9C-101B-9397-08002B2CF9AE}" pid="824" name="hmcheck_result_5e8fc14a69214e68be54bd8d304590cf_modifiedtype">
    <vt:i4>0</vt:i4>
  </property>
  <property fmtid="{D5CDD505-2E9C-101B-9397-08002B2CF9AE}" pid="825" name="hmcheck_result_9e0d9eeb6dd241119fa71c7f8f414cbb_errorword">
    <vt:lpwstr>海拔高度</vt:lpwstr>
  </property>
  <property fmtid="{D5CDD505-2E9C-101B-9397-08002B2CF9AE}" pid="826" name="hmcheck_result_9e0d9eeb6dd241119fa71c7f8f414cbb_correctwords">
    <vt:lpwstr>["海拔"]</vt:lpwstr>
  </property>
  <property fmtid="{D5CDD505-2E9C-101B-9397-08002B2CF9AE}" pid="827" name="hmcheck_result_9e0d9eeb6dd241119fa71c7f8f414cbb_errordescription">
    <vt:lpwstr>〈名〉从平均海平面起算的高度。</vt:lpwstr>
  </property>
  <property fmtid="{D5CDD505-2E9C-101B-9397-08002B2CF9AE}" pid="828" name="hmcheck_result_9e0d9eeb6dd241119fa71c7f8f414cbb_level">
    <vt:i4>1</vt:i4>
  </property>
  <property fmtid="{D5CDD505-2E9C-101B-9397-08002B2CF9AE}" pid="829" name="hmcheck_result_9e0d9eeb6dd241119fa71c7f8f414cbb_type">
    <vt:i4>0</vt:i4>
  </property>
  <property fmtid="{D5CDD505-2E9C-101B-9397-08002B2CF9AE}" pid="830" name="hmcheck_result_9e0d9eeb6dd241119fa71c7f8f414cbb_modifiedtype">
    <vt:i4>0</vt:i4>
  </property>
  <property fmtid="{D5CDD505-2E9C-101B-9397-08002B2CF9AE}" pid="831" name="hmcheck_result_35be49fb45d34e1ba1f22d10972ac883_errorword">
    <vt:lpwstr>海拔高度</vt:lpwstr>
  </property>
  <property fmtid="{D5CDD505-2E9C-101B-9397-08002B2CF9AE}" pid="832" name="hmcheck_result_35be49fb45d34e1ba1f22d10972ac883_correctwords">
    <vt:lpwstr>["海拔"]</vt:lpwstr>
  </property>
  <property fmtid="{D5CDD505-2E9C-101B-9397-08002B2CF9AE}" pid="833" name="hmcheck_result_35be49fb45d34e1ba1f22d10972ac883_errordescription">
    <vt:lpwstr>〈名〉从平均海平面起算的高度。</vt:lpwstr>
  </property>
  <property fmtid="{D5CDD505-2E9C-101B-9397-08002B2CF9AE}" pid="834" name="hmcheck_result_35be49fb45d34e1ba1f22d10972ac883_level">
    <vt:i4>1</vt:i4>
  </property>
  <property fmtid="{D5CDD505-2E9C-101B-9397-08002B2CF9AE}" pid="835" name="hmcheck_result_35be49fb45d34e1ba1f22d10972ac883_type">
    <vt:i4>0</vt:i4>
  </property>
  <property fmtid="{D5CDD505-2E9C-101B-9397-08002B2CF9AE}" pid="836" name="hmcheck_result_35be49fb45d34e1ba1f22d10972ac883_modifiedtype">
    <vt:i4>0</vt:i4>
  </property>
  <property fmtid="{D5CDD505-2E9C-101B-9397-08002B2CF9AE}" pid="837" name="hmcheck_result_4d8aa43f0e8c4029975763cd3a0a90cc_errorword">
    <vt:lpwstr>粘性</vt:lpwstr>
  </property>
  <property fmtid="{D5CDD505-2E9C-101B-9397-08002B2CF9AE}" pid="838" name="hmcheck_result_4d8aa43f0e8c4029975763cd3a0a90cc_correctwords">
    <vt:lpwstr>["黏性"]</vt:lpwstr>
  </property>
  <property fmtid="{D5CDD505-2E9C-101B-9397-08002B2CF9AE}" pid="839" name="hmcheck_result_4d8aa43f0e8c4029975763cd3a0a90cc_level">
    <vt:i4>1</vt:i4>
  </property>
  <property fmtid="{D5CDD505-2E9C-101B-9397-08002B2CF9AE}" pid="840" name="hmcheck_result_4d8aa43f0e8c4029975763cd3a0a90cc_type">
    <vt:i4>0</vt:i4>
  </property>
  <property fmtid="{D5CDD505-2E9C-101B-9397-08002B2CF9AE}" pid="841" name="hmcheck_result_4d8aa43f0e8c4029975763cd3a0a90cc_modifiedtype">
    <vt:i4>0</vt:i4>
  </property>
  <property fmtid="{D5CDD505-2E9C-101B-9397-08002B2CF9AE}" pid="842" name="hmcheck_result_3911ceef2c5448a0acca6e72117f3ae2_errorword">
    <vt:lpwstr>Qel</vt:lpwstr>
  </property>
  <property fmtid="{D5CDD505-2E9C-101B-9397-08002B2CF9AE}" pid="843" name="hmcheck_result_3911ceef2c5448a0acca6e72117f3ae2_correctwords">
    <vt:lpwstr>["qsl","qei","el"]</vt:lpwstr>
  </property>
  <property fmtid="{D5CDD505-2E9C-101B-9397-08002B2CF9AE}" pid="844" name="hmcheck_result_3911ceef2c5448a0acca6e72117f3ae2_level">
    <vt:i4>1</vt:i4>
  </property>
  <property fmtid="{D5CDD505-2E9C-101B-9397-08002B2CF9AE}" pid="845" name="hmcheck_result_3911ceef2c5448a0acca6e72117f3ae2_type">
    <vt:i4>6</vt:i4>
  </property>
  <property fmtid="{D5CDD505-2E9C-101B-9397-08002B2CF9AE}" pid="846" name="hmcheck_result_3911ceef2c5448a0acca6e72117f3ae2_modifiedtype">
    <vt:i4>0</vt:i4>
  </property>
  <property fmtid="{D5CDD505-2E9C-101B-9397-08002B2CF9AE}" pid="847" name="hmcheck_result_f12dc15f35394bb6b92089b50adc83f3_errorword">
    <vt:lpwstr>山山东</vt:lpwstr>
  </property>
  <property fmtid="{D5CDD505-2E9C-101B-9397-08002B2CF9AE}" pid="848" name="hmcheck_result_f12dc15f35394bb6b92089b50adc83f3_correctwords">
    <vt:lpwstr>["山东"]</vt:lpwstr>
  </property>
  <property fmtid="{D5CDD505-2E9C-101B-9397-08002B2CF9AE}" pid="849" name="hmcheck_result_f12dc15f35394bb6b92089b50adc83f3_level">
    <vt:i4>3</vt:i4>
  </property>
  <property fmtid="{D5CDD505-2E9C-101B-9397-08002B2CF9AE}" pid="850" name="hmcheck_result_f12dc15f35394bb6b92089b50adc83f3_type">
    <vt:i4>9</vt:i4>
  </property>
  <property fmtid="{D5CDD505-2E9C-101B-9397-08002B2CF9AE}" pid="851" name="hmcheck_result_f12dc15f35394bb6b92089b50adc83f3_modifiedtype">
    <vt:i4>0</vt:i4>
  </property>
  <property fmtid="{D5CDD505-2E9C-101B-9397-08002B2CF9AE}" pid="852" name="hmcheck_result_3e02ad68ca934266b0121408678551db_errorword">
    <vt:lpwstr>迳入</vt:lpwstr>
  </property>
  <property fmtid="{D5CDD505-2E9C-101B-9397-08002B2CF9AE}" pid="853" name="hmcheck_result_3e02ad68ca934266b0121408678551db_correctwords">
    <vt:lpwstr>["径入"]</vt:lpwstr>
  </property>
  <property fmtid="{D5CDD505-2E9C-101B-9397-08002B2CF9AE}" pid="854" name="hmcheck_result_3e02ad68ca934266b0121408678551db_errordescription">
    <vt:lpwstr>繁体字/异形词错误</vt:lpwstr>
  </property>
  <property fmtid="{D5CDD505-2E9C-101B-9397-08002B2CF9AE}" pid="855" name="hmcheck_result_3e02ad68ca934266b0121408678551db_level">
    <vt:i4>1</vt:i4>
  </property>
  <property fmtid="{D5CDD505-2E9C-101B-9397-08002B2CF9AE}" pid="856" name="hmcheck_result_3e02ad68ca934266b0121408678551db_type">
    <vt:i4>0</vt:i4>
  </property>
  <property fmtid="{D5CDD505-2E9C-101B-9397-08002B2CF9AE}" pid="857" name="hmcheck_result_3e02ad68ca934266b0121408678551db_modifiedtype">
    <vt:i4>0</vt:i4>
  </property>
  <property fmtid="{D5CDD505-2E9C-101B-9397-08002B2CF9AE}" pid="858" name="hmcheck_result_9b4cfd6623b44390a5bfd0dd1f166f9c_errorword">
    <vt:lpwstr>其它</vt:lpwstr>
  </property>
  <property fmtid="{D5CDD505-2E9C-101B-9397-08002B2CF9AE}" pid="859" name="hmcheck_result_9b4cfd6623b44390a5bfd0dd1f166f9c_correctwords">
    <vt:lpwstr>["其他"]</vt:lpwstr>
  </property>
  <property fmtid="{D5CDD505-2E9C-101B-9397-08002B2CF9AE}" pid="860" name="hmcheck_result_9b4cfd6623b44390a5bfd0dd1f166f9c_level">
    <vt:i4>1</vt:i4>
  </property>
  <property fmtid="{D5CDD505-2E9C-101B-9397-08002B2CF9AE}" pid="861" name="hmcheck_result_9b4cfd6623b44390a5bfd0dd1f166f9c_type">
    <vt:i4>5</vt:i4>
  </property>
  <property fmtid="{D5CDD505-2E9C-101B-9397-08002B2CF9AE}" pid="862" name="hmcheck_result_9b4cfd6623b44390a5bfd0dd1f166f9c_modifiedtype">
    <vt:i4>0</vt:i4>
  </property>
  <property fmtid="{D5CDD505-2E9C-101B-9397-08002B2CF9AE}" pid="863" name="hmcheck_result_f68771eddfde4f578aaff30cba9a873a_errorword">
    <vt:lpwstr>年平均降水量</vt:lpwstr>
  </property>
  <property fmtid="{D5CDD505-2E9C-101B-9397-08002B2CF9AE}" pid="864" name="hmcheck_result_f68771eddfde4f578aaff30cba9a873a_correctwords">
    <vt:lpwstr>["平均年降水量"]</vt:lpwstr>
  </property>
  <property fmtid="{D5CDD505-2E9C-101B-9397-08002B2CF9AE}" pid="865" name="hmcheck_result_f68771eddfde4f578aaff30cba9a873a_level">
    <vt:i4>1</vt:i4>
  </property>
  <property fmtid="{D5CDD505-2E9C-101B-9397-08002B2CF9AE}" pid="866" name="hmcheck_result_f68771eddfde4f578aaff30cba9a873a_type">
    <vt:i4>5</vt:i4>
  </property>
  <property fmtid="{D5CDD505-2E9C-101B-9397-08002B2CF9AE}" pid="867" name="hmcheck_result_f68771eddfde4f578aaff30cba9a873a_modifiedtype">
    <vt:i4>0</vt:i4>
  </property>
  <property fmtid="{D5CDD505-2E9C-101B-9397-08002B2CF9AE}" pid="868" name="hmcheck_result_d2136f404bd44b18b12b5386ec7b0afe_errorword">
    <vt:lpwstr>~</vt:lpwstr>
  </property>
  <property fmtid="{D5CDD505-2E9C-101B-9397-08002B2CF9AE}" pid="869" name="hmcheck_result_d2136f404bd44b18b12b5386ec7b0afe_correctwords">
    <vt:lpwstr>["—"]</vt:lpwstr>
  </property>
  <property fmtid="{D5CDD505-2E9C-101B-9397-08002B2CF9AE}" pid="870" name="hmcheck_result_d2136f404bd44b18b12b5386ec7b0afe_errordescription">
    <vt:lpwstr>时间连接号使用不恰当</vt:lpwstr>
  </property>
  <property fmtid="{D5CDD505-2E9C-101B-9397-08002B2CF9AE}" pid="871" name="hmcheck_result_d2136f404bd44b18b12b5386ec7b0afe_level">
    <vt:i4>1</vt:i4>
  </property>
  <property fmtid="{D5CDD505-2E9C-101B-9397-08002B2CF9AE}" pid="872" name="hmcheck_result_d2136f404bd44b18b12b5386ec7b0afe_type">
    <vt:i4>1</vt:i4>
  </property>
  <property fmtid="{D5CDD505-2E9C-101B-9397-08002B2CF9AE}" pid="873" name="hmcheck_result_d2136f404bd44b18b12b5386ec7b0afe_modifiedtype">
    <vt:i4>0</vt:i4>
  </property>
  <property fmtid="{D5CDD505-2E9C-101B-9397-08002B2CF9AE}" pid="874" name="hmcheck_result_70ae10d3e2cc40cab67aa805ba4f6118_errorword">
    <vt:lpwstr>~</vt:lpwstr>
  </property>
  <property fmtid="{D5CDD505-2E9C-101B-9397-08002B2CF9AE}" pid="875" name="hmcheck_result_70ae10d3e2cc40cab67aa805ba4f6118_correctwords">
    <vt:lpwstr>["—"]</vt:lpwstr>
  </property>
  <property fmtid="{D5CDD505-2E9C-101B-9397-08002B2CF9AE}" pid="876" name="hmcheck_result_70ae10d3e2cc40cab67aa805ba4f6118_errordescription">
    <vt:lpwstr>时间连接号使用不恰当</vt:lpwstr>
  </property>
  <property fmtid="{D5CDD505-2E9C-101B-9397-08002B2CF9AE}" pid="877" name="hmcheck_result_70ae10d3e2cc40cab67aa805ba4f6118_level">
    <vt:i4>1</vt:i4>
  </property>
  <property fmtid="{D5CDD505-2E9C-101B-9397-08002B2CF9AE}" pid="878" name="hmcheck_result_70ae10d3e2cc40cab67aa805ba4f6118_type">
    <vt:i4>1</vt:i4>
  </property>
  <property fmtid="{D5CDD505-2E9C-101B-9397-08002B2CF9AE}" pid="879" name="hmcheck_result_70ae10d3e2cc40cab67aa805ba4f6118_modifiedtype">
    <vt:i4>0</vt:i4>
  </property>
  <property fmtid="{D5CDD505-2E9C-101B-9397-08002B2CF9AE}" pid="880" name="hmcheck_result_2019fb1cc7664b0c902d74e1221ca216_errorword">
    <vt:lpwstr>统计于</vt:lpwstr>
  </property>
  <property fmtid="{D5CDD505-2E9C-101B-9397-08002B2CF9AE}" pid="881" name="hmcheck_result_2019fb1cc7664b0c902d74e1221ca216_correctwords">
    <vt:lpwstr>["统计图"]</vt:lpwstr>
  </property>
  <property fmtid="{D5CDD505-2E9C-101B-9397-08002B2CF9AE}" pid="882" name="hmcheck_result_2019fb1cc7664b0c902d74e1221ca216_level">
    <vt:i4>1</vt:i4>
  </property>
  <property fmtid="{D5CDD505-2E9C-101B-9397-08002B2CF9AE}" pid="883" name="hmcheck_result_2019fb1cc7664b0c902d74e1221ca216_type">
    <vt:i4>0</vt:i4>
  </property>
  <property fmtid="{D5CDD505-2E9C-101B-9397-08002B2CF9AE}" pid="884" name="hmcheck_result_2019fb1cc7664b0c902d74e1221ca216_modifiedtype">
    <vt:i4>0</vt:i4>
  </property>
  <property fmtid="{D5CDD505-2E9C-101B-9397-08002B2CF9AE}" pid="885" name="hmcheck_result_1b86b1e4c40547d48eb18ebe6ac27c4a_errorword">
    <vt:lpwstr>Ci</vt:lpwstr>
  </property>
  <property fmtid="{D5CDD505-2E9C-101B-9397-08002B2CF9AE}" pid="886" name="hmcheck_result_1b86b1e4c40547d48eb18ebe6ac27c4a_correctwords">
    <vt:lpwstr>["&lt;有错&gt;"]</vt:lpwstr>
  </property>
  <property fmtid="{D5CDD505-2E9C-101B-9397-08002B2CF9AE}" pid="887" name="hmcheck_result_1b86b1e4c40547d48eb18ebe6ac27c4a_level">
    <vt:i4>1</vt:i4>
  </property>
  <property fmtid="{D5CDD505-2E9C-101B-9397-08002B2CF9AE}" pid="888" name="hmcheck_result_1b86b1e4c40547d48eb18ebe6ac27c4a_type">
    <vt:i4>9</vt:i4>
  </property>
  <property fmtid="{D5CDD505-2E9C-101B-9397-08002B2CF9AE}" pid="889" name="hmcheck_result_1b86b1e4c40547d48eb18ebe6ac27c4a_modifiedtype">
    <vt:i4>0</vt:i4>
  </property>
  <property fmtid="{D5CDD505-2E9C-101B-9397-08002B2CF9AE}" pid="890" name="hmcheck_result_bca36b4690304952a6c09ad7bfec64c4_errorword">
    <vt:lpwstr>DOj</vt:lpwstr>
  </property>
  <property fmtid="{D5CDD505-2E9C-101B-9397-08002B2CF9AE}" pid="891" name="hmcheck_result_bca36b4690304952a6c09ad7bfec64c4_correctwords">
    <vt:lpwstr>["don","doh","dou","dom","do"]</vt:lpwstr>
  </property>
  <property fmtid="{D5CDD505-2E9C-101B-9397-08002B2CF9AE}" pid="892" name="hmcheck_result_bca36b4690304952a6c09ad7bfec64c4_level">
    <vt:i4>1</vt:i4>
  </property>
  <property fmtid="{D5CDD505-2E9C-101B-9397-08002B2CF9AE}" pid="893" name="hmcheck_result_bca36b4690304952a6c09ad7bfec64c4_type">
    <vt:i4>6</vt:i4>
  </property>
  <property fmtid="{D5CDD505-2E9C-101B-9397-08002B2CF9AE}" pid="894" name="hmcheck_result_bca36b4690304952a6c09ad7bfec64c4_modifiedtype">
    <vt:i4>0</vt:i4>
  </property>
  <property fmtid="{D5CDD505-2E9C-101B-9397-08002B2CF9AE}" pid="895" name="hmcheck_result_302e84c3e40046ee9b874fd2e25a5a6c_errorword">
    <vt:lpwstr>＞</vt:lpwstr>
  </property>
  <property fmtid="{D5CDD505-2E9C-101B-9397-08002B2CF9AE}" pid="896" name="hmcheck_result_302e84c3e40046ee9b874fd2e25a5a6c_correctwords">
    <vt:lpwstr>["&gt;"]</vt:lpwstr>
  </property>
  <property fmtid="{D5CDD505-2E9C-101B-9397-08002B2CF9AE}" pid="897" name="hmcheck_result_302e84c3e40046ee9b874fd2e25a5a6c_errordescription">
    <vt:lpwstr>文本全半角错误</vt:lpwstr>
  </property>
  <property fmtid="{D5CDD505-2E9C-101B-9397-08002B2CF9AE}" pid="898" name="hmcheck_result_302e84c3e40046ee9b874fd2e25a5a6c_level">
    <vt:i4>1</vt:i4>
  </property>
  <property fmtid="{D5CDD505-2E9C-101B-9397-08002B2CF9AE}" pid="899" name="hmcheck_result_302e84c3e40046ee9b874fd2e25a5a6c_type">
    <vt:i4>1</vt:i4>
  </property>
  <property fmtid="{D5CDD505-2E9C-101B-9397-08002B2CF9AE}" pid="900" name="hmcheck_result_302e84c3e40046ee9b874fd2e25a5a6c_modifiedtype">
    <vt:i4>0</vt:i4>
  </property>
  <property fmtid="{D5CDD505-2E9C-101B-9397-08002B2CF9AE}" pid="901" name="hmcheck_result_6a6f53f33f734e2da203b57d6f4ac1c2_errorword">
    <vt:lpwstr>DOf</vt:lpwstr>
  </property>
  <property fmtid="{D5CDD505-2E9C-101B-9397-08002B2CF9AE}" pid="902" name="hmcheck_result_6a6f53f33f734e2da203b57d6f4ac1c2_correctwords">
    <vt:lpwstr>["eof","daf","dif","doc","dod"]</vt:lpwstr>
  </property>
  <property fmtid="{D5CDD505-2E9C-101B-9397-08002B2CF9AE}" pid="903" name="hmcheck_result_6a6f53f33f734e2da203b57d6f4ac1c2_level">
    <vt:i4>1</vt:i4>
  </property>
  <property fmtid="{D5CDD505-2E9C-101B-9397-08002B2CF9AE}" pid="904" name="hmcheck_result_6a6f53f33f734e2da203b57d6f4ac1c2_type">
    <vt:i4>6</vt:i4>
  </property>
  <property fmtid="{D5CDD505-2E9C-101B-9397-08002B2CF9AE}" pid="905" name="hmcheck_result_6a6f53f33f734e2da203b57d6f4ac1c2_modifiedtype">
    <vt:i4>0</vt:i4>
  </property>
  <property fmtid="{D5CDD505-2E9C-101B-9397-08002B2CF9AE}" pid="906" name="hmcheck_result_fe7ee230ed934b16b3b34776e343d287_errorword">
    <vt:lpwstr>DOj</vt:lpwstr>
  </property>
  <property fmtid="{D5CDD505-2E9C-101B-9397-08002B2CF9AE}" pid="907" name="hmcheck_result_fe7ee230ed934b16b3b34776e343d287_correctwords">
    <vt:lpwstr>["don","doh","dou","dom","do"]</vt:lpwstr>
  </property>
  <property fmtid="{D5CDD505-2E9C-101B-9397-08002B2CF9AE}" pid="908" name="hmcheck_result_fe7ee230ed934b16b3b34776e343d287_level">
    <vt:i4>1</vt:i4>
  </property>
  <property fmtid="{D5CDD505-2E9C-101B-9397-08002B2CF9AE}" pid="909" name="hmcheck_result_fe7ee230ed934b16b3b34776e343d287_type">
    <vt:i4>6</vt:i4>
  </property>
  <property fmtid="{D5CDD505-2E9C-101B-9397-08002B2CF9AE}" pid="910" name="hmcheck_result_fe7ee230ed934b16b3b34776e343d287_modifiedtype">
    <vt:i4>0</vt:i4>
  </property>
  <property fmtid="{D5CDD505-2E9C-101B-9397-08002B2CF9AE}" pid="911" name="hmcheck_result_d89d983f91c547a0a543c4e390ce8e17_errorword">
    <vt:lpwstr>DOf</vt:lpwstr>
  </property>
  <property fmtid="{D5CDD505-2E9C-101B-9397-08002B2CF9AE}" pid="912" name="hmcheck_result_d89d983f91c547a0a543c4e390ce8e17_correctwords">
    <vt:lpwstr>["eof","daf","dif","doc","dod"]</vt:lpwstr>
  </property>
  <property fmtid="{D5CDD505-2E9C-101B-9397-08002B2CF9AE}" pid="913" name="hmcheck_result_d89d983f91c547a0a543c4e390ce8e17_level">
    <vt:i4>1</vt:i4>
  </property>
  <property fmtid="{D5CDD505-2E9C-101B-9397-08002B2CF9AE}" pid="914" name="hmcheck_result_d89d983f91c547a0a543c4e390ce8e17_type">
    <vt:i4>6</vt:i4>
  </property>
  <property fmtid="{D5CDD505-2E9C-101B-9397-08002B2CF9AE}" pid="915" name="hmcheck_result_d89d983f91c547a0a543c4e390ce8e17_modifiedtype">
    <vt:i4>0</vt:i4>
  </property>
  <property fmtid="{D5CDD505-2E9C-101B-9397-08002B2CF9AE}" pid="916" name="hmcheck_result_86d9902a7b94409182a7c1905750845f_errorword">
    <vt:lpwstr>DOj</vt:lpwstr>
  </property>
  <property fmtid="{D5CDD505-2E9C-101B-9397-08002B2CF9AE}" pid="917" name="hmcheck_result_86d9902a7b94409182a7c1905750845f_correctwords">
    <vt:lpwstr>["don","doh","dou","dom","do"]</vt:lpwstr>
  </property>
  <property fmtid="{D5CDD505-2E9C-101B-9397-08002B2CF9AE}" pid="918" name="hmcheck_result_86d9902a7b94409182a7c1905750845f_level">
    <vt:i4>1</vt:i4>
  </property>
  <property fmtid="{D5CDD505-2E9C-101B-9397-08002B2CF9AE}" pid="919" name="hmcheck_result_86d9902a7b94409182a7c1905750845f_type">
    <vt:i4>6</vt:i4>
  </property>
  <property fmtid="{D5CDD505-2E9C-101B-9397-08002B2CF9AE}" pid="920" name="hmcheck_result_86d9902a7b94409182a7c1905750845f_modifiedtype">
    <vt:i4>0</vt:i4>
  </property>
  <property fmtid="{D5CDD505-2E9C-101B-9397-08002B2CF9AE}" pid="921" name="hmcheck_result_aa781f94e9244450a84ac81c169b571a_errorword">
    <vt:lpwstr>DOf</vt:lpwstr>
  </property>
  <property fmtid="{D5CDD505-2E9C-101B-9397-08002B2CF9AE}" pid="922" name="hmcheck_result_aa781f94e9244450a84ac81c169b571a_correctwords">
    <vt:lpwstr>["eof","daf","dif","doc","dod"]</vt:lpwstr>
  </property>
  <property fmtid="{D5CDD505-2E9C-101B-9397-08002B2CF9AE}" pid="923" name="hmcheck_result_aa781f94e9244450a84ac81c169b571a_level">
    <vt:i4>1</vt:i4>
  </property>
  <property fmtid="{D5CDD505-2E9C-101B-9397-08002B2CF9AE}" pid="924" name="hmcheck_result_aa781f94e9244450a84ac81c169b571a_type">
    <vt:i4>6</vt:i4>
  </property>
  <property fmtid="{D5CDD505-2E9C-101B-9397-08002B2CF9AE}" pid="925" name="hmcheck_result_aa781f94e9244450a84ac81c169b571a_modifiedtype">
    <vt:i4>0</vt:i4>
  </property>
  <property fmtid="{D5CDD505-2E9C-101B-9397-08002B2CF9AE}" pid="926" name="hmcheck_result_f937cb88576848c09d19098dfbdea9d4_errorword">
    <vt:lpwstr>DOf</vt:lpwstr>
  </property>
  <property fmtid="{D5CDD505-2E9C-101B-9397-08002B2CF9AE}" pid="927" name="hmcheck_result_f937cb88576848c09d19098dfbdea9d4_correctwords">
    <vt:lpwstr>["eof","daf","dif","doc","dod"]</vt:lpwstr>
  </property>
  <property fmtid="{D5CDD505-2E9C-101B-9397-08002B2CF9AE}" pid="928" name="hmcheck_result_f937cb88576848c09d19098dfbdea9d4_level">
    <vt:i4>1</vt:i4>
  </property>
  <property fmtid="{D5CDD505-2E9C-101B-9397-08002B2CF9AE}" pid="929" name="hmcheck_result_f937cb88576848c09d19098dfbdea9d4_type">
    <vt:i4>6</vt:i4>
  </property>
  <property fmtid="{D5CDD505-2E9C-101B-9397-08002B2CF9AE}" pid="930" name="hmcheck_result_f937cb88576848c09d19098dfbdea9d4_modifiedtype">
    <vt:i4>0</vt:i4>
  </property>
  <property fmtid="{D5CDD505-2E9C-101B-9397-08002B2CF9AE}" pid="931" name="hmcheck_result_8321d2db2952413abf4f733052d266b3_errorword">
    <vt:lpwstr>pHj</vt:lpwstr>
  </property>
  <property fmtid="{D5CDD505-2E9C-101B-9397-08002B2CF9AE}" pid="932" name="hmcheck_result_8321d2db2952413abf4f733052d266b3_correctwords">
    <vt:lpwstr>["pjj","phu","phi","ph"]</vt:lpwstr>
  </property>
  <property fmtid="{D5CDD505-2E9C-101B-9397-08002B2CF9AE}" pid="933" name="hmcheck_result_8321d2db2952413abf4f733052d266b3_level">
    <vt:i4>1</vt:i4>
  </property>
  <property fmtid="{D5CDD505-2E9C-101B-9397-08002B2CF9AE}" pid="934" name="hmcheck_result_8321d2db2952413abf4f733052d266b3_type">
    <vt:i4>6</vt:i4>
  </property>
  <property fmtid="{D5CDD505-2E9C-101B-9397-08002B2CF9AE}" pid="935" name="hmcheck_result_8321d2db2952413abf4f733052d266b3_modifiedtype">
    <vt:i4>0</vt:i4>
  </property>
  <property fmtid="{D5CDD505-2E9C-101B-9397-08002B2CF9AE}" pid="936" name="hmcheck_result_16c299ba0c44454a80608d47de0256b5_errorword">
    <vt:lpwstr>pHsd</vt:lpwstr>
  </property>
  <property fmtid="{D5CDD505-2E9C-101B-9397-08002B2CF9AE}" pid="937" name="hmcheck_result_16c299ba0c44454a80608d47de0256b5_correctwords">
    <vt:lpwstr>["phad","hsd","phd","phs"]</vt:lpwstr>
  </property>
  <property fmtid="{D5CDD505-2E9C-101B-9397-08002B2CF9AE}" pid="938" name="hmcheck_result_16c299ba0c44454a80608d47de0256b5_level">
    <vt:i4>1</vt:i4>
  </property>
  <property fmtid="{D5CDD505-2E9C-101B-9397-08002B2CF9AE}" pid="939" name="hmcheck_result_16c299ba0c44454a80608d47de0256b5_type">
    <vt:i4>6</vt:i4>
  </property>
  <property fmtid="{D5CDD505-2E9C-101B-9397-08002B2CF9AE}" pid="940" name="hmcheck_result_16c299ba0c44454a80608d47de0256b5_modifiedtype">
    <vt:i4>0</vt:i4>
  </property>
  <property fmtid="{D5CDD505-2E9C-101B-9397-08002B2CF9AE}" pid="941" name="hmcheck_result_c190e2e63d6845f08f472aec91c3ef77_errorword">
    <vt:lpwstr>pHsu</vt:lpwstr>
  </property>
  <property fmtid="{D5CDD505-2E9C-101B-9397-08002B2CF9AE}" pid="942" name="hmcheck_result_c190e2e63d6845f08f472aec91c3ef77_correctwords">
    <vt:lpwstr>["hsu","phu","phs"]</vt:lpwstr>
  </property>
  <property fmtid="{D5CDD505-2E9C-101B-9397-08002B2CF9AE}" pid="943" name="hmcheck_result_c190e2e63d6845f08f472aec91c3ef77_level">
    <vt:i4>1</vt:i4>
  </property>
  <property fmtid="{D5CDD505-2E9C-101B-9397-08002B2CF9AE}" pid="944" name="hmcheck_result_c190e2e63d6845f08f472aec91c3ef77_type">
    <vt:i4>6</vt:i4>
  </property>
  <property fmtid="{D5CDD505-2E9C-101B-9397-08002B2CF9AE}" pid="945" name="hmcheck_result_c190e2e63d6845f08f472aec91c3ef77_modifiedtype">
    <vt:i4>0</vt:i4>
  </property>
  <property fmtid="{D5CDD505-2E9C-101B-9397-08002B2CF9AE}" pid="946" name="hmcheck_result_2a7460ea5de24f0aa1c58f3dc14d6626_errorword">
    <vt:lpwstr>~</vt:lpwstr>
  </property>
  <property fmtid="{D5CDD505-2E9C-101B-9397-08002B2CF9AE}" pid="947" name="hmcheck_result_2a7460ea5de24f0aa1c58f3dc14d6626_correctwords">
    <vt:lpwstr>["—"]</vt:lpwstr>
  </property>
  <property fmtid="{D5CDD505-2E9C-101B-9397-08002B2CF9AE}" pid="948" name="hmcheck_result_2a7460ea5de24f0aa1c58f3dc14d6626_errordescription">
    <vt:lpwstr>时间连接号使用不恰当</vt:lpwstr>
  </property>
  <property fmtid="{D5CDD505-2E9C-101B-9397-08002B2CF9AE}" pid="949" name="hmcheck_result_2a7460ea5de24f0aa1c58f3dc14d6626_level">
    <vt:i4>1</vt:i4>
  </property>
  <property fmtid="{D5CDD505-2E9C-101B-9397-08002B2CF9AE}" pid="950" name="hmcheck_result_2a7460ea5de24f0aa1c58f3dc14d6626_type">
    <vt:i4>1</vt:i4>
  </property>
  <property fmtid="{D5CDD505-2E9C-101B-9397-08002B2CF9AE}" pid="951" name="hmcheck_result_2a7460ea5de24f0aa1c58f3dc14d6626_modifiedtype">
    <vt:i4>0</vt:i4>
  </property>
  <property fmtid="{D5CDD505-2E9C-101B-9397-08002B2CF9AE}" pid="952" name="hmcheck_result_fc96f2700ac54a1b9b126fbfc35bbb81_errorword">
    <vt:lpwstr>~</vt:lpwstr>
  </property>
  <property fmtid="{D5CDD505-2E9C-101B-9397-08002B2CF9AE}" pid="953" name="hmcheck_result_fc96f2700ac54a1b9b126fbfc35bbb81_correctwords">
    <vt:lpwstr>["—"]</vt:lpwstr>
  </property>
  <property fmtid="{D5CDD505-2E9C-101B-9397-08002B2CF9AE}" pid="954" name="hmcheck_result_fc96f2700ac54a1b9b126fbfc35bbb81_errordescription">
    <vt:lpwstr>时间连接号使用不恰当</vt:lpwstr>
  </property>
  <property fmtid="{D5CDD505-2E9C-101B-9397-08002B2CF9AE}" pid="955" name="hmcheck_result_fc96f2700ac54a1b9b126fbfc35bbb81_level">
    <vt:i4>1</vt:i4>
  </property>
  <property fmtid="{D5CDD505-2E9C-101B-9397-08002B2CF9AE}" pid="956" name="hmcheck_result_fc96f2700ac54a1b9b126fbfc35bbb81_type">
    <vt:i4>1</vt:i4>
  </property>
  <property fmtid="{D5CDD505-2E9C-101B-9397-08002B2CF9AE}" pid="957" name="hmcheck_result_fc96f2700ac54a1b9b126fbfc35bbb81_modifiedtype">
    <vt:i4>0</vt:i4>
  </property>
  <property fmtid="{D5CDD505-2E9C-101B-9397-08002B2CF9AE}" pid="958" name="hmcheck_result_c5249c54d1a14a73914becc0e887f3b6_errorword">
    <vt:lpwstr>~</vt:lpwstr>
  </property>
  <property fmtid="{D5CDD505-2E9C-101B-9397-08002B2CF9AE}" pid="959" name="hmcheck_result_c5249c54d1a14a73914becc0e887f3b6_correctwords">
    <vt:lpwstr>["—"]</vt:lpwstr>
  </property>
  <property fmtid="{D5CDD505-2E9C-101B-9397-08002B2CF9AE}" pid="960" name="hmcheck_result_c5249c54d1a14a73914becc0e887f3b6_errordescription">
    <vt:lpwstr>时间连接号使用不恰当</vt:lpwstr>
  </property>
  <property fmtid="{D5CDD505-2E9C-101B-9397-08002B2CF9AE}" pid="961" name="hmcheck_result_c5249c54d1a14a73914becc0e887f3b6_level">
    <vt:i4>1</vt:i4>
  </property>
  <property fmtid="{D5CDD505-2E9C-101B-9397-08002B2CF9AE}" pid="962" name="hmcheck_result_c5249c54d1a14a73914becc0e887f3b6_type">
    <vt:i4>1</vt:i4>
  </property>
  <property fmtid="{D5CDD505-2E9C-101B-9397-08002B2CF9AE}" pid="963" name="hmcheck_result_c5249c54d1a14a73914becc0e887f3b6_modifiedtype">
    <vt:i4>0</vt:i4>
  </property>
  <property fmtid="{D5CDD505-2E9C-101B-9397-08002B2CF9AE}" pid="964" name="hmcheck_result_022da98a0f654d5db82b176ffc645b2d_errorword">
    <vt:lpwstr>~</vt:lpwstr>
  </property>
  <property fmtid="{D5CDD505-2E9C-101B-9397-08002B2CF9AE}" pid="965" name="hmcheck_result_022da98a0f654d5db82b176ffc645b2d_correctwords">
    <vt:lpwstr>["—"]</vt:lpwstr>
  </property>
  <property fmtid="{D5CDD505-2E9C-101B-9397-08002B2CF9AE}" pid="966" name="hmcheck_result_022da98a0f654d5db82b176ffc645b2d_errordescription">
    <vt:lpwstr>时间连接号使用不恰当</vt:lpwstr>
  </property>
  <property fmtid="{D5CDD505-2E9C-101B-9397-08002B2CF9AE}" pid="967" name="hmcheck_result_022da98a0f654d5db82b176ffc645b2d_level">
    <vt:i4>1</vt:i4>
  </property>
  <property fmtid="{D5CDD505-2E9C-101B-9397-08002B2CF9AE}" pid="968" name="hmcheck_result_022da98a0f654d5db82b176ffc645b2d_type">
    <vt:i4>1</vt:i4>
  </property>
  <property fmtid="{D5CDD505-2E9C-101B-9397-08002B2CF9AE}" pid="969" name="hmcheck_result_022da98a0f654d5db82b176ffc645b2d_modifiedtype">
    <vt:i4>0</vt:i4>
  </property>
  <property fmtid="{D5CDD505-2E9C-101B-9397-08002B2CF9AE}" pid="970" name="hmcheck_result_4373f544ffd7457b871e695aaa88af60_errorword">
    <vt:lpwstr>~</vt:lpwstr>
  </property>
  <property fmtid="{D5CDD505-2E9C-101B-9397-08002B2CF9AE}" pid="971" name="hmcheck_result_4373f544ffd7457b871e695aaa88af60_correctwords">
    <vt:lpwstr>["—"]</vt:lpwstr>
  </property>
  <property fmtid="{D5CDD505-2E9C-101B-9397-08002B2CF9AE}" pid="972" name="hmcheck_result_4373f544ffd7457b871e695aaa88af60_errordescription">
    <vt:lpwstr>时间连接号使用不恰当</vt:lpwstr>
  </property>
  <property fmtid="{D5CDD505-2E9C-101B-9397-08002B2CF9AE}" pid="973" name="hmcheck_result_4373f544ffd7457b871e695aaa88af60_level">
    <vt:i4>1</vt:i4>
  </property>
  <property fmtid="{D5CDD505-2E9C-101B-9397-08002B2CF9AE}" pid="974" name="hmcheck_result_4373f544ffd7457b871e695aaa88af60_type">
    <vt:i4>1</vt:i4>
  </property>
  <property fmtid="{D5CDD505-2E9C-101B-9397-08002B2CF9AE}" pid="975" name="hmcheck_result_4373f544ffd7457b871e695aaa88af60_modifiedtype">
    <vt:i4>0</vt:i4>
  </property>
  <property fmtid="{D5CDD505-2E9C-101B-9397-08002B2CF9AE}" pid="976" name="hmcheck_result_245bcf8f6d5f40e7a8409647cc19ce13_errorword">
    <vt:lpwstr>Leq</vt:lpwstr>
  </property>
  <property fmtid="{D5CDD505-2E9C-101B-9397-08002B2CF9AE}" pid="977" name="hmcheck_result_245bcf8f6d5f40e7a8409647cc19ce13_correctwords">
    <vt:lpwstr>["lea","lew","le"]</vt:lpwstr>
  </property>
  <property fmtid="{D5CDD505-2E9C-101B-9397-08002B2CF9AE}" pid="978" name="hmcheck_result_245bcf8f6d5f40e7a8409647cc19ce13_level">
    <vt:i4>1</vt:i4>
  </property>
  <property fmtid="{D5CDD505-2E9C-101B-9397-08002B2CF9AE}" pid="979" name="hmcheck_result_245bcf8f6d5f40e7a8409647cc19ce13_type">
    <vt:i4>6</vt:i4>
  </property>
  <property fmtid="{D5CDD505-2E9C-101B-9397-08002B2CF9AE}" pid="980" name="hmcheck_result_245bcf8f6d5f40e7a8409647cc19ce13_modifiedtype">
    <vt:i4>0</vt:i4>
  </property>
  <property fmtid="{D5CDD505-2E9C-101B-9397-08002B2CF9AE}" pid="981" name="hmcheck_result_eb29749fb6144278a5a734aa6010ef5d_errorword">
    <vt:lpwstr>Leq</vt:lpwstr>
  </property>
  <property fmtid="{D5CDD505-2E9C-101B-9397-08002B2CF9AE}" pid="982" name="hmcheck_result_eb29749fb6144278a5a734aa6010ef5d_correctwords">
    <vt:lpwstr>["lea","lew","le"]</vt:lpwstr>
  </property>
  <property fmtid="{D5CDD505-2E9C-101B-9397-08002B2CF9AE}" pid="983" name="hmcheck_result_eb29749fb6144278a5a734aa6010ef5d_level">
    <vt:i4>1</vt:i4>
  </property>
  <property fmtid="{D5CDD505-2E9C-101B-9397-08002B2CF9AE}" pid="984" name="hmcheck_result_eb29749fb6144278a5a734aa6010ef5d_type">
    <vt:i4>6</vt:i4>
  </property>
  <property fmtid="{D5CDD505-2E9C-101B-9397-08002B2CF9AE}" pid="985" name="hmcheck_result_eb29749fb6144278a5a734aa6010ef5d_modifiedtype">
    <vt:i4>0</vt:i4>
  </property>
  <property fmtid="{D5CDD505-2E9C-101B-9397-08002B2CF9AE}" pid="986" name="hmcheck_result_719fa6e1ac584449a2f597ca0c075cb6_errorword">
    <vt:lpwstr>Leq</vt:lpwstr>
  </property>
  <property fmtid="{D5CDD505-2E9C-101B-9397-08002B2CF9AE}" pid="987" name="hmcheck_result_719fa6e1ac584449a2f597ca0c075cb6_correctwords">
    <vt:lpwstr>["lea","lew","le"]</vt:lpwstr>
  </property>
  <property fmtid="{D5CDD505-2E9C-101B-9397-08002B2CF9AE}" pid="988" name="hmcheck_result_719fa6e1ac584449a2f597ca0c075cb6_level">
    <vt:i4>1</vt:i4>
  </property>
  <property fmtid="{D5CDD505-2E9C-101B-9397-08002B2CF9AE}" pid="989" name="hmcheck_result_719fa6e1ac584449a2f597ca0c075cb6_type">
    <vt:i4>6</vt:i4>
  </property>
  <property fmtid="{D5CDD505-2E9C-101B-9397-08002B2CF9AE}" pid="990" name="hmcheck_result_719fa6e1ac584449a2f597ca0c075cb6_modifiedtype">
    <vt:i4>0</vt:i4>
  </property>
  <property fmtid="{D5CDD505-2E9C-101B-9397-08002B2CF9AE}" pid="991" name="hmcheck_result_e0d6f8798325486e8ba3577598e57c2e_errorword">
    <vt:lpwstr>2025年02月26日</vt:lpwstr>
  </property>
  <property fmtid="{D5CDD505-2E9C-101B-9397-08002B2CF9AE}" pid="992" name="hmcheck_result_e0d6f8798325486e8ba3577598e57c2e_correctwords">
    <vt:lpwstr>[]</vt:lpwstr>
  </property>
  <property fmtid="{D5CDD505-2E9C-101B-9397-08002B2CF9AE}" pid="993" name="hmcheck_result_e0d6f8798325486e8ba3577598e57c2e_errordescription">
    <vt:lpwstr>日期错误或日期描述不规范。</vt:lpwstr>
  </property>
  <property fmtid="{D5CDD505-2E9C-101B-9397-08002B2CF9AE}" pid="994" name="hmcheck_result_e0d6f8798325486e8ba3577598e57c2e_level">
    <vt:i4>1</vt:i4>
  </property>
  <property fmtid="{D5CDD505-2E9C-101B-9397-08002B2CF9AE}" pid="995" name="hmcheck_result_e0d6f8798325486e8ba3577598e57c2e_type">
    <vt:i4>9</vt:i4>
  </property>
  <property fmtid="{D5CDD505-2E9C-101B-9397-08002B2CF9AE}" pid="996" name="hmcheck_result_e0d6f8798325486e8ba3577598e57c2e_modifiedtype">
    <vt:i4>0</vt:i4>
  </property>
  <property fmtid="{D5CDD505-2E9C-101B-9397-08002B2CF9AE}" pid="997" name="hmcheck_result_a33c747607414189a282bbcb0b92e3a3_errorword">
    <vt:lpwstr>~</vt:lpwstr>
  </property>
  <property fmtid="{D5CDD505-2E9C-101B-9397-08002B2CF9AE}" pid="998" name="hmcheck_result_a33c747607414189a282bbcb0b92e3a3_correctwords">
    <vt:lpwstr>["—"]</vt:lpwstr>
  </property>
  <property fmtid="{D5CDD505-2E9C-101B-9397-08002B2CF9AE}" pid="999" name="hmcheck_result_a33c747607414189a282bbcb0b92e3a3_errordescription">
    <vt:lpwstr>时间连接号使用不恰当</vt:lpwstr>
  </property>
  <property fmtid="{D5CDD505-2E9C-101B-9397-08002B2CF9AE}" pid="1000" name="hmcheck_result_a33c747607414189a282bbcb0b92e3a3_level">
    <vt:i4>1</vt:i4>
  </property>
  <property fmtid="{D5CDD505-2E9C-101B-9397-08002B2CF9AE}" pid="1001" name="hmcheck_result_a33c747607414189a282bbcb0b92e3a3_type">
    <vt:i4>1</vt:i4>
  </property>
  <property fmtid="{D5CDD505-2E9C-101B-9397-08002B2CF9AE}" pid="1002" name="hmcheck_result_a33c747607414189a282bbcb0b92e3a3_modifiedtype">
    <vt:i4>0</vt:i4>
  </property>
  <property fmtid="{D5CDD505-2E9C-101B-9397-08002B2CF9AE}" pid="1003" name="hmcheck_result_82cb0d51297b4aa08eda265b34fe4ea9_errorword">
    <vt:lpwstr>02月28日</vt:lpwstr>
  </property>
  <property fmtid="{D5CDD505-2E9C-101B-9397-08002B2CF9AE}" pid="1004" name="hmcheck_result_82cb0d51297b4aa08eda265b34fe4ea9_correctwords">
    <vt:lpwstr>[]</vt:lpwstr>
  </property>
  <property fmtid="{D5CDD505-2E9C-101B-9397-08002B2CF9AE}" pid="1005" name="hmcheck_result_82cb0d51297b4aa08eda265b34fe4ea9_errordescription">
    <vt:lpwstr>日期错误或日期描述不规范。</vt:lpwstr>
  </property>
  <property fmtid="{D5CDD505-2E9C-101B-9397-08002B2CF9AE}" pid="1006" name="hmcheck_result_82cb0d51297b4aa08eda265b34fe4ea9_level">
    <vt:i4>1</vt:i4>
  </property>
  <property fmtid="{D5CDD505-2E9C-101B-9397-08002B2CF9AE}" pid="1007" name="hmcheck_result_82cb0d51297b4aa08eda265b34fe4ea9_type">
    <vt:i4>9</vt:i4>
  </property>
  <property fmtid="{D5CDD505-2E9C-101B-9397-08002B2CF9AE}" pid="1008" name="hmcheck_result_82cb0d51297b4aa08eda265b34fe4ea9_modifiedtype">
    <vt:i4>0</vt:i4>
  </property>
  <property fmtid="{D5CDD505-2E9C-101B-9397-08002B2CF9AE}" pid="1009" name="hmcheck_result_8dd5a2be11ec4eacb9aca19a9b9b6a59_errorword">
    <vt:lpwstr>检测</vt:lpwstr>
  </property>
  <property fmtid="{D5CDD505-2E9C-101B-9397-08002B2CF9AE}" pid="1010" name="hmcheck_result_8dd5a2be11ec4eacb9aca19a9b9b6a59_correctwords">
    <vt:lpwstr>["监测"]</vt:lpwstr>
  </property>
  <property fmtid="{D5CDD505-2E9C-101B-9397-08002B2CF9AE}" pid="1011" name="hmcheck_result_8dd5a2be11ec4eacb9aca19a9b9b6a59_level">
    <vt:i4>1</vt:i4>
  </property>
  <property fmtid="{D5CDD505-2E9C-101B-9397-08002B2CF9AE}" pid="1012" name="hmcheck_result_8dd5a2be11ec4eacb9aca19a9b9b6a59_type">
    <vt:i4>0</vt:i4>
  </property>
  <property fmtid="{D5CDD505-2E9C-101B-9397-08002B2CF9AE}" pid="1013" name="hmcheck_result_8dd5a2be11ec4eacb9aca19a9b9b6a59_modifiedtype">
    <vt:i4>0</vt:i4>
  </property>
  <property fmtid="{D5CDD505-2E9C-101B-9397-08002B2CF9AE}" pid="1014" name="hmcheck_result_415f2a1f641e46b5967aa2495b81b449_errorword">
    <vt:lpwstr>Leq</vt:lpwstr>
  </property>
  <property fmtid="{D5CDD505-2E9C-101B-9397-08002B2CF9AE}" pid="1015" name="hmcheck_result_415f2a1f641e46b5967aa2495b81b449_correctwords">
    <vt:lpwstr>["lea","lew","le"]</vt:lpwstr>
  </property>
  <property fmtid="{D5CDD505-2E9C-101B-9397-08002B2CF9AE}" pid="1016" name="hmcheck_result_415f2a1f641e46b5967aa2495b81b449_level">
    <vt:i4>1</vt:i4>
  </property>
  <property fmtid="{D5CDD505-2E9C-101B-9397-08002B2CF9AE}" pid="1017" name="hmcheck_result_415f2a1f641e46b5967aa2495b81b449_type">
    <vt:i4>6</vt:i4>
  </property>
  <property fmtid="{D5CDD505-2E9C-101B-9397-08002B2CF9AE}" pid="1018" name="hmcheck_result_415f2a1f641e46b5967aa2495b81b449_modifiedtype">
    <vt:i4>0</vt:i4>
  </property>
  <property fmtid="{D5CDD505-2E9C-101B-9397-08002B2CF9AE}" pid="1019" name="hmcheck_result_0751e466a768466589f09b6737ba99eb_errorword">
    <vt:lpwstr>2月26</vt:lpwstr>
  </property>
  <property fmtid="{D5CDD505-2E9C-101B-9397-08002B2CF9AE}" pid="1020" name="hmcheck_result_0751e466a768466589f09b6737ba99eb_correctwords">
    <vt:lpwstr>["2月26日"]</vt:lpwstr>
  </property>
  <property fmtid="{D5CDD505-2E9C-101B-9397-08002B2CF9AE}" pid="1021" name="hmcheck_result_0751e466a768466589f09b6737ba99eb_errordescription">
    <vt:lpwstr>日期错误或日期描述不规范。</vt:lpwstr>
  </property>
  <property fmtid="{D5CDD505-2E9C-101B-9397-08002B2CF9AE}" pid="1022" name="hmcheck_result_0751e466a768466589f09b6737ba99eb_level">
    <vt:i4>1</vt:i4>
  </property>
  <property fmtid="{D5CDD505-2E9C-101B-9397-08002B2CF9AE}" pid="1023" name="hmcheck_result_0751e466a768466589f09b6737ba99eb_type">
    <vt:i4>9</vt:i4>
  </property>
  <property fmtid="{D5CDD505-2E9C-101B-9397-08002B2CF9AE}" pid="1024" name="hmcheck_result_0751e466a768466589f09b6737ba99eb_modifiedtype">
    <vt:i4>0</vt:i4>
  </property>
  <property fmtid="{D5CDD505-2E9C-101B-9397-08002B2CF9AE}" pid="1025" name="hmcheck_result_183647ba87164eb9bbd7f707b74e3025_errorword">
    <vt:lpwstr>~</vt:lpwstr>
  </property>
  <property fmtid="{D5CDD505-2E9C-101B-9397-08002B2CF9AE}" pid="1026" name="hmcheck_result_183647ba87164eb9bbd7f707b74e3025_correctwords">
    <vt:lpwstr>["～"]</vt:lpwstr>
  </property>
  <property fmtid="{D5CDD505-2E9C-101B-9397-08002B2CF9AE}" pid="1027" name="hmcheck_result_183647ba87164eb9bbd7f707b74e3025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028" name="hmcheck_result_183647ba87164eb9bbd7f707b74e3025_level">
    <vt:i4>1</vt:i4>
  </property>
  <property fmtid="{D5CDD505-2E9C-101B-9397-08002B2CF9AE}" pid="1029" name="hmcheck_result_183647ba87164eb9bbd7f707b74e3025_type">
    <vt:i4>1</vt:i4>
  </property>
  <property fmtid="{D5CDD505-2E9C-101B-9397-08002B2CF9AE}" pid="1030" name="hmcheck_result_183647ba87164eb9bbd7f707b74e3025_modifiedtype">
    <vt:i4>0</vt:i4>
  </property>
  <property fmtid="{D5CDD505-2E9C-101B-9397-08002B2CF9AE}" pid="1031" name="hmcheck_result_91dc0b10ca734a518a474c44db985b3e_errorword">
    <vt:lpwstr>2月27</vt:lpwstr>
  </property>
  <property fmtid="{D5CDD505-2E9C-101B-9397-08002B2CF9AE}" pid="1032" name="hmcheck_result_91dc0b10ca734a518a474c44db985b3e_correctwords">
    <vt:lpwstr>["2月27日"]</vt:lpwstr>
  </property>
  <property fmtid="{D5CDD505-2E9C-101B-9397-08002B2CF9AE}" pid="1033" name="hmcheck_result_91dc0b10ca734a518a474c44db985b3e_errordescription">
    <vt:lpwstr>日期错误或日期描述不规范。</vt:lpwstr>
  </property>
  <property fmtid="{D5CDD505-2E9C-101B-9397-08002B2CF9AE}" pid="1034" name="hmcheck_result_91dc0b10ca734a518a474c44db985b3e_level">
    <vt:i4>1</vt:i4>
  </property>
  <property fmtid="{D5CDD505-2E9C-101B-9397-08002B2CF9AE}" pid="1035" name="hmcheck_result_91dc0b10ca734a518a474c44db985b3e_type">
    <vt:i4>9</vt:i4>
  </property>
  <property fmtid="{D5CDD505-2E9C-101B-9397-08002B2CF9AE}" pid="1036" name="hmcheck_result_91dc0b10ca734a518a474c44db985b3e_modifiedtype">
    <vt:i4>0</vt:i4>
  </property>
  <property fmtid="{D5CDD505-2E9C-101B-9397-08002B2CF9AE}" pid="1037" name="hmcheck_result_cc267b73976345b5b8d1f47359144de5_errorword">
    <vt:lpwstr>~</vt:lpwstr>
  </property>
  <property fmtid="{D5CDD505-2E9C-101B-9397-08002B2CF9AE}" pid="1038" name="hmcheck_result_cc267b73976345b5b8d1f47359144de5_correctwords">
    <vt:lpwstr>["～"]</vt:lpwstr>
  </property>
  <property fmtid="{D5CDD505-2E9C-101B-9397-08002B2CF9AE}" pid="1039" name="hmcheck_result_cc267b73976345b5b8d1f47359144de5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040" name="hmcheck_result_cc267b73976345b5b8d1f47359144de5_level">
    <vt:i4>1</vt:i4>
  </property>
  <property fmtid="{D5CDD505-2E9C-101B-9397-08002B2CF9AE}" pid="1041" name="hmcheck_result_cc267b73976345b5b8d1f47359144de5_type">
    <vt:i4>1</vt:i4>
  </property>
  <property fmtid="{D5CDD505-2E9C-101B-9397-08002B2CF9AE}" pid="1042" name="hmcheck_result_cc267b73976345b5b8d1f47359144de5_modifiedtype">
    <vt:i4>0</vt:i4>
  </property>
  <property fmtid="{D5CDD505-2E9C-101B-9397-08002B2CF9AE}" pid="1043" name="hmcheck_result_f0a9afb60bdd4fc587801a199ee456e9_errorword">
    <vt:lpwstr>2月26</vt:lpwstr>
  </property>
  <property fmtid="{D5CDD505-2E9C-101B-9397-08002B2CF9AE}" pid="1044" name="hmcheck_result_f0a9afb60bdd4fc587801a199ee456e9_correctwords">
    <vt:lpwstr>["2月26日"]</vt:lpwstr>
  </property>
  <property fmtid="{D5CDD505-2E9C-101B-9397-08002B2CF9AE}" pid="1045" name="hmcheck_result_f0a9afb60bdd4fc587801a199ee456e9_errordescription">
    <vt:lpwstr>日期错误或日期描述不规范。</vt:lpwstr>
  </property>
  <property fmtid="{D5CDD505-2E9C-101B-9397-08002B2CF9AE}" pid="1046" name="hmcheck_result_f0a9afb60bdd4fc587801a199ee456e9_level">
    <vt:i4>1</vt:i4>
  </property>
  <property fmtid="{D5CDD505-2E9C-101B-9397-08002B2CF9AE}" pid="1047" name="hmcheck_result_f0a9afb60bdd4fc587801a199ee456e9_type">
    <vt:i4>9</vt:i4>
  </property>
  <property fmtid="{D5CDD505-2E9C-101B-9397-08002B2CF9AE}" pid="1048" name="hmcheck_result_f0a9afb60bdd4fc587801a199ee456e9_modifiedtype">
    <vt:i4>0</vt:i4>
  </property>
  <property fmtid="{D5CDD505-2E9C-101B-9397-08002B2CF9AE}" pid="1049" name="hmcheck_result_1acd471f583a48c59ea32c2c7104492e_errorword">
    <vt:lpwstr>~</vt:lpwstr>
  </property>
  <property fmtid="{D5CDD505-2E9C-101B-9397-08002B2CF9AE}" pid="1050" name="hmcheck_result_1acd471f583a48c59ea32c2c7104492e_correctwords">
    <vt:lpwstr>["～"]</vt:lpwstr>
  </property>
  <property fmtid="{D5CDD505-2E9C-101B-9397-08002B2CF9AE}" pid="1051" name="hmcheck_result_1acd471f583a48c59ea32c2c7104492e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052" name="hmcheck_result_1acd471f583a48c59ea32c2c7104492e_level">
    <vt:i4>1</vt:i4>
  </property>
  <property fmtid="{D5CDD505-2E9C-101B-9397-08002B2CF9AE}" pid="1053" name="hmcheck_result_1acd471f583a48c59ea32c2c7104492e_type">
    <vt:i4>1</vt:i4>
  </property>
  <property fmtid="{D5CDD505-2E9C-101B-9397-08002B2CF9AE}" pid="1054" name="hmcheck_result_1acd471f583a48c59ea32c2c7104492e_modifiedtype">
    <vt:i4>0</vt:i4>
  </property>
  <property fmtid="{D5CDD505-2E9C-101B-9397-08002B2CF9AE}" pid="1055" name="hmcheck_result_8d32e0bc532d4ab89a1b78999daa60df_errorword">
    <vt:lpwstr>2月27</vt:lpwstr>
  </property>
  <property fmtid="{D5CDD505-2E9C-101B-9397-08002B2CF9AE}" pid="1056" name="hmcheck_result_8d32e0bc532d4ab89a1b78999daa60df_correctwords">
    <vt:lpwstr>["2月27日"]</vt:lpwstr>
  </property>
  <property fmtid="{D5CDD505-2E9C-101B-9397-08002B2CF9AE}" pid="1057" name="hmcheck_result_8d32e0bc532d4ab89a1b78999daa60df_errordescription">
    <vt:lpwstr>日期错误或日期描述不规范。</vt:lpwstr>
  </property>
  <property fmtid="{D5CDD505-2E9C-101B-9397-08002B2CF9AE}" pid="1058" name="hmcheck_result_8d32e0bc532d4ab89a1b78999daa60df_level">
    <vt:i4>1</vt:i4>
  </property>
  <property fmtid="{D5CDD505-2E9C-101B-9397-08002B2CF9AE}" pid="1059" name="hmcheck_result_8d32e0bc532d4ab89a1b78999daa60df_type">
    <vt:i4>9</vt:i4>
  </property>
  <property fmtid="{D5CDD505-2E9C-101B-9397-08002B2CF9AE}" pid="1060" name="hmcheck_result_8d32e0bc532d4ab89a1b78999daa60df_modifiedtype">
    <vt:i4>0</vt:i4>
  </property>
  <property fmtid="{D5CDD505-2E9C-101B-9397-08002B2CF9AE}" pid="1061" name="hmcheck_result_9348cf31f38d42cdaad1ff1482123594_errorword">
    <vt:lpwstr>~</vt:lpwstr>
  </property>
  <property fmtid="{D5CDD505-2E9C-101B-9397-08002B2CF9AE}" pid="1062" name="hmcheck_result_9348cf31f38d42cdaad1ff1482123594_correctwords">
    <vt:lpwstr>["～"]</vt:lpwstr>
  </property>
  <property fmtid="{D5CDD505-2E9C-101B-9397-08002B2CF9AE}" pid="1063" name="hmcheck_result_9348cf31f38d42cdaad1ff1482123594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064" name="hmcheck_result_9348cf31f38d42cdaad1ff1482123594_level">
    <vt:i4>1</vt:i4>
  </property>
  <property fmtid="{D5CDD505-2E9C-101B-9397-08002B2CF9AE}" pid="1065" name="hmcheck_result_9348cf31f38d42cdaad1ff1482123594_type">
    <vt:i4>1</vt:i4>
  </property>
  <property fmtid="{D5CDD505-2E9C-101B-9397-08002B2CF9AE}" pid="1066" name="hmcheck_result_9348cf31f38d42cdaad1ff1482123594_modifiedtype">
    <vt:i4>0</vt:i4>
  </property>
  <property fmtid="{D5CDD505-2E9C-101B-9397-08002B2CF9AE}" pid="1067" name="hmcheck_result_e5f6f20b17d74a22a10677e37aff3527_errorword">
    <vt:lpwstr>2月26</vt:lpwstr>
  </property>
  <property fmtid="{D5CDD505-2E9C-101B-9397-08002B2CF9AE}" pid="1068" name="hmcheck_result_e5f6f20b17d74a22a10677e37aff3527_correctwords">
    <vt:lpwstr>["2月26日"]</vt:lpwstr>
  </property>
  <property fmtid="{D5CDD505-2E9C-101B-9397-08002B2CF9AE}" pid="1069" name="hmcheck_result_e5f6f20b17d74a22a10677e37aff3527_errordescription">
    <vt:lpwstr>日期错误或日期描述不规范。</vt:lpwstr>
  </property>
  <property fmtid="{D5CDD505-2E9C-101B-9397-08002B2CF9AE}" pid="1070" name="hmcheck_result_e5f6f20b17d74a22a10677e37aff3527_level">
    <vt:i4>1</vt:i4>
  </property>
  <property fmtid="{D5CDD505-2E9C-101B-9397-08002B2CF9AE}" pid="1071" name="hmcheck_result_e5f6f20b17d74a22a10677e37aff3527_type">
    <vt:i4>9</vt:i4>
  </property>
  <property fmtid="{D5CDD505-2E9C-101B-9397-08002B2CF9AE}" pid="1072" name="hmcheck_result_e5f6f20b17d74a22a10677e37aff3527_modifiedtype">
    <vt:i4>0</vt:i4>
  </property>
  <property fmtid="{D5CDD505-2E9C-101B-9397-08002B2CF9AE}" pid="1073" name="hmcheck_result_c9bf69e511754c0cb7a4fe4d7df7dadd_errorword">
    <vt:lpwstr>~</vt:lpwstr>
  </property>
  <property fmtid="{D5CDD505-2E9C-101B-9397-08002B2CF9AE}" pid="1074" name="hmcheck_result_c9bf69e511754c0cb7a4fe4d7df7dadd_correctwords">
    <vt:lpwstr>["～"]</vt:lpwstr>
  </property>
  <property fmtid="{D5CDD505-2E9C-101B-9397-08002B2CF9AE}" pid="1075" name="hmcheck_result_c9bf69e511754c0cb7a4fe4d7df7dadd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076" name="hmcheck_result_c9bf69e511754c0cb7a4fe4d7df7dadd_level">
    <vt:i4>1</vt:i4>
  </property>
  <property fmtid="{D5CDD505-2E9C-101B-9397-08002B2CF9AE}" pid="1077" name="hmcheck_result_c9bf69e511754c0cb7a4fe4d7df7dadd_type">
    <vt:i4>1</vt:i4>
  </property>
  <property fmtid="{D5CDD505-2E9C-101B-9397-08002B2CF9AE}" pid="1078" name="hmcheck_result_c9bf69e511754c0cb7a4fe4d7df7dadd_modifiedtype">
    <vt:i4>0</vt:i4>
  </property>
  <property fmtid="{D5CDD505-2E9C-101B-9397-08002B2CF9AE}" pid="1079" name="hmcheck_result_285d7aa7d9144784b78940b50c9bd834_errorword">
    <vt:lpwstr>2月27</vt:lpwstr>
  </property>
  <property fmtid="{D5CDD505-2E9C-101B-9397-08002B2CF9AE}" pid="1080" name="hmcheck_result_285d7aa7d9144784b78940b50c9bd834_correctwords">
    <vt:lpwstr>["2月27日"]</vt:lpwstr>
  </property>
  <property fmtid="{D5CDD505-2E9C-101B-9397-08002B2CF9AE}" pid="1081" name="hmcheck_result_285d7aa7d9144784b78940b50c9bd834_errordescription">
    <vt:lpwstr>日期错误或日期描述不规范。</vt:lpwstr>
  </property>
  <property fmtid="{D5CDD505-2E9C-101B-9397-08002B2CF9AE}" pid="1082" name="hmcheck_result_285d7aa7d9144784b78940b50c9bd834_level">
    <vt:i4>1</vt:i4>
  </property>
  <property fmtid="{D5CDD505-2E9C-101B-9397-08002B2CF9AE}" pid="1083" name="hmcheck_result_285d7aa7d9144784b78940b50c9bd834_type">
    <vt:i4>9</vt:i4>
  </property>
  <property fmtid="{D5CDD505-2E9C-101B-9397-08002B2CF9AE}" pid="1084" name="hmcheck_result_285d7aa7d9144784b78940b50c9bd834_modifiedtype">
    <vt:i4>0</vt:i4>
  </property>
  <property fmtid="{D5CDD505-2E9C-101B-9397-08002B2CF9AE}" pid="1085" name="hmcheck_result_994ca1353b3b468c82210d5776f4eb92_errorword">
    <vt:lpwstr>~</vt:lpwstr>
  </property>
  <property fmtid="{D5CDD505-2E9C-101B-9397-08002B2CF9AE}" pid="1086" name="hmcheck_result_994ca1353b3b468c82210d5776f4eb92_correctwords">
    <vt:lpwstr>["～"]</vt:lpwstr>
  </property>
  <property fmtid="{D5CDD505-2E9C-101B-9397-08002B2CF9AE}" pid="1087" name="hmcheck_result_994ca1353b3b468c82210d5776f4eb92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088" name="hmcheck_result_994ca1353b3b468c82210d5776f4eb92_level">
    <vt:i4>1</vt:i4>
  </property>
  <property fmtid="{D5CDD505-2E9C-101B-9397-08002B2CF9AE}" pid="1089" name="hmcheck_result_994ca1353b3b468c82210d5776f4eb92_type">
    <vt:i4>1</vt:i4>
  </property>
  <property fmtid="{D5CDD505-2E9C-101B-9397-08002B2CF9AE}" pid="1090" name="hmcheck_result_994ca1353b3b468c82210d5776f4eb92_modifiedtype">
    <vt:i4>0</vt:i4>
  </property>
  <property fmtid="{D5CDD505-2E9C-101B-9397-08002B2CF9AE}" pid="1091" name="hmcheck_result_a34e688c0bde4095b27a065812d9da7f_errorword">
    <vt:lpwstr>除临</vt:lpwstr>
  </property>
  <property fmtid="{D5CDD505-2E9C-101B-9397-08002B2CF9AE}" pid="1092" name="hmcheck_result_a34e688c0bde4095b27a065812d9da7f_correctwords">
    <vt:lpwstr>["除"]</vt:lpwstr>
  </property>
  <property fmtid="{D5CDD505-2E9C-101B-9397-08002B2CF9AE}" pid="1093" name="hmcheck_result_a34e688c0bde4095b27a065812d9da7f_level">
    <vt:i4>1</vt:i4>
  </property>
  <property fmtid="{D5CDD505-2E9C-101B-9397-08002B2CF9AE}" pid="1094" name="hmcheck_result_a34e688c0bde4095b27a065812d9da7f_type">
    <vt:i4>0</vt:i4>
  </property>
  <property fmtid="{D5CDD505-2E9C-101B-9397-08002B2CF9AE}" pid="1095" name="hmcheck_result_a34e688c0bde4095b27a065812d9da7f_modifiedtype">
    <vt:i4>0</vt:i4>
  </property>
  <property fmtid="{D5CDD505-2E9C-101B-9397-08002B2CF9AE}" pid="1096" name="hmcheck_result_8bd7d5e66de74e7b8ce428fce97891fe_errorword">
    <vt:lpwstr>生态生态</vt:lpwstr>
  </property>
  <property fmtid="{D5CDD505-2E9C-101B-9397-08002B2CF9AE}" pid="1097" name="hmcheck_result_8bd7d5e66de74e7b8ce428fce97891fe_correctwords">
    <vt:lpwstr>["生态"]</vt:lpwstr>
  </property>
  <property fmtid="{D5CDD505-2E9C-101B-9397-08002B2CF9AE}" pid="1098" name="hmcheck_result_8bd7d5e66de74e7b8ce428fce97891fe_level">
    <vt:i4>1</vt:i4>
  </property>
  <property fmtid="{D5CDD505-2E9C-101B-9397-08002B2CF9AE}" pid="1099" name="hmcheck_result_8bd7d5e66de74e7b8ce428fce97891fe_type">
    <vt:i4>0</vt:i4>
  </property>
  <property fmtid="{D5CDD505-2E9C-101B-9397-08002B2CF9AE}" pid="1100" name="hmcheck_result_8bd7d5e66de74e7b8ce428fce97891fe_modifiedtype">
    <vt:i4>2</vt:i4>
  </property>
  <property fmtid="{D5CDD505-2E9C-101B-9397-08002B2CF9AE}" pid="1101" name="hmcheck_result_8c22c693512e4c11a11d4f4be751d5d5_errorword">
    <vt:lpwstr>区</vt:lpwstr>
  </property>
  <property fmtid="{D5CDD505-2E9C-101B-9397-08002B2CF9AE}" pid="1102" name="hmcheck_result_8c22c693512e4c11a11d4f4be751d5d5_correctwords">
    <vt:lpwstr>["区域"]</vt:lpwstr>
  </property>
  <property fmtid="{D5CDD505-2E9C-101B-9397-08002B2CF9AE}" pid="1103" name="hmcheck_result_8c22c693512e4c11a11d4f4be751d5d5_level">
    <vt:i4>1</vt:i4>
  </property>
  <property fmtid="{D5CDD505-2E9C-101B-9397-08002B2CF9AE}" pid="1104" name="hmcheck_result_8c22c693512e4c11a11d4f4be751d5d5_type">
    <vt:i4>0</vt:i4>
  </property>
  <property fmtid="{D5CDD505-2E9C-101B-9397-08002B2CF9AE}" pid="1105" name="hmcheck_result_8c22c693512e4c11a11d4f4be751d5d5_modifiedtype">
    <vt:i4>0</vt:i4>
  </property>
  <property fmtid="{D5CDD505-2E9C-101B-9397-08002B2CF9AE}" pid="1106" name="hmcheck_result_c7531dab92644604b4780e2b2d371df6_errorword">
    <vt:lpwstr>热雨林</vt:lpwstr>
  </property>
  <property fmtid="{D5CDD505-2E9C-101B-9397-08002B2CF9AE}" pid="1107" name="hmcheck_result_c7531dab92644604b4780e2b2d371df6_correctwords">
    <vt:lpwstr>["热带雨林"]</vt:lpwstr>
  </property>
  <property fmtid="{D5CDD505-2E9C-101B-9397-08002B2CF9AE}" pid="1108" name="hmcheck_result_c7531dab92644604b4780e2b2d371df6_level">
    <vt:i4>1</vt:i4>
  </property>
  <property fmtid="{D5CDD505-2E9C-101B-9397-08002B2CF9AE}" pid="1109" name="hmcheck_result_c7531dab92644604b4780e2b2d371df6_type">
    <vt:i4>0</vt:i4>
  </property>
  <property fmtid="{D5CDD505-2E9C-101B-9397-08002B2CF9AE}" pid="1110" name="hmcheck_result_c7531dab92644604b4780e2b2d371df6_modifiedtype">
    <vt:i4>0</vt:i4>
  </property>
  <property fmtid="{D5CDD505-2E9C-101B-9397-08002B2CF9AE}" pid="1111" name="hmcheck_result_5ef5e9b7a49b40f8986f392cfb718d2a_errorword">
    <vt:lpwstr>20~45%</vt:lpwstr>
  </property>
  <property fmtid="{D5CDD505-2E9C-101B-9397-08002B2CF9AE}" pid="1112" name="hmcheck_result_5ef5e9b7a49b40f8986f392cfb718d2a_correctwords">
    <vt:lpwstr>["20%~45%"]</vt:lpwstr>
  </property>
  <property fmtid="{D5CDD505-2E9C-101B-9397-08002B2CF9AE}" pid="1113" name="hmcheck_result_5ef5e9b7a49b40f8986f392cfb718d2a_level">
    <vt:i4>1</vt:i4>
  </property>
  <property fmtid="{D5CDD505-2E9C-101B-9397-08002B2CF9AE}" pid="1114" name="hmcheck_result_5ef5e9b7a49b40f8986f392cfb718d2a_type">
    <vt:i4>0</vt:i4>
  </property>
  <property fmtid="{D5CDD505-2E9C-101B-9397-08002B2CF9AE}" pid="1115" name="hmcheck_result_5ef5e9b7a49b40f8986f392cfb718d2a_modifiedtype">
    <vt:i4>0</vt:i4>
  </property>
  <property fmtid="{D5CDD505-2E9C-101B-9397-08002B2CF9AE}" pid="1116" name="hmcheck_result_d236881d0e4140788afe29310edd39bb_errorword">
    <vt:lpwstr>octophylla</vt:lpwstr>
  </property>
  <property fmtid="{D5CDD505-2E9C-101B-9397-08002B2CF9AE}" pid="1117" name="hmcheck_result_d236881d0e4140788afe29310edd39bb_correctwords">
    <vt:lpwstr>["&lt;有错&gt;"]</vt:lpwstr>
  </property>
  <property fmtid="{D5CDD505-2E9C-101B-9397-08002B2CF9AE}" pid="1118" name="hmcheck_result_d236881d0e4140788afe29310edd39bb_level">
    <vt:i4>1</vt:i4>
  </property>
  <property fmtid="{D5CDD505-2E9C-101B-9397-08002B2CF9AE}" pid="1119" name="hmcheck_result_d236881d0e4140788afe29310edd39bb_type">
    <vt:i4>6</vt:i4>
  </property>
  <property fmtid="{D5CDD505-2E9C-101B-9397-08002B2CF9AE}" pid="1120" name="hmcheck_result_d236881d0e4140788afe29310edd39bb_modifiedtype">
    <vt:i4>0</vt:i4>
  </property>
  <property fmtid="{D5CDD505-2E9C-101B-9397-08002B2CF9AE}" pid="1121" name="hmcheck_result_22fa093c813745838a84b60dee5c56d1_errorword">
    <vt:lpwstr>Melastoma</vt:lpwstr>
  </property>
  <property fmtid="{D5CDD505-2E9C-101B-9397-08002B2CF9AE}" pid="1122" name="hmcheck_result_22fa093c813745838a84b60dee5c56d1_correctwords">
    <vt:lpwstr>["metastoma","elastoma"]</vt:lpwstr>
  </property>
  <property fmtid="{D5CDD505-2E9C-101B-9397-08002B2CF9AE}" pid="1123" name="hmcheck_result_22fa093c813745838a84b60dee5c56d1_level">
    <vt:i4>1</vt:i4>
  </property>
  <property fmtid="{D5CDD505-2E9C-101B-9397-08002B2CF9AE}" pid="1124" name="hmcheck_result_22fa093c813745838a84b60dee5c56d1_type">
    <vt:i4>6</vt:i4>
  </property>
  <property fmtid="{D5CDD505-2E9C-101B-9397-08002B2CF9AE}" pid="1125" name="hmcheck_result_22fa093c813745838a84b60dee5c56d1_modifiedtype">
    <vt:i4>0</vt:i4>
  </property>
  <property fmtid="{D5CDD505-2E9C-101B-9397-08002B2CF9AE}" pid="1126" name="hmcheck_result_af242057c89d42f9a00c02f2eb7296b9_errorword">
    <vt:lpwstr>floridulus</vt:lpwstr>
  </property>
  <property fmtid="{D5CDD505-2E9C-101B-9397-08002B2CF9AE}" pid="1127" name="hmcheck_result_af242057c89d42f9a00c02f2eb7296b9_correctwords">
    <vt:lpwstr>["&lt;有错&gt;"]</vt:lpwstr>
  </property>
  <property fmtid="{D5CDD505-2E9C-101B-9397-08002B2CF9AE}" pid="1128" name="hmcheck_result_af242057c89d42f9a00c02f2eb7296b9_level">
    <vt:i4>1</vt:i4>
  </property>
  <property fmtid="{D5CDD505-2E9C-101B-9397-08002B2CF9AE}" pid="1129" name="hmcheck_result_af242057c89d42f9a00c02f2eb7296b9_type">
    <vt:i4>6</vt:i4>
  </property>
  <property fmtid="{D5CDD505-2E9C-101B-9397-08002B2CF9AE}" pid="1130" name="hmcheck_result_af242057c89d42f9a00c02f2eb7296b9_modifiedtype">
    <vt:i4>0</vt:i4>
  </property>
  <property fmtid="{D5CDD505-2E9C-101B-9397-08002B2CF9AE}" pid="1131" name="hmcheck_result_6aa3c43071bb4f8995fa0f645798f589_errorword">
    <vt:lpwstr>.</vt:lpwstr>
  </property>
  <property fmtid="{D5CDD505-2E9C-101B-9397-08002B2CF9AE}" pid="1132" name="hmcheck_result_6aa3c43071bb4f8995fa0f645798f589_correctwords">
    <vt:lpwstr>[]</vt:lpwstr>
  </property>
  <property fmtid="{D5CDD505-2E9C-101B-9397-08002B2CF9AE}" pid="1133" name="hmcheck_result_6aa3c43071bb4f8995fa0f645798f589_errordescription">
    <vt:lpwstr>括号内行文末尾一般不加标点</vt:lpwstr>
  </property>
  <property fmtid="{D5CDD505-2E9C-101B-9397-08002B2CF9AE}" pid="1134" name="hmcheck_result_6aa3c43071bb4f8995fa0f645798f589_level">
    <vt:i4>1</vt:i4>
  </property>
  <property fmtid="{D5CDD505-2E9C-101B-9397-08002B2CF9AE}" pid="1135" name="hmcheck_result_6aa3c43071bb4f8995fa0f645798f589_type">
    <vt:i4>1</vt:i4>
  </property>
  <property fmtid="{D5CDD505-2E9C-101B-9397-08002B2CF9AE}" pid="1136" name="hmcheck_result_6aa3c43071bb4f8995fa0f645798f589_modifiedtype">
    <vt:i4>0</vt:i4>
  </property>
  <property fmtid="{D5CDD505-2E9C-101B-9397-08002B2CF9AE}" pid="1137" name="hmcheck_result_f0711ccdaeac49ffa352fae9cacd1827_errorword">
    <vt:lpwstr>-</vt:lpwstr>
  </property>
  <property fmtid="{D5CDD505-2E9C-101B-9397-08002B2CF9AE}" pid="1138" name="hmcheck_result_f0711ccdaeac49ffa352fae9cacd1827_correctwords">
    <vt:lpwstr>["～"]</vt:lpwstr>
  </property>
  <property fmtid="{D5CDD505-2E9C-101B-9397-08002B2CF9AE}" pid="1139" name="hmcheck_result_f0711ccdaeac49ffa352fae9cacd1827_errordescription">
    <vt:lpwstr>连接号使用不恰当</vt:lpwstr>
  </property>
  <property fmtid="{D5CDD505-2E9C-101B-9397-08002B2CF9AE}" pid="1140" name="hmcheck_result_f0711ccdaeac49ffa352fae9cacd1827_level">
    <vt:i4>1</vt:i4>
  </property>
  <property fmtid="{D5CDD505-2E9C-101B-9397-08002B2CF9AE}" pid="1141" name="hmcheck_result_f0711ccdaeac49ffa352fae9cacd1827_type">
    <vt:i4>9</vt:i4>
  </property>
  <property fmtid="{D5CDD505-2E9C-101B-9397-08002B2CF9AE}" pid="1142" name="hmcheck_result_f0711ccdaeac49ffa352fae9cacd1827_modifiedtype">
    <vt:i4>0</vt:i4>
  </property>
  <property fmtid="{D5CDD505-2E9C-101B-9397-08002B2CF9AE}" pid="1143" name="hmcheck_result_766fc1afd3a14261888fa287c6c54740_errorword">
    <vt:lpwstr>000~</vt:lpwstr>
  </property>
  <property fmtid="{D5CDD505-2E9C-101B-9397-08002B2CF9AE}" pid="1144" name="hmcheck_result_766fc1afd3a14261888fa287c6c54740_correctwords">
    <vt:lpwstr>["&lt;有错&gt;"]</vt:lpwstr>
  </property>
  <property fmtid="{D5CDD505-2E9C-101B-9397-08002B2CF9AE}" pid="1145" name="hmcheck_result_766fc1afd3a14261888fa287c6c54740_level">
    <vt:i4>1</vt:i4>
  </property>
  <property fmtid="{D5CDD505-2E9C-101B-9397-08002B2CF9AE}" pid="1146" name="hmcheck_result_766fc1afd3a14261888fa287c6c54740_type">
    <vt:i4>0</vt:i4>
  </property>
  <property fmtid="{D5CDD505-2E9C-101B-9397-08002B2CF9AE}" pid="1147" name="hmcheck_result_766fc1afd3a14261888fa287c6c54740_modifiedtype">
    <vt:i4>0</vt:i4>
  </property>
  <property fmtid="{D5CDD505-2E9C-101B-9397-08002B2CF9AE}" pid="1148" name="hmcheck_result_9ae6d86d17e14b39a62c3071cebd89ae_errorword">
    <vt:lpwstr>~</vt:lpwstr>
  </property>
  <property fmtid="{D5CDD505-2E9C-101B-9397-08002B2CF9AE}" pid="1149" name="hmcheck_result_9ae6d86d17e14b39a62c3071cebd89ae_correctwords">
    <vt:lpwstr>["～"]</vt:lpwstr>
  </property>
  <property fmtid="{D5CDD505-2E9C-101B-9397-08002B2CF9AE}" pid="1150" name="hmcheck_result_9ae6d86d17e14b39a62c3071cebd89ae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151" name="hmcheck_result_9ae6d86d17e14b39a62c3071cebd89ae_level">
    <vt:i4>1</vt:i4>
  </property>
  <property fmtid="{D5CDD505-2E9C-101B-9397-08002B2CF9AE}" pid="1152" name="hmcheck_result_9ae6d86d17e14b39a62c3071cebd89ae_type">
    <vt:i4>1</vt:i4>
  </property>
  <property fmtid="{D5CDD505-2E9C-101B-9397-08002B2CF9AE}" pid="1153" name="hmcheck_result_9ae6d86d17e14b39a62c3071cebd89ae_modifiedtype">
    <vt:i4>0</vt:i4>
  </property>
  <property fmtid="{D5CDD505-2E9C-101B-9397-08002B2CF9AE}" pid="1154" name="hmcheck_result_5eaf153e76364fce8cde4827e82439fd_errorword">
    <vt:lpwstr>~</vt:lpwstr>
  </property>
  <property fmtid="{D5CDD505-2E9C-101B-9397-08002B2CF9AE}" pid="1155" name="hmcheck_result_5eaf153e76364fce8cde4827e82439fd_correctwords">
    <vt:lpwstr>["～"]</vt:lpwstr>
  </property>
  <property fmtid="{D5CDD505-2E9C-101B-9397-08002B2CF9AE}" pid="1156" name="hmcheck_result_5eaf153e76364fce8cde4827e82439fd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157" name="hmcheck_result_5eaf153e76364fce8cde4827e82439fd_level">
    <vt:i4>1</vt:i4>
  </property>
  <property fmtid="{D5CDD505-2E9C-101B-9397-08002B2CF9AE}" pid="1158" name="hmcheck_result_5eaf153e76364fce8cde4827e82439fd_type">
    <vt:i4>1</vt:i4>
  </property>
  <property fmtid="{D5CDD505-2E9C-101B-9397-08002B2CF9AE}" pid="1159" name="hmcheck_result_5eaf153e76364fce8cde4827e82439fd_modifiedtype">
    <vt:i4>0</vt:i4>
  </property>
  <property fmtid="{D5CDD505-2E9C-101B-9397-08002B2CF9AE}" pid="1160" name="hmcheck_result_2f957705109a4904b9d012e204c8599f_errorword">
    <vt:lpwstr>Loropetalumchinense</vt:lpwstr>
  </property>
  <property fmtid="{D5CDD505-2E9C-101B-9397-08002B2CF9AE}" pid="1161" name="hmcheck_result_2f957705109a4904b9d012e204c8599f_correctwords">
    <vt:lpwstr>["aloropetalumchinense","bloropetalumchinense","eloropetalumchinense","iloropetalumchinense","lloropetalumchinense"]</vt:lpwstr>
  </property>
  <property fmtid="{D5CDD505-2E9C-101B-9397-08002B2CF9AE}" pid="1162" name="hmcheck_result_2f957705109a4904b9d012e204c8599f_level">
    <vt:i4>1</vt:i4>
  </property>
  <property fmtid="{D5CDD505-2E9C-101B-9397-08002B2CF9AE}" pid="1163" name="hmcheck_result_2f957705109a4904b9d012e204c8599f_type">
    <vt:i4>6</vt:i4>
  </property>
  <property fmtid="{D5CDD505-2E9C-101B-9397-08002B2CF9AE}" pid="1164" name="hmcheck_result_2f957705109a4904b9d012e204c8599f_modifiedtype">
    <vt:i4>0</vt:i4>
  </property>
  <property fmtid="{D5CDD505-2E9C-101B-9397-08002B2CF9AE}" pid="1165" name="hmcheck_result_256ea8d7f83b4592af327263c8c04bdd_errorword">
    <vt:lpwstr>Lygodium</vt:lpwstr>
  </property>
  <property fmtid="{D5CDD505-2E9C-101B-9397-08002B2CF9AE}" pid="1166" name="hmcheck_result_256ea8d7f83b4592af327263c8c04bdd_correctwords">
    <vt:lpwstr>["&lt;有错&gt;"]</vt:lpwstr>
  </property>
  <property fmtid="{D5CDD505-2E9C-101B-9397-08002B2CF9AE}" pid="1167" name="hmcheck_result_256ea8d7f83b4592af327263c8c04bdd_level">
    <vt:i4>1</vt:i4>
  </property>
  <property fmtid="{D5CDD505-2E9C-101B-9397-08002B2CF9AE}" pid="1168" name="hmcheck_result_256ea8d7f83b4592af327263c8c04bdd_type">
    <vt:i4>6</vt:i4>
  </property>
  <property fmtid="{D5CDD505-2E9C-101B-9397-08002B2CF9AE}" pid="1169" name="hmcheck_result_256ea8d7f83b4592af327263c8c04bdd_modifiedtype">
    <vt:i4>0</vt:i4>
  </property>
  <property fmtid="{D5CDD505-2E9C-101B-9397-08002B2CF9AE}" pid="1170" name="hmcheck_result_984d054b290049c7848567c64e0cc5f5_errorword">
    <vt:lpwstr>floridulus</vt:lpwstr>
  </property>
  <property fmtid="{D5CDD505-2E9C-101B-9397-08002B2CF9AE}" pid="1171" name="hmcheck_result_984d054b290049c7848567c64e0cc5f5_correctwords">
    <vt:lpwstr>["&lt;有错&gt;"]</vt:lpwstr>
  </property>
  <property fmtid="{D5CDD505-2E9C-101B-9397-08002B2CF9AE}" pid="1172" name="hmcheck_result_984d054b290049c7848567c64e0cc5f5_level">
    <vt:i4>1</vt:i4>
  </property>
  <property fmtid="{D5CDD505-2E9C-101B-9397-08002B2CF9AE}" pid="1173" name="hmcheck_result_984d054b290049c7848567c64e0cc5f5_type">
    <vt:i4>6</vt:i4>
  </property>
  <property fmtid="{D5CDD505-2E9C-101B-9397-08002B2CF9AE}" pid="1174" name="hmcheck_result_984d054b290049c7848567c64e0cc5f5_modifiedtype">
    <vt:i4>0</vt:i4>
  </property>
  <property fmtid="{D5CDD505-2E9C-101B-9397-08002B2CF9AE}" pid="1175" name="hmcheck_result_3672979aa89549bfb619a51ac6ddfadb_errorword">
    <vt:lpwstr>Urena</vt:lpwstr>
  </property>
  <property fmtid="{D5CDD505-2E9C-101B-9397-08002B2CF9AE}" pid="1176" name="hmcheck_result_3672979aa89549bfb619a51ac6ddfadb_correctwords">
    <vt:lpwstr>["rena","urna","urea"]</vt:lpwstr>
  </property>
  <property fmtid="{D5CDD505-2E9C-101B-9397-08002B2CF9AE}" pid="1177" name="hmcheck_result_3672979aa89549bfb619a51ac6ddfadb_level">
    <vt:i4>1</vt:i4>
  </property>
  <property fmtid="{D5CDD505-2E9C-101B-9397-08002B2CF9AE}" pid="1178" name="hmcheck_result_3672979aa89549bfb619a51ac6ddfadb_type">
    <vt:i4>6</vt:i4>
  </property>
  <property fmtid="{D5CDD505-2E9C-101B-9397-08002B2CF9AE}" pid="1179" name="hmcheck_result_3672979aa89549bfb619a51ac6ddfadb_modifiedtype">
    <vt:i4>0</vt:i4>
  </property>
  <property fmtid="{D5CDD505-2E9C-101B-9397-08002B2CF9AE}" pid="1180" name="hmcheck_result_f8034ae296924226be09a70f27a9404b_errorword">
    <vt:lpwstr>~</vt:lpwstr>
  </property>
  <property fmtid="{D5CDD505-2E9C-101B-9397-08002B2CF9AE}" pid="1181" name="hmcheck_result_f8034ae296924226be09a70f27a9404b_correctwords">
    <vt:lpwstr>["～"]</vt:lpwstr>
  </property>
  <property fmtid="{D5CDD505-2E9C-101B-9397-08002B2CF9AE}" pid="1182" name="hmcheck_result_f8034ae296924226be09a70f27a9404b_level">
    <vt:i4>1</vt:i4>
  </property>
  <property fmtid="{D5CDD505-2E9C-101B-9397-08002B2CF9AE}" pid="1183" name="hmcheck_result_f8034ae296924226be09a70f27a9404b_type">
    <vt:i4>1</vt:i4>
  </property>
  <property fmtid="{D5CDD505-2E9C-101B-9397-08002B2CF9AE}" pid="1184" name="hmcheck_result_f8034ae296924226be09a70f27a9404b_modifiedtype">
    <vt:i4>0</vt:i4>
  </property>
  <property fmtid="{D5CDD505-2E9C-101B-9397-08002B2CF9AE}" pid="1185" name="hmcheck_result_abd53247a783421f8e2ce4e7f7c4dadd_errorword">
    <vt:lpwstr>~</vt:lpwstr>
  </property>
  <property fmtid="{D5CDD505-2E9C-101B-9397-08002B2CF9AE}" pid="1186" name="hmcheck_result_abd53247a783421f8e2ce4e7f7c4dadd_correctwords">
    <vt:lpwstr>["～"]</vt:lpwstr>
  </property>
  <property fmtid="{D5CDD505-2E9C-101B-9397-08002B2CF9AE}" pid="1187" name="hmcheck_result_abd53247a783421f8e2ce4e7f7c4dadd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188" name="hmcheck_result_abd53247a783421f8e2ce4e7f7c4dadd_level">
    <vt:i4>1</vt:i4>
  </property>
  <property fmtid="{D5CDD505-2E9C-101B-9397-08002B2CF9AE}" pid="1189" name="hmcheck_result_abd53247a783421f8e2ce4e7f7c4dadd_type">
    <vt:i4>1</vt:i4>
  </property>
  <property fmtid="{D5CDD505-2E9C-101B-9397-08002B2CF9AE}" pid="1190" name="hmcheck_result_abd53247a783421f8e2ce4e7f7c4dadd_modifiedtype">
    <vt:i4>0</vt:i4>
  </property>
  <property fmtid="{D5CDD505-2E9C-101B-9397-08002B2CF9AE}" pid="1191" name="hmcheck_result_0a75ea6bc2924aef80f2e2c41eececcc_errorword">
    <vt:lpwstr>遮荫</vt:lpwstr>
  </property>
  <property fmtid="{D5CDD505-2E9C-101B-9397-08002B2CF9AE}" pid="1192" name="hmcheck_result_0a75ea6bc2924aef80f2e2c41eececcc_correctwords">
    <vt:lpwstr>["遮阴"]</vt:lpwstr>
  </property>
  <property fmtid="{D5CDD505-2E9C-101B-9397-08002B2CF9AE}" pid="1193" name="hmcheck_result_0a75ea6bc2924aef80f2e2c41eececcc_level">
    <vt:i4>1</vt:i4>
  </property>
  <property fmtid="{D5CDD505-2E9C-101B-9397-08002B2CF9AE}" pid="1194" name="hmcheck_result_0a75ea6bc2924aef80f2e2c41eececcc_type">
    <vt:i4>0</vt:i4>
  </property>
  <property fmtid="{D5CDD505-2E9C-101B-9397-08002B2CF9AE}" pid="1195" name="hmcheck_result_0a75ea6bc2924aef80f2e2c41eececcc_modifiedtype">
    <vt:i4>0</vt:i4>
  </property>
  <property fmtid="{D5CDD505-2E9C-101B-9397-08002B2CF9AE}" pid="1196" name="hmcheck_result_4da9a6180f5844df866b167395294a6c_errorword">
    <vt:lpwstr>Acaciaconfusa</vt:lpwstr>
  </property>
  <property fmtid="{D5CDD505-2E9C-101B-9397-08002B2CF9AE}" pid="1197" name="hmcheck_result_4da9a6180f5844df866b167395294a6c_correctwords">
    <vt:lpwstr>["&lt;有错&gt;"]</vt:lpwstr>
  </property>
  <property fmtid="{D5CDD505-2E9C-101B-9397-08002B2CF9AE}" pid="1198" name="hmcheck_result_4da9a6180f5844df866b167395294a6c_level">
    <vt:i4>1</vt:i4>
  </property>
  <property fmtid="{D5CDD505-2E9C-101B-9397-08002B2CF9AE}" pid="1199" name="hmcheck_result_4da9a6180f5844df866b167395294a6c_type">
    <vt:i4>6</vt:i4>
  </property>
  <property fmtid="{D5CDD505-2E9C-101B-9397-08002B2CF9AE}" pid="1200" name="hmcheck_result_4da9a6180f5844df866b167395294a6c_modifiedtype">
    <vt:i4>0</vt:i4>
  </property>
  <property fmtid="{D5CDD505-2E9C-101B-9397-08002B2CF9AE}" pid="1201" name="hmcheck_result_aee4d0a40160446fb5721f097698b720_errorword">
    <vt:lpwstr>~</vt:lpwstr>
  </property>
  <property fmtid="{D5CDD505-2E9C-101B-9397-08002B2CF9AE}" pid="1202" name="hmcheck_result_aee4d0a40160446fb5721f097698b720_correctwords">
    <vt:lpwstr>["～"]</vt:lpwstr>
  </property>
  <property fmtid="{D5CDD505-2E9C-101B-9397-08002B2CF9AE}" pid="1203" name="hmcheck_result_aee4d0a40160446fb5721f097698b720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204" name="hmcheck_result_aee4d0a40160446fb5721f097698b720_level">
    <vt:i4>1</vt:i4>
  </property>
  <property fmtid="{D5CDD505-2E9C-101B-9397-08002B2CF9AE}" pid="1205" name="hmcheck_result_aee4d0a40160446fb5721f097698b720_type">
    <vt:i4>1</vt:i4>
  </property>
  <property fmtid="{D5CDD505-2E9C-101B-9397-08002B2CF9AE}" pid="1206" name="hmcheck_result_aee4d0a40160446fb5721f097698b720_modifiedtype">
    <vt:i4>0</vt:i4>
  </property>
  <property fmtid="{D5CDD505-2E9C-101B-9397-08002B2CF9AE}" pid="1207" name="hmcheck_result_bbc03942a56b45ff9a2a11e0fb5858d1_errorword">
    <vt:lpwstr>Celtissinensis</vt:lpwstr>
  </property>
  <property fmtid="{D5CDD505-2E9C-101B-9397-08002B2CF9AE}" pid="1208" name="hmcheck_result_bbc03942a56b45ff9a2a11e0fb5858d1_correctwords">
    <vt:lpwstr>["&lt;有错&gt;"]</vt:lpwstr>
  </property>
  <property fmtid="{D5CDD505-2E9C-101B-9397-08002B2CF9AE}" pid="1209" name="hmcheck_result_bbc03942a56b45ff9a2a11e0fb5858d1_level">
    <vt:i4>1</vt:i4>
  </property>
  <property fmtid="{D5CDD505-2E9C-101B-9397-08002B2CF9AE}" pid="1210" name="hmcheck_result_bbc03942a56b45ff9a2a11e0fb5858d1_type">
    <vt:i4>6</vt:i4>
  </property>
  <property fmtid="{D5CDD505-2E9C-101B-9397-08002B2CF9AE}" pid="1211" name="hmcheck_result_bbc03942a56b45ff9a2a11e0fb5858d1_modifiedtype">
    <vt:i4>0</vt:i4>
  </property>
  <property fmtid="{D5CDD505-2E9C-101B-9397-08002B2CF9AE}" pid="1212" name="hmcheck_result_11d22768b559453f9447ab21808be835_errorword">
    <vt:lpwstr>Lantanacamara</vt:lpwstr>
  </property>
  <property fmtid="{D5CDD505-2E9C-101B-9397-08002B2CF9AE}" pid="1213" name="hmcheck_result_11d22768b559453f9447ab21808be835_correctwords">
    <vt:lpwstr>["&lt;有错&gt;"]</vt:lpwstr>
  </property>
  <property fmtid="{D5CDD505-2E9C-101B-9397-08002B2CF9AE}" pid="1214" name="hmcheck_result_11d22768b559453f9447ab21808be835_level">
    <vt:i4>1</vt:i4>
  </property>
  <property fmtid="{D5CDD505-2E9C-101B-9397-08002B2CF9AE}" pid="1215" name="hmcheck_result_11d22768b559453f9447ab21808be835_type">
    <vt:i4>6</vt:i4>
  </property>
  <property fmtid="{D5CDD505-2E9C-101B-9397-08002B2CF9AE}" pid="1216" name="hmcheck_result_11d22768b559453f9447ab21808be835_modifiedtype">
    <vt:i4>0</vt:i4>
  </property>
  <property fmtid="{D5CDD505-2E9C-101B-9397-08002B2CF9AE}" pid="1217" name="hmcheck_result_6f8833c383554cfb99e622ba0889a91b_errorword">
    <vt:lpwstr>Loropetalumchinense</vt:lpwstr>
  </property>
  <property fmtid="{D5CDD505-2E9C-101B-9397-08002B2CF9AE}" pid="1218" name="hmcheck_result_6f8833c383554cfb99e622ba0889a91b_correctwords">
    <vt:lpwstr>["aloropetalumchinense","bloropetalumchinense","eloropetalumchinense","iloropetalumchinense","lloropetalumchinense"]</vt:lpwstr>
  </property>
  <property fmtid="{D5CDD505-2E9C-101B-9397-08002B2CF9AE}" pid="1219" name="hmcheck_result_6f8833c383554cfb99e622ba0889a91b_level">
    <vt:i4>1</vt:i4>
  </property>
  <property fmtid="{D5CDD505-2E9C-101B-9397-08002B2CF9AE}" pid="1220" name="hmcheck_result_6f8833c383554cfb99e622ba0889a91b_type">
    <vt:i4>6</vt:i4>
  </property>
  <property fmtid="{D5CDD505-2E9C-101B-9397-08002B2CF9AE}" pid="1221" name="hmcheck_result_6f8833c383554cfb99e622ba0889a91b_modifiedtype">
    <vt:i4>0</vt:i4>
  </property>
  <property fmtid="{D5CDD505-2E9C-101B-9397-08002B2CF9AE}" pid="1222" name="hmcheck_result_59493a797a054db6bb0e2f5327168a2b_errorword">
    <vt:lpwstr>Trematomentosa</vt:lpwstr>
  </property>
  <property fmtid="{D5CDD505-2E9C-101B-9397-08002B2CF9AE}" pid="1223" name="hmcheck_result_59493a797a054db6bb0e2f5327168a2b_correctwords">
    <vt:lpwstr>["&lt;有错&gt;"]</vt:lpwstr>
  </property>
  <property fmtid="{D5CDD505-2E9C-101B-9397-08002B2CF9AE}" pid="1224" name="hmcheck_result_59493a797a054db6bb0e2f5327168a2b_level">
    <vt:i4>1</vt:i4>
  </property>
  <property fmtid="{D5CDD505-2E9C-101B-9397-08002B2CF9AE}" pid="1225" name="hmcheck_result_59493a797a054db6bb0e2f5327168a2b_type">
    <vt:i4>6</vt:i4>
  </property>
  <property fmtid="{D5CDD505-2E9C-101B-9397-08002B2CF9AE}" pid="1226" name="hmcheck_result_59493a797a054db6bb0e2f5327168a2b_modifiedtype">
    <vt:i4>0</vt:i4>
  </property>
  <property fmtid="{D5CDD505-2E9C-101B-9397-08002B2CF9AE}" pid="1227" name="hmcheck_result_bf88e0b1330c4ea5979df558d6ee381e_errorword">
    <vt:lpwstr>Zanthoxylumnitidum</vt:lpwstr>
  </property>
  <property fmtid="{D5CDD505-2E9C-101B-9397-08002B2CF9AE}" pid="1228" name="hmcheck_result_bf88e0b1330c4ea5979df558d6ee381e_correctwords">
    <vt:lpwstr>["&lt;有错&gt;"]</vt:lpwstr>
  </property>
  <property fmtid="{D5CDD505-2E9C-101B-9397-08002B2CF9AE}" pid="1229" name="hmcheck_result_bf88e0b1330c4ea5979df558d6ee381e_level">
    <vt:i4>1</vt:i4>
  </property>
  <property fmtid="{D5CDD505-2E9C-101B-9397-08002B2CF9AE}" pid="1230" name="hmcheck_result_bf88e0b1330c4ea5979df558d6ee381e_type">
    <vt:i4>6</vt:i4>
  </property>
  <property fmtid="{D5CDD505-2E9C-101B-9397-08002B2CF9AE}" pid="1231" name="hmcheck_result_bf88e0b1330c4ea5979df558d6ee381e_modifiedtype">
    <vt:i4>0</vt:i4>
  </property>
  <property fmtid="{D5CDD505-2E9C-101B-9397-08002B2CF9AE}" pid="1232" name="hmcheck_result_5a1b37acecce4c9489f294dae1cca00f_errorword">
    <vt:lpwstr>30-50%</vt:lpwstr>
  </property>
  <property fmtid="{D5CDD505-2E9C-101B-9397-08002B2CF9AE}" pid="1233" name="hmcheck_result_5a1b37acecce4c9489f294dae1cca00f_correctwords">
    <vt:lpwstr>["&lt;有错&gt;"]</vt:lpwstr>
  </property>
  <property fmtid="{D5CDD505-2E9C-101B-9397-08002B2CF9AE}" pid="1234" name="hmcheck_result_5a1b37acecce4c9489f294dae1cca00f_level">
    <vt:i4>1</vt:i4>
  </property>
  <property fmtid="{D5CDD505-2E9C-101B-9397-08002B2CF9AE}" pid="1235" name="hmcheck_result_5a1b37acecce4c9489f294dae1cca00f_type">
    <vt:i4>0</vt:i4>
  </property>
  <property fmtid="{D5CDD505-2E9C-101B-9397-08002B2CF9AE}" pid="1236" name="hmcheck_result_5a1b37acecce4c9489f294dae1cca00f_modifiedtype">
    <vt:i4>0</vt:i4>
  </property>
  <property fmtid="{D5CDD505-2E9C-101B-9397-08002B2CF9AE}" pid="1237" name="hmcheck_result_bf8189f62f75495fa74b1d7ad040fceb_errorword">
    <vt:lpwstr>Setariaviridis</vt:lpwstr>
  </property>
  <property fmtid="{D5CDD505-2E9C-101B-9397-08002B2CF9AE}" pid="1238" name="hmcheck_result_bf8189f62f75495fa74b1d7ad040fceb_correctwords">
    <vt:lpwstr>["&lt;有错&gt;"]</vt:lpwstr>
  </property>
  <property fmtid="{D5CDD505-2E9C-101B-9397-08002B2CF9AE}" pid="1239" name="hmcheck_result_bf8189f62f75495fa74b1d7ad040fceb_level">
    <vt:i4>1</vt:i4>
  </property>
  <property fmtid="{D5CDD505-2E9C-101B-9397-08002B2CF9AE}" pid="1240" name="hmcheck_result_bf8189f62f75495fa74b1d7ad040fceb_type">
    <vt:i4>6</vt:i4>
  </property>
  <property fmtid="{D5CDD505-2E9C-101B-9397-08002B2CF9AE}" pid="1241" name="hmcheck_result_bf8189f62f75495fa74b1d7ad040fceb_modifiedtype">
    <vt:i4>0</vt:i4>
  </property>
  <property fmtid="{D5CDD505-2E9C-101B-9397-08002B2CF9AE}" pid="1242" name="hmcheck_result_0e613a09c13a4ee8bd8de50607ec958b_errorword">
    <vt:lpwstr>Cynodondactylon</vt:lpwstr>
  </property>
  <property fmtid="{D5CDD505-2E9C-101B-9397-08002B2CF9AE}" pid="1243" name="hmcheck_result_0e613a09c13a4ee8bd8de50607ec958b_correctwords">
    <vt:lpwstr>["&lt;有错&gt;"]</vt:lpwstr>
  </property>
  <property fmtid="{D5CDD505-2E9C-101B-9397-08002B2CF9AE}" pid="1244" name="hmcheck_result_0e613a09c13a4ee8bd8de50607ec958b_level">
    <vt:i4>1</vt:i4>
  </property>
  <property fmtid="{D5CDD505-2E9C-101B-9397-08002B2CF9AE}" pid="1245" name="hmcheck_result_0e613a09c13a4ee8bd8de50607ec958b_type">
    <vt:i4>6</vt:i4>
  </property>
  <property fmtid="{D5CDD505-2E9C-101B-9397-08002B2CF9AE}" pid="1246" name="hmcheck_result_0e613a09c13a4ee8bd8de50607ec958b_modifiedtype">
    <vt:i4>0</vt:i4>
  </property>
  <property fmtid="{D5CDD505-2E9C-101B-9397-08002B2CF9AE}" pid="1247" name="hmcheck_result_f653a88fc7de4f7cbbedf607461c77a4_errorword">
    <vt:lpwstr>Imperatacylindrica</vt:lpwstr>
  </property>
  <property fmtid="{D5CDD505-2E9C-101B-9397-08002B2CF9AE}" pid="1248" name="hmcheck_result_f653a88fc7de4f7cbbedf607461c77a4_correctwords">
    <vt:lpwstr>["&lt;有错&gt;"]</vt:lpwstr>
  </property>
  <property fmtid="{D5CDD505-2E9C-101B-9397-08002B2CF9AE}" pid="1249" name="hmcheck_result_f653a88fc7de4f7cbbedf607461c77a4_level">
    <vt:i4>1</vt:i4>
  </property>
  <property fmtid="{D5CDD505-2E9C-101B-9397-08002B2CF9AE}" pid="1250" name="hmcheck_result_f653a88fc7de4f7cbbedf607461c77a4_type">
    <vt:i4>6</vt:i4>
  </property>
  <property fmtid="{D5CDD505-2E9C-101B-9397-08002B2CF9AE}" pid="1251" name="hmcheck_result_f653a88fc7de4f7cbbedf607461c77a4_modifiedtype">
    <vt:i4>0</vt:i4>
  </property>
  <property fmtid="{D5CDD505-2E9C-101B-9397-08002B2CF9AE}" pid="1252" name="hmcheck_result_1487ef142d50482daa372ef3905aa902_errorword">
    <vt:lpwstr>Praxelisclematidea</vt:lpwstr>
  </property>
  <property fmtid="{D5CDD505-2E9C-101B-9397-08002B2CF9AE}" pid="1253" name="hmcheck_result_1487ef142d50482daa372ef3905aa902_correctwords">
    <vt:lpwstr>["&lt;有错&gt;"]</vt:lpwstr>
  </property>
  <property fmtid="{D5CDD505-2E9C-101B-9397-08002B2CF9AE}" pid="1254" name="hmcheck_result_1487ef142d50482daa372ef3905aa902_level">
    <vt:i4>1</vt:i4>
  </property>
  <property fmtid="{D5CDD505-2E9C-101B-9397-08002B2CF9AE}" pid="1255" name="hmcheck_result_1487ef142d50482daa372ef3905aa902_type">
    <vt:i4>6</vt:i4>
  </property>
  <property fmtid="{D5CDD505-2E9C-101B-9397-08002B2CF9AE}" pid="1256" name="hmcheck_result_1487ef142d50482daa372ef3905aa902_modifiedtype">
    <vt:i4>0</vt:i4>
  </property>
  <property fmtid="{D5CDD505-2E9C-101B-9397-08002B2CF9AE}" pid="1257" name="hmcheck_result_d4284cac63984282921d8bd6ddb086ae_errorword">
    <vt:lpwstr>Bidenspilosa</vt:lpwstr>
  </property>
  <property fmtid="{D5CDD505-2E9C-101B-9397-08002B2CF9AE}" pid="1258" name="hmcheck_result_d4284cac63984282921d8bd6ddb086ae_correctwords">
    <vt:lpwstr>["&lt;有错&gt;"]</vt:lpwstr>
  </property>
  <property fmtid="{D5CDD505-2E9C-101B-9397-08002B2CF9AE}" pid="1259" name="hmcheck_result_d4284cac63984282921d8bd6ddb086ae_level">
    <vt:i4>1</vt:i4>
  </property>
  <property fmtid="{D5CDD505-2E9C-101B-9397-08002B2CF9AE}" pid="1260" name="hmcheck_result_d4284cac63984282921d8bd6ddb086ae_type">
    <vt:i4>6</vt:i4>
  </property>
  <property fmtid="{D5CDD505-2E9C-101B-9397-08002B2CF9AE}" pid="1261" name="hmcheck_result_d4284cac63984282921d8bd6ddb086ae_modifiedtype">
    <vt:i4>0</vt:i4>
  </property>
  <property fmtid="{D5CDD505-2E9C-101B-9397-08002B2CF9AE}" pid="1262" name="hmcheck_result_44351a868d154af59256bc3cd8fdd3d5_errorword">
    <vt:lpwstr>Lophatherumgracile</vt:lpwstr>
  </property>
  <property fmtid="{D5CDD505-2E9C-101B-9397-08002B2CF9AE}" pid="1263" name="hmcheck_result_44351a868d154af59256bc3cd8fdd3d5_correctwords">
    <vt:lpwstr>["&lt;有错&gt;"]</vt:lpwstr>
  </property>
  <property fmtid="{D5CDD505-2E9C-101B-9397-08002B2CF9AE}" pid="1264" name="hmcheck_result_44351a868d154af59256bc3cd8fdd3d5_level">
    <vt:i4>1</vt:i4>
  </property>
  <property fmtid="{D5CDD505-2E9C-101B-9397-08002B2CF9AE}" pid="1265" name="hmcheck_result_44351a868d154af59256bc3cd8fdd3d5_type">
    <vt:i4>6</vt:i4>
  </property>
  <property fmtid="{D5CDD505-2E9C-101B-9397-08002B2CF9AE}" pid="1266" name="hmcheck_result_44351a868d154af59256bc3cd8fdd3d5_modifiedtype">
    <vt:i4>0</vt:i4>
  </property>
  <property fmtid="{D5CDD505-2E9C-101B-9397-08002B2CF9AE}" pid="1267" name="hmcheck_result_df750b1cfba44982a8e83df998f6d658_errorword">
    <vt:lpwstr>Bidensalba</vt:lpwstr>
  </property>
  <property fmtid="{D5CDD505-2E9C-101B-9397-08002B2CF9AE}" pid="1268" name="hmcheck_result_df750b1cfba44982a8e83df998f6d658_correctwords">
    <vt:lpwstr>["&lt;有错&gt;"]</vt:lpwstr>
  </property>
  <property fmtid="{D5CDD505-2E9C-101B-9397-08002B2CF9AE}" pid="1269" name="hmcheck_result_df750b1cfba44982a8e83df998f6d658_level">
    <vt:i4>1</vt:i4>
  </property>
  <property fmtid="{D5CDD505-2E9C-101B-9397-08002B2CF9AE}" pid="1270" name="hmcheck_result_df750b1cfba44982a8e83df998f6d658_type">
    <vt:i4>6</vt:i4>
  </property>
  <property fmtid="{D5CDD505-2E9C-101B-9397-08002B2CF9AE}" pid="1271" name="hmcheck_result_df750b1cfba44982a8e83df998f6d658_modifiedtype">
    <vt:i4>0</vt:i4>
  </property>
  <property fmtid="{D5CDD505-2E9C-101B-9397-08002B2CF9AE}" pid="1272" name="hmcheck_result_aa762f0233cd45f082aed03fe2e12ea9_errorword">
    <vt:lpwstr>遮荫</vt:lpwstr>
  </property>
  <property fmtid="{D5CDD505-2E9C-101B-9397-08002B2CF9AE}" pid="1273" name="hmcheck_result_aa762f0233cd45f082aed03fe2e12ea9_correctwords">
    <vt:lpwstr>["遮阴"]</vt:lpwstr>
  </property>
  <property fmtid="{D5CDD505-2E9C-101B-9397-08002B2CF9AE}" pid="1274" name="hmcheck_result_aa762f0233cd45f082aed03fe2e12ea9_level">
    <vt:i4>1</vt:i4>
  </property>
  <property fmtid="{D5CDD505-2E9C-101B-9397-08002B2CF9AE}" pid="1275" name="hmcheck_result_aa762f0233cd45f082aed03fe2e12ea9_type">
    <vt:i4>0</vt:i4>
  </property>
  <property fmtid="{D5CDD505-2E9C-101B-9397-08002B2CF9AE}" pid="1276" name="hmcheck_result_aa762f0233cd45f082aed03fe2e12ea9_modifiedtype">
    <vt:i4>0</vt:i4>
  </property>
  <property fmtid="{D5CDD505-2E9C-101B-9397-08002B2CF9AE}" pid="1277" name="hmcheck_result_1cc8478ac6a84c6f9c3d8ced6496f2e0_errorword">
    <vt:lpwstr>10~30%</vt:lpwstr>
  </property>
  <property fmtid="{D5CDD505-2E9C-101B-9397-08002B2CF9AE}" pid="1278" name="hmcheck_result_1cc8478ac6a84c6f9c3d8ced6496f2e0_correctwords">
    <vt:lpwstr>["10%~30%"]</vt:lpwstr>
  </property>
  <property fmtid="{D5CDD505-2E9C-101B-9397-08002B2CF9AE}" pid="1279" name="hmcheck_result_1cc8478ac6a84c6f9c3d8ced6496f2e0_level">
    <vt:i4>1</vt:i4>
  </property>
  <property fmtid="{D5CDD505-2E9C-101B-9397-08002B2CF9AE}" pid="1280" name="hmcheck_result_1cc8478ac6a84c6f9c3d8ced6496f2e0_type">
    <vt:i4>0</vt:i4>
  </property>
  <property fmtid="{D5CDD505-2E9C-101B-9397-08002B2CF9AE}" pid="1281" name="hmcheck_result_1cc8478ac6a84c6f9c3d8ced6496f2e0_modifiedtype">
    <vt:i4>0</vt:i4>
  </property>
  <property fmtid="{D5CDD505-2E9C-101B-9397-08002B2CF9AE}" pid="1282" name="hmcheck_result_f8a3c4fbf30740cc93a8d76c067ff148_errorword">
    <vt:lpwstr>glaber</vt:lpwstr>
  </property>
  <property fmtid="{D5CDD505-2E9C-101B-9397-08002B2CF9AE}" pid="1283" name="hmcheck_result_f8a3c4fbf30740cc93a8d76c067ff148_correctwords">
    <vt:lpwstr>["&lt;有错&gt;"]</vt:lpwstr>
  </property>
  <property fmtid="{D5CDD505-2E9C-101B-9397-08002B2CF9AE}" pid="1284" name="hmcheck_result_f8a3c4fbf30740cc93a8d76c067ff148_level">
    <vt:i4>1</vt:i4>
  </property>
  <property fmtid="{D5CDD505-2E9C-101B-9397-08002B2CF9AE}" pid="1285" name="hmcheck_result_f8a3c4fbf30740cc93a8d76c067ff148_type">
    <vt:i4>6</vt:i4>
  </property>
  <property fmtid="{D5CDD505-2E9C-101B-9397-08002B2CF9AE}" pid="1286" name="hmcheck_result_f8a3c4fbf30740cc93a8d76c067ff148_modifiedtype">
    <vt:i4>0</vt:i4>
  </property>
  <property fmtid="{D5CDD505-2E9C-101B-9397-08002B2CF9AE}" pid="1287" name="hmcheck_result_84a34411d7074f92a9454b2858d2d8c4_errorword">
    <vt:lpwstr>Melastoma</vt:lpwstr>
  </property>
  <property fmtid="{D5CDD505-2E9C-101B-9397-08002B2CF9AE}" pid="1288" name="hmcheck_result_84a34411d7074f92a9454b2858d2d8c4_correctwords">
    <vt:lpwstr>["metastoma","elastoma"]</vt:lpwstr>
  </property>
  <property fmtid="{D5CDD505-2E9C-101B-9397-08002B2CF9AE}" pid="1289" name="hmcheck_result_84a34411d7074f92a9454b2858d2d8c4_level">
    <vt:i4>1</vt:i4>
  </property>
  <property fmtid="{D5CDD505-2E9C-101B-9397-08002B2CF9AE}" pid="1290" name="hmcheck_result_84a34411d7074f92a9454b2858d2d8c4_type">
    <vt:i4>6</vt:i4>
  </property>
  <property fmtid="{D5CDD505-2E9C-101B-9397-08002B2CF9AE}" pid="1291" name="hmcheck_result_84a34411d7074f92a9454b2858d2d8c4_modifiedtype">
    <vt:i4>0</vt:i4>
  </property>
  <property fmtid="{D5CDD505-2E9C-101B-9397-08002B2CF9AE}" pid="1292" name="hmcheck_result_0b0dcdd9f67b484fa78025b4ea9d29cd_errorword">
    <vt:lpwstr>floridulus</vt:lpwstr>
  </property>
  <property fmtid="{D5CDD505-2E9C-101B-9397-08002B2CF9AE}" pid="1293" name="hmcheck_result_0b0dcdd9f67b484fa78025b4ea9d29cd_correctwords">
    <vt:lpwstr>["&lt;有错&gt;"]</vt:lpwstr>
  </property>
  <property fmtid="{D5CDD505-2E9C-101B-9397-08002B2CF9AE}" pid="1294" name="hmcheck_result_0b0dcdd9f67b484fa78025b4ea9d29cd_level">
    <vt:i4>1</vt:i4>
  </property>
  <property fmtid="{D5CDD505-2E9C-101B-9397-08002B2CF9AE}" pid="1295" name="hmcheck_result_0b0dcdd9f67b484fa78025b4ea9d29cd_type">
    <vt:i4>6</vt:i4>
  </property>
  <property fmtid="{D5CDD505-2E9C-101B-9397-08002B2CF9AE}" pid="1296" name="hmcheck_result_0b0dcdd9f67b484fa78025b4ea9d29cd_modifiedtype">
    <vt:i4>0</vt:i4>
  </property>
  <property fmtid="{D5CDD505-2E9C-101B-9397-08002B2CF9AE}" pid="1297" name="hmcheck_result_697906a1e738408d9f898262b577efaa_errorword">
    <vt:lpwstr>.</vt:lpwstr>
  </property>
  <property fmtid="{D5CDD505-2E9C-101B-9397-08002B2CF9AE}" pid="1298" name="hmcheck_result_697906a1e738408d9f898262b577efaa_correctwords">
    <vt:lpwstr>[]</vt:lpwstr>
  </property>
  <property fmtid="{D5CDD505-2E9C-101B-9397-08002B2CF9AE}" pid="1299" name="hmcheck_result_697906a1e738408d9f898262b577efaa_errordescription">
    <vt:lpwstr>括号内行文末尾一般不加标点</vt:lpwstr>
  </property>
  <property fmtid="{D5CDD505-2E9C-101B-9397-08002B2CF9AE}" pid="1300" name="hmcheck_result_697906a1e738408d9f898262b577efaa_level">
    <vt:i4>1</vt:i4>
  </property>
  <property fmtid="{D5CDD505-2E9C-101B-9397-08002B2CF9AE}" pid="1301" name="hmcheck_result_697906a1e738408d9f898262b577efaa_type">
    <vt:i4>1</vt:i4>
  </property>
  <property fmtid="{D5CDD505-2E9C-101B-9397-08002B2CF9AE}" pid="1302" name="hmcheck_result_697906a1e738408d9f898262b577efaa_modifiedtype">
    <vt:i4>0</vt:i4>
  </property>
  <property fmtid="{D5CDD505-2E9C-101B-9397-08002B2CF9AE}" pid="1303" name="hmcheck_result_9a158a1c966745c8ad9503ac84aae178_errorword">
    <vt:lpwstr>-</vt:lpwstr>
  </property>
  <property fmtid="{D5CDD505-2E9C-101B-9397-08002B2CF9AE}" pid="1304" name="hmcheck_result_9a158a1c966745c8ad9503ac84aae178_correctwords">
    <vt:lpwstr>["～"]</vt:lpwstr>
  </property>
  <property fmtid="{D5CDD505-2E9C-101B-9397-08002B2CF9AE}" pid="1305" name="hmcheck_result_9a158a1c966745c8ad9503ac84aae178_errordescription">
    <vt:lpwstr>连接号使用不恰当</vt:lpwstr>
  </property>
  <property fmtid="{D5CDD505-2E9C-101B-9397-08002B2CF9AE}" pid="1306" name="hmcheck_result_9a158a1c966745c8ad9503ac84aae178_level">
    <vt:i4>1</vt:i4>
  </property>
  <property fmtid="{D5CDD505-2E9C-101B-9397-08002B2CF9AE}" pid="1307" name="hmcheck_result_9a158a1c966745c8ad9503ac84aae178_type">
    <vt:i4>9</vt:i4>
  </property>
  <property fmtid="{D5CDD505-2E9C-101B-9397-08002B2CF9AE}" pid="1308" name="hmcheck_result_9a158a1c966745c8ad9503ac84aae178_modifiedtype">
    <vt:i4>0</vt:i4>
  </property>
  <property fmtid="{D5CDD505-2E9C-101B-9397-08002B2CF9AE}" pid="1309" name="hmcheck_result_b1511405e53d4c87aa8c43d92abb013b_errorword">
    <vt:lpwstr>seguinii</vt:lpwstr>
  </property>
  <property fmtid="{D5CDD505-2E9C-101B-9397-08002B2CF9AE}" pid="1310" name="hmcheck_result_b1511405e53d4c87aa8c43d92abb013b_correctwords">
    <vt:lpwstr>["&lt;有错&gt;"]</vt:lpwstr>
  </property>
  <property fmtid="{D5CDD505-2E9C-101B-9397-08002B2CF9AE}" pid="1311" name="hmcheck_result_b1511405e53d4c87aa8c43d92abb013b_level">
    <vt:i4>1</vt:i4>
  </property>
  <property fmtid="{D5CDD505-2E9C-101B-9397-08002B2CF9AE}" pid="1312" name="hmcheck_result_b1511405e53d4c87aa8c43d92abb013b_type">
    <vt:i4>6</vt:i4>
  </property>
  <property fmtid="{D5CDD505-2E9C-101B-9397-08002B2CF9AE}" pid="1313" name="hmcheck_result_b1511405e53d4c87aa8c43d92abb013b_modifiedtype">
    <vt:i4>0</vt:i4>
  </property>
  <property fmtid="{D5CDD505-2E9C-101B-9397-08002B2CF9AE}" pid="1314" name="hmcheck_result_a0c1d3b8682c4a4992a7ef31e8b32bb8_errorword">
    <vt:lpwstr>heptaphylla</vt:lpwstr>
  </property>
  <property fmtid="{D5CDD505-2E9C-101B-9397-08002B2CF9AE}" pid="1315" name="hmcheck_result_a0c1d3b8682c4a4992a7ef31e8b32bb8_correctwords">
    <vt:lpwstr>["&lt;有错&gt;"]</vt:lpwstr>
  </property>
  <property fmtid="{D5CDD505-2E9C-101B-9397-08002B2CF9AE}" pid="1316" name="hmcheck_result_a0c1d3b8682c4a4992a7ef31e8b32bb8_level">
    <vt:i4>1</vt:i4>
  </property>
  <property fmtid="{D5CDD505-2E9C-101B-9397-08002B2CF9AE}" pid="1317" name="hmcheck_result_a0c1d3b8682c4a4992a7ef31e8b32bb8_type">
    <vt:i4>6</vt:i4>
  </property>
  <property fmtid="{D5CDD505-2E9C-101B-9397-08002B2CF9AE}" pid="1318" name="hmcheck_result_a0c1d3b8682c4a4992a7ef31e8b32bb8_modifiedtype">
    <vt:i4>0</vt:i4>
  </property>
  <property fmtid="{D5CDD505-2E9C-101B-9397-08002B2CF9AE}" pid="1319" name="hmcheck_result_185ab423e17442478e19ca521625e2ac_errorword">
    <vt:lpwstr>floridulus</vt:lpwstr>
  </property>
  <property fmtid="{D5CDD505-2E9C-101B-9397-08002B2CF9AE}" pid="1320" name="hmcheck_result_185ab423e17442478e19ca521625e2ac_correctwords">
    <vt:lpwstr>["&lt;有错&gt;"]</vt:lpwstr>
  </property>
  <property fmtid="{D5CDD505-2E9C-101B-9397-08002B2CF9AE}" pid="1321" name="hmcheck_result_185ab423e17442478e19ca521625e2ac_level">
    <vt:i4>1</vt:i4>
  </property>
  <property fmtid="{D5CDD505-2E9C-101B-9397-08002B2CF9AE}" pid="1322" name="hmcheck_result_185ab423e17442478e19ca521625e2ac_type">
    <vt:i4>6</vt:i4>
  </property>
  <property fmtid="{D5CDD505-2E9C-101B-9397-08002B2CF9AE}" pid="1323" name="hmcheck_result_185ab423e17442478e19ca521625e2ac_modifiedtype">
    <vt:i4>0</vt:i4>
  </property>
  <property fmtid="{D5CDD505-2E9C-101B-9397-08002B2CF9AE}" pid="1324" name="hmcheck_result_ebe4fd997ffd485782b910472492bcad_errorword">
    <vt:lpwstr>-</vt:lpwstr>
  </property>
  <property fmtid="{D5CDD505-2E9C-101B-9397-08002B2CF9AE}" pid="1325" name="hmcheck_result_ebe4fd997ffd485782b910472492bcad_correctwords">
    <vt:lpwstr>["～"]</vt:lpwstr>
  </property>
  <property fmtid="{D5CDD505-2E9C-101B-9397-08002B2CF9AE}" pid="1326" name="hmcheck_result_ebe4fd997ffd485782b910472492bcad_errordescription">
    <vt:lpwstr>连接号使用不恰当</vt:lpwstr>
  </property>
  <property fmtid="{D5CDD505-2E9C-101B-9397-08002B2CF9AE}" pid="1327" name="hmcheck_result_ebe4fd997ffd485782b910472492bcad_level">
    <vt:i4>1</vt:i4>
  </property>
  <property fmtid="{D5CDD505-2E9C-101B-9397-08002B2CF9AE}" pid="1328" name="hmcheck_result_ebe4fd997ffd485782b910472492bcad_type">
    <vt:i4>9</vt:i4>
  </property>
  <property fmtid="{D5CDD505-2E9C-101B-9397-08002B2CF9AE}" pid="1329" name="hmcheck_result_ebe4fd997ffd485782b910472492bcad_modifiedtype">
    <vt:i4>0</vt:i4>
  </property>
  <property fmtid="{D5CDD505-2E9C-101B-9397-08002B2CF9AE}" pid="1330" name="hmcheck_result_5b3e02ca5933417087a20106b3799568_errorword">
    <vt:lpwstr>遮荫</vt:lpwstr>
  </property>
  <property fmtid="{D5CDD505-2E9C-101B-9397-08002B2CF9AE}" pid="1331" name="hmcheck_result_5b3e02ca5933417087a20106b3799568_correctwords">
    <vt:lpwstr>["遮阴"]</vt:lpwstr>
  </property>
  <property fmtid="{D5CDD505-2E9C-101B-9397-08002B2CF9AE}" pid="1332" name="hmcheck_result_5b3e02ca5933417087a20106b3799568_level">
    <vt:i4>1</vt:i4>
  </property>
  <property fmtid="{D5CDD505-2E9C-101B-9397-08002B2CF9AE}" pid="1333" name="hmcheck_result_5b3e02ca5933417087a20106b3799568_type">
    <vt:i4>0</vt:i4>
  </property>
  <property fmtid="{D5CDD505-2E9C-101B-9397-08002B2CF9AE}" pid="1334" name="hmcheck_result_5b3e02ca5933417087a20106b3799568_modifiedtype">
    <vt:i4>0</vt:i4>
  </property>
  <property fmtid="{D5CDD505-2E9C-101B-9397-08002B2CF9AE}" pid="1335" name="hmcheck_result_df71f076fb304669873a51547186ba2a_errorword">
    <vt:lpwstr>农田耕地</vt:lpwstr>
  </property>
  <property fmtid="{D5CDD505-2E9C-101B-9397-08002B2CF9AE}" pid="1336" name="hmcheck_result_df71f076fb304669873a51547186ba2a_correctwords">
    <vt:lpwstr>["农田"]</vt:lpwstr>
  </property>
  <property fmtid="{D5CDD505-2E9C-101B-9397-08002B2CF9AE}" pid="1337" name="hmcheck_result_df71f076fb304669873a51547186ba2a_level">
    <vt:i4>1</vt:i4>
  </property>
  <property fmtid="{D5CDD505-2E9C-101B-9397-08002B2CF9AE}" pid="1338" name="hmcheck_result_df71f076fb304669873a51547186ba2a_type">
    <vt:i4>5</vt:i4>
  </property>
  <property fmtid="{D5CDD505-2E9C-101B-9397-08002B2CF9AE}" pid="1339" name="hmcheck_result_df71f076fb304669873a51547186ba2a_modifiedtype">
    <vt:i4>0</vt:i4>
  </property>
  <property fmtid="{D5CDD505-2E9C-101B-9397-08002B2CF9AE}" pid="1340" name="hmcheck_result_70536fda17074e02866100db1e9d6ee5_errorword">
    <vt:lpwstr>拌合站</vt:lpwstr>
  </property>
  <property fmtid="{D5CDD505-2E9C-101B-9397-08002B2CF9AE}" pid="1341" name="hmcheck_result_70536fda17074e02866100db1e9d6ee5_correctwords">
    <vt:lpwstr>["拌和站"]</vt:lpwstr>
  </property>
  <property fmtid="{D5CDD505-2E9C-101B-9397-08002B2CF9AE}" pid="1342" name="hmcheck_result_70536fda17074e02866100db1e9d6ee5_level">
    <vt:i4>1</vt:i4>
  </property>
  <property fmtid="{D5CDD505-2E9C-101B-9397-08002B2CF9AE}" pid="1343" name="hmcheck_result_70536fda17074e02866100db1e9d6ee5_type">
    <vt:i4>5</vt:i4>
  </property>
  <property fmtid="{D5CDD505-2E9C-101B-9397-08002B2CF9AE}" pid="1344" name="hmcheck_result_70536fda17074e02866100db1e9d6ee5_modifiedtype">
    <vt:i4>0</vt:i4>
  </property>
  <property fmtid="{D5CDD505-2E9C-101B-9397-08002B2CF9AE}" pid="1345" name="hmcheck_result_485f2e740e3c43d98476f1242205efde_errorword">
    <vt:lpwstr>中应高度重视</vt:lpwstr>
  </property>
  <property fmtid="{D5CDD505-2E9C-101B-9397-08002B2CF9AE}" pid="1346" name="hmcheck_result_485f2e740e3c43d98476f1242205efde_correctwords">
    <vt:lpwstr>["中方高度重视"]</vt:lpwstr>
  </property>
  <property fmtid="{D5CDD505-2E9C-101B-9397-08002B2CF9AE}" pid="1347" name="hmcheck_result_485f2e740e3c43d98476f1242205efde_errordescription">
    <vt:lpwstr>词汇“中方高度重视”在特定场景下为固定表述形式，请确认此处的“中应高度重视”是否存在不当。</vt:lpwstr>
  </property>
  <property fmtid="{D5CDD505-2E9C-101B-9397-08002B2CF9AE}" pid="1348" name="hmcheck_result_485f2e740e3c43d98476f1242205efde_level">
    <vt:i4>1</vt:i4>
  </property>
  <property fmtid="{D5CDD505-2E9C-101B-9397-08002B2CF9AE}" pid="1349" name="hmcheck_result_485f2e740e3c43d98476f1242205efde_type">
    <vt:i4>11</vt:i4>
  </property>
  <property fmtid="{D5CDD505-2E9C-101B-9397-08002B2CF9AE}" pid="1350" name="hmcheck_result_485f2e740e3c43d98476f1242205efde_modifiedtype">
    <vt:i4>0</vt:i4>
  </property>
  <property fmtid="{D5CDD505-2E9C-101B-9397-08002B2CF9AE}" pid="1351" name="hmcheck_result_e8636030401a4a8eb8f1701dcb6592c5_errorword">
    <vt:lpwstr>的</vt:lpwstr>
  </property>
  <property fmtid="{D5CDD505-2E9C-101B-9397-08002B2CF9AE}" pid="1352" name="hmcheck_result_e8636030401a4a8eb8f1701dcb6592c5_correctwords">
    <vt:lpwstr>[""]</vt:lpwstr>
  </property>
  <property fmtid="{D5CDD505-2E9C-101B-9397-08002B2CF9AE}" pid="1353" name="hmcheck_result_e8636030401a4a8eb8f1701dcb6592c5_level">
    <vt:i4>1</vt:i4>
  </property>
  <property fmtid="{D5CDD505-2E9C-101B-9397-08002B2CF9AE}" pid="1354" name="hmcheck_result_e8636030401a4a8eb8f1701dcb6592c5_type">
    <vt:i4>0</vt:i4>
  </property>
  <property fmtid="{D5CDD505-2E9C-101B-9397-08002B2CF9AE}" pid="1355" name="hmcheck_result_e8636030401a4a8eb8f1701dcb6592c5_modifiedtype">
    <vt:i4>0</vt:i4>
  </property>
  <property fmtid="{D5CDD505-2E9C-101B-9397-08002B2CF9AE}" pid="1356" name="hmcheck_result_f475fc46045748c1b724c6ea35c6dda2_errorword">
    <vt:lpwstr>树林</vt:lpwstr>
  </property>
  <property fmtid="{D5CDD505-2E9C-101B-9397-08002B2CF9AE}" pid="1357" name="hmcheck_result_f475fc46045748c1b724c6ea35c6dda2_correctwords">
    <vt:lpwstr>["树"]</vt:lpwstr>
  </property>
  <property fmtid="{D5CDD505-2E9C-101B-9397-08002B2CF9AE}" pid="1358" name="hmcheck_result_f475fc46045748c1b724c6ea35c6dda2_level">
    <vt:i4>1</vt:i4>
  </property>
  <property fmtid="{D5CDD505-2E9C-101B-9397-08002B2CF9AE}" pid="1359" name="hmcheck_result_f475fc46045748c1b724c6ea35c6dda2_type">
    <vt:i4>0</vt:i4>
  </property>
  <property fmtid="{D5CDD505-2E9C-101B-9397-08002B2CF9AE}" pid="1360" name="hmcheck_result_f475fc46045748c1b724c6ea35c6dda2_modifiedtype">
    <vt:i4>0</vt:i4>
  </property>
  <property fmtid="{D5CDD505-2E9C-101B-9397-08002B2CF9AE}" pid="1361" name="hmcheck_result_17ea11c9d8ae488a9258eafb8ce21dbc_errorword">
    <vt:lpwstr>期</vt:lpwstr>
  </property>
  <property fmtid="{D5CDD505-2E9C-101B-9397-08002B2CF9AE}" pid="1362" name="hmcheck_result_17ea11c9d8ae488a9258eafb8ce21dbc_correctwords">
    <vt:lpwstr>["期间"]</vt:lpwstr>
  </property>
  <property fmtid="{D5CDD505-2E9C-101B-9397-08002B2CF9AE}" pid="1363" name="hmcheck_result_17ea11c9d8ae488a9258eafb8ce21dbc_errordescription">
    <vt:lpwstr>〈名〉某个时期里面：农忙～｜春节～｜抗战～。</vt:lpwstr>
  </property>
  <property fmtid="{D5CDD505-2E9C-101B-9397-08002B2CF9AE}" pid="1364" name="hmcheck_result_17ea11c9d8ae488a9258eafb8ce21dbc_level">
    <vt:i4>1</vt:i4>
  </property>
  <property fmtid="{D5CDD505-2E9C-101B-9397-08002B2CF9AE}" pid="1365" name="hmcheck_result_17ea11c9d8ae488a9258eafb8ce21dbc_type">
    <vt:i4>0</vt:i4>
  </property>
  <property fmtid="{D5CDD505-2E9C-101B-9397-08002B2CF9AE}" pid="1366" name="hmcheck_result_17ea11c9d8ae488a9258eafb8ce21dbc_modifiedtype">
    <vt:i4>0</vt:i4>
  </property>
  <property fmtid="{D5CDD505-2E9C-101B-9397-08002B2CF9AE}" pid="1367" name="hmcheck_result_c3546bd4b0d64cacbc5139ed2f550c5c_errorword">
    <vt:lpwstr>，皆</vt:lpwstr>
  </property>
  <property fmtid="{D5CDD505-2E9C-101B-9397-08002B2CF9AE}" pid="1368" name="hmcheck_result_c3546bd4b0d64cacbc5139ed2f550c5c_correctwords">
    <vt:lpwstr>["，"]</vt:lpwstr>
  </property>
  <property fmtid="{D5CDD505-2E9C-101B-9397-08002B2CF9AE}" pid="1369" name="hmcheck_result_c3546bd4b0d64cacbc5139ed2f550c5c_level">
    <vt:i4>1</vt:i4>
  </property>
  <property fmtid="{D5CDD505-2E9C-101B-9397-08002B2CF9AE}" pid="1370" name="hmcheck_result_c3546bd4b0d64cacbc5139ed2f550c5c_type">
    <vt:i4>0</vt:i4>
  </property>
  <property fmtid="{D5CDD505-2E9C-101B-9397-08002B2CF9AE}" pid="1371" name="hmcheck_result_c3546bd4b0d64cacbc5139ed2f550c5c_modifiedtype">
    <vt:i4>0</vt:i4>
  </property>
  <property fmtid="{D5CDD505-2E9C-101B-9397-08002B2CF9AE}" pid="1372" name="hmcheck_result_ecccfc01b84446f3a59c14b0fad7d948_errorword">
    <vt:lpwstr>水型</vt:lpwstr>
  </property>
  <property fmtid="{D5CDD505-2E9C-101B-9397-08002B2CF9AE}" pid="1373" name="hmcheck_result_ecccfc01b84446f3a59c14b0fad7d948_correctwords">
    <vt:lpwstr>["水性"]</vt:lpwstr>
  </property>
  <property fmtid="{D5CDD505-2E9C-101B-9397-08002B2CF9AE}" pid="1374" name="hmcheck_result_ecccfc01b84446f3a59c14b0fad7d948_level">
    <vt:i4>1</vt:i4>
  </property>
  <property fmtid="{D5CDD505-2E9C-101B-9397-08002B2CF9AE}" pid="1375" name="hmcheck_result_ecccfc01b84446f3a59c14b0fad7d948_type">
    <vt:i4>0</vt:i4>
  </property>
  <property fmtid="{D5CDD505-2E9C-101B-9397-08002B2CF9AE}" pid="1376" name="hmcheck_result_ecccfc01b84446f3a59c14b0fad7d948_modifiedtype">
    <vt:i4>0</vt:i4>
  </property>
  <property fmtid="{D5CDD505-2E9C-101B-9397-08002B2CF9AE}" pid="1377" name="hmcheck_result_3a3a31fff0e14d82ab1736e3f603d764_errorword">
    <vt:lpwstr>拱型</vt:lpwstr>
  </property>
  <property fmtid="{D5CDD505-2E9C-101B-9397-08002B2CF9AE}" pid="1378" name="hmcheck_result_3a3a31fff0e14d82ab1736e3f603d764_correctwords">
    <vt:lpwstr>["拱形"]</vt:lpwstr>
  </property>
  <property fmtid="{D5CDD505-2E9C-101B-9397-08002B2CF9AE}" pid="1379" name="hmcheck_result_3a3a31fff0e14d82ab1736e3f603d764_level">
    <vt:i4>1</vt:i4>
  </property>
  <property fmtid="{D5CDD505-2E9C-101B-9397-08002B2CF9AE}" pid="1380" name="hmcheck_result_3a3a31fff0e14d82ab1736e3f603d764_type">
    <vt:i4>0</vt:i4>
  </property>
  <property fmtid="{D5CDD505-2E9C-101B-9397-08002B2CF9AE}" pid="1381" name="hmcheck_result_3a3a31fff0e14d82ab1736e3f603d764_modifiedtype">
    <vt:i4>0</vt:i4>
  </property>
  <property fmtid="{D5CDD505-2E9C-101B-9397-08002B2CF9AE}" pid="1382" name="hmcheck_result_b9e8a93f90e74979a0306f0bd342f3fa_errorword">
    <vt:lpwstr>拱型</vt:lpwstr>
  </property>
  <property fmtid="{D5CDD505-2E9C-101B-9397-08002B2CF9AE}" pid="1383" name="hmcheck_result_b9e8a93f90e74979a0306f0bd342f3fa_correctwords">
    <vt:lpwstr>["拱形"]</vt:lpwstr>
  </property>
  <property fmtid="{D5CDD505-2E9C-101B-9397-08002B2CF9AE}" pid="1384" name="hmcheck_result_b9e8a93f90e74979a0306f0bd342f3fa_level">
    <vt:i4>1</vt:i4>
  </property>
  <property fmtid="{D5CDD505-2E9C-101B-9397-08002B2CF9AE}" pid="1385" name="hmcheck_result_b9e8a93f90e74979a0306f0bd342f3fa_type">
    <vt:i4>0</vt:i4>
  </property>
  <property fmtid="{D5CDD505-2E9C-101B-9397-08002B2CF9AE}" pid="1386" name="hmcheck_result_b9e8a93f90e74979a0306f0bd342f3fa_modifiedtype">
    <vt:i4>0</vt:i4>
  </property>
  <property fmtid="{D5CDD505-2E9C-101B-9397-08002B2CF9AE}" pid="1387" name="hmcheck_result_eb8cb47d7bf04c70b2a10660f922d6cf_errorword">
    <vt:lpwstr>回覆</vt:lpwstr>
  </property>
  <property fmtid="{D5CDD505-2E9C-101B-9397-08002B2CF9AE}" pid="1388" name="hmcheck_result_eb8cb47d7bf04c70b2a10660f922d6cf_correctwords">
    <vt:lpwstr>["回复"]</vt:lpwstr>
  </property>
  <property fmtid="{D5CDD505-2E9C-101B-9397-08002B2CF9AE}" pid="1389" name="hmcheck_result_eb8cb47d7bf04c70b2a10660f922d6cf_errordescription">
    <vt:lpwstr>繁体字/异形词错误</vt:lpwstr>
  </property>
  <property fmtid="{D5CDD505-2E9C-101B-9397-08002B2CF9AE}" pid="1390" name="hmcheck_result_eb8cb47d7bf04c70b2a10660f922d6cf_level">
    <vt:i4>1</vt:i4>
  </property>
  <property fmtid="{D5CDD505-2E9C-101B-9397-08002B2CF9AE}" pid="1391" name="hmcheck_result_eb8cb47d7bf04c70b2a10660f922d6cf_type">
    <vt:i4>0</vt:i4>
  </property>
  <property fmtid="{D5CDD505-2E9C-101B-9397-08002B2CF9AE}" pid="1392" name="hmcheck_result_eb8cb47d7bf04c70b2a10660f922d6cf_modifiedtype">
    <vt:i4>0</vt:i4>
  </property>
  <property fmtid="{D5CDD505-2E9C-101B-9397-08002B2CF9AE}" pid="1393" name="hmcheck_result_14ffd6b84d9348fba8d9ad18880ed6ba_errorword">
    <vt:lpwstr>地影响</vt:lpwstr>
  </property>
  <property fmtid="{D5CDD505-2E9C-101B-9397-08002B2CF9AE}" pid="1394" name="hmcheck_result_14ffd6b84d9348fba8d9ad18880ed6ba_correctwords">
    <vt:lpwstr>["的影响"]</vt:lpwstr>
  </property>
  <property fmtid="{D5CDD505-2E9C-101B-9397-08002B2CF9AE}" pid="1395" name="hmcheck_result_14ffd6b84d9348fba8d9ad18880ed6ba_level">
    <vt:i4>1</vt:i4>
  </property>
  <property fmtid="{D5CDD505-2E9C-101B-9397-08002B2CF9AE}" pid="1396" name="hmcheck_result_14ffd6b84d9348fba8d9ad18880ed6ba_type">
    <vt:i4>4</vt:i4>
  </property>
  <property fmtid="{D5CDD505-2E9C-101B-9397-08002B2CF9AE}" pid="1397" name="hmcheck_result_14ffd6b84d9348fba8d9ad18880ed6ba_modifiedtype">
    <vt:i4>0</vt:i4>
  </property>
  <property fmtid="{D5CDD505-2E9C-101B-9397-08002B2CF9AE}" pid="1398" name="hmcheck_result_9735192e72ec45e18c2b37dfb8976c30_errorword">
    <vt:lpwstr>地位置</vt:lpwstr>
  </property>
  <property fmtid="{D5CDD505-2E9C-101B-9397-08002B2CF9AE}" pid="1399" name="hmcheck_result_9735192e72ec45e18c2b37dfb8976c30_correctwords">
    <vt:lpwstr>["的位置"]</vt:lpwstr>
  </property>
  <property fmtid="{D5CDD505-2E9C-101B-9397-08002B2CF9AE}" pid="1400" name="hmcheck_result_9735192e72ec45e18c2b37dfb8976c30_level">
    <vt:i4>1</vt:i4>
  </property>
  <property fmtid="{D5CDD505-2E9C-101B-9397-08002B2CF9AE}" pid="1401" name="hmcheck_result_9735192e72ec45e18c2b37dfb8976c30_type">
    <vt:i4>4</vt:i4>
  </property>
  <property fmtid="{D5CDD505-2E9C-101B-9397-08002B2CF9AE}" pid="1402" name="hmcheck_result_9735192e72ec45e18c2b37dfb8976c30_modifiedtype">
    <vt:i4>0</vt:i4>
  </property>
  <property fmtid="{D5CDD505-2E9C-101B-9397-08002B2CF9AE}" pid="1403" name="hmcheck_result_d462548ae85e45b2b585855b8c88df38_errorword">
    <vt:lpwstr>等会</vt:lpwstr>
  </property>
  <property fmtid="{D5CDD505-2E9C-101B-9397-08002B2CF9AE}" pid="1404" name="hmcheck_result_d462548ae85e45b2b585855b8c88df38_correctwords">
    <vt:lpwstr>["等会儿"]</vt:lpwstr>
  </property>
  <property fmtid="{D5CDD505-2E9C-101B-9397-08002B2CF9AE}" pid="1405" name="hmcheck_result_d462548ae85e45b2b585855b8c88df38_level">
    <vt:i4>1</vt:i4>
  </property>
  <property fmtid="{D5CDD505-2E9C-101B-9397-08002B2CF9AE}" pid="1406" name="hmcheck_result_d462548ae85e45b2b585855b8c88df38_type">
    <vt:i4>0</vt:i4>
  </property>
  <property fmtid="{D5CDD505-2E9C-101B-9397-08002B2CF9AE}" pid="1407" name="hmcheck_result_d462548ae85e45b2b585855b8c88df38_modifiedtype">
    <vt:i4>0</vt:i4>
  </property>
  <property fmtid="{D5CDD505-2E9C-101B-9397-08002B2CF9AE}" pid="1408" name="hmcheck_result_4a37c5f67e7848b9883db42f9802a355_errorword">
    <vt:lpwstr>来自于</vt:lpwstr>
  </property>
  <property fmtid="{D5CDD505-2E9C-101B-9397-08002B2CF9AE}" pid="1409" name="hmcheck_result_4a37c5f67e7848b9883db42f9802a355_correctwords">
    <vt:lpwstr>["来自"]</vt:lpwstr>
  </property>
  <property fmtid="{D5CDD505-2E9C-101B-9397-08002B2CF9AE}" pid="1410" name="hmcheck_result_4a37c5f67e7848b9883db42f9802a355_level">
    <vt:i4>1</vt:i4>
  </property>
  <property fmtid="{D5CDD505-2E9C-101B-9397-08002B2CF9AE}" pid="1411" name="hmcheck_result_4a37c5f67e7848b9883db42f9802a355_type">
    <vt:i4>5</vt:i4>
  </property>
  <property fmtid="{D5CDD505-2E9C-101B-9397-08002B2CF9AE}" pid="1412" name="hmcheck_result_4a37c5f67e7848b9883db42f9802a355_modifiedtype">
    <vt:i4>0</vt:i4>
  </property>
  <property fmtid="{D5CDD505-2E9C-101B-9397-08002B2CF9AE}" pid="1413" name="hmcheck_result_d3d75bf4057044ed88e0e265ae989b24_errorword">
    <vt:lpwstr>经泵</vt:lpwstr>
  </property>
  <property fmtid="{D5CDD505-2E9C-101B-9397-08002B2CF9AE}" pid="1414" name="hmcheck_result_d3d75bf4057044ed88e0e265ae989b24_correctwords">
    <vt:lpwstr>["经常"]</vt:lpwstr>
  </property>
  <property fmtid="{D5CDD505-2E9C-101B-9397-08002B2CF9AE}" pid="1415" name="hmcheck_result_d3d75bf4057044ed88e0e265ae989b24_level">
    <vt:i4>1</vt:i4>
  </property>
  <property fmtid="{D5CDD505-2E9C-101B-9397-08002B2CF9AE}" pid="1416" name="hmcheck_result_d3d75bf4057044ed88e0e265ae989b24_type">
    <vt:i4>0</vt:i4>
  </property>
  <property fmtid="{D5CDD505-2E9C-101B-9397-08002B2CF9AE}" pid="1417" name="hmcheck_result_d3d75bf4057044ed88e0e265ae989b24_modifiedtype">
    <vt:i4>0</vt:i4>
  </property>
  <property fmtid="{D5CDD505-2E9C-101B-9397-08002B2CF9AE}" pid="1418" name="hmcheck_result_4655c3c4493a4a0c8b203bcb20acfc2c_errorword">
    <vt:lpwstr>，在</vt:lpwstr>
  </property>
  <property fmtid="{D5CDD505-2E9C-101B-9397-08002B2CF9AE}" pid="1419" name="hmcheck_result_4655c3c4493a4a0c8b203bcb20acfc2c_correctwords">
    <vt:lpwstr>["，"]</vt:lpwstr>
  </property>
  <property fmtid="{D5CDD505-2E9C-101B-9397-08002B2CF9AE}" pid="1420" name="hmcheck_result_4655c3c4493a4a0c8b203bcb20acfc2c_level">
    <vt:i4>1</vt:i4>
  </property>
  <property fmtid="{D5CDD505-2E9C-101B-9397-08002B2CF9AE}" pid="1421" name="hmcheck_result_4655c3c4493a4a0c8b203bcb20acfc2c_type">
    <vt:i4>0</vt:i4>
  </property>
  <property fmtid="{D5CDD505-2E9C-101B-9397-08002B2CF9AE}" pid="1422" name="hmcheck_result_4655c3c4493a4a0c8b203bcb20acfc2c_modifiedtype">
    <vt:i4>0</vt:i4>
  </property>
  <property fmtid="{D5CDD505-2E9C-101B-9397-08002B2CF9AE}" pid="1423" name="hmcheck_result_48cade5e262f4d5e8f75c31c80a572ce_errorword">
    <vt:lpwstr>其它湿地</vt:lpwstr>
  </property>
  <property fmtid="{D5CDD505-2E9C-101B-9397-08002B2CF9AE}" pid="1424" name="hmcheck_result_48cade5e262f4d5e8f75c31c80a572ce_correctwords">
    <vt:lpwstr>["其他湿地"]</vt:lpwstr>
  </property>
  <property fmtid="{D5CDD505-2E9C-101B-9397-08002B2CF9AE}" pid="1425" name="hmcheck_result_48cade5e262f4d5e8f75c31c80a572ce_level">
    <vt:i4>1</vt:i4>
  </property>
  <property fmtid="{D5CDD505-2E9C-101B-9397-08002B2CF9AE}" pid="1426" name="hmcheck_result_48cade5e262f4d5e8f75c31c80a572ce_type">
    <vt:i4>5</vt:i4>
  </property>
  <property fmtid="{D5CDD505-2E9C-101B-9397-08002B2CF9AE}" pid="1427" name="hmcheck_result_48cade5e262f4d5e8f75c31c80a572ce_modifiedtype">
    <vt:i4>0</vt:i4>
  </property>
  <property fmtid="{D5CDD505-2E9C-101B-9397-08002B2CF9AE}" pid="1428" name="hmcheck_result_fda5ba22033045d980163fd0f3822071_errorword">
    <vt:lpwstr>其它国家和</vt:lpwstr>
  </property>
  <property fmtid="{D5CDD505-2E9C-101B-9397-08002B2CF9AE}" pid="1429" name="hmcheck_result_fda5ba22033045d980163fd0f3822071_correctwords">
    <vt:lpwstr>["其他国家和"]</vt:lpwstr>
  </property>
  <property fmtid="{D5CDD505-2E9C-101B-9397-08002B2CF9AE}" pid="1430" name="hmcheck_result_fda5ba22033045d980163fd0f3822071_level">
    <vt:i4>1</vt:i4>
  </property>
  <property fmtid="{D5CDD505-2E9C-101B-9397-08002B2CF9AE}" pid="1431" name="hmcheck_result_fda5ba22033045d980163fd0f3822071_type">
    <vt:i4>5</vt:i4>
  </property>
  <property fmtid="{D5CDD505-2E9C-101B-9397-08002B2CF9AE}" pid="1432" name="hmcheck_result_fda5ba22033045d980163fd0f3822071_modifiedtype">
    <vt:i4>0</vt:i4>
  </property>
  <property fmtid="{D5CDD505-2E9C-101B-9397-08002B2CF9AE}" pid="1433" name="hmcheck_result_8611af637f8a4b96b547a845e692959c_errorword">
    <vt:lpwstr>阳生的</vt:lpwstr>
  </property>
  <property fmtid="{D5CDD505-2E9C-101B-9397-08002B2CF9AE}" pid="1434" name="hmcheck_result_8611af637f8a4b96b547a845e692959c_correctwords">
    <vt:lpwstr>["陌生的"]</vt:lpwstr>
  </property>
  <property fmtid="{D5CDD505-2E9C-101B-9397-08002B2CF9AE}" pid="1435" name="hmcheck_result_8611af637f8a4b96b547a845e692959c_level">
    <vt:i4>1</vt:i4>
  </property>
  <property fmtid="{D5CDD505-2E9C-101B-9397-08002B2CF9AE}" pid="1436" name="hmcheck_result_8611af637f8a4b96b547a845e692959c_type">
    <vt:i4>0</vt:i4>
  </property>
  <property fmtid="{D5CDD505-2E9C-101B-9397-08002B2CF9AE}" pid="1437" name="hmcheck_result_8611af637f8a4b96b547a845e692959c_modifiedtype">
    <vt:i4>0</vt:i4>
  </property>
  <property fmtid="{D5CDD505-2E9C-101B-9397-08002B2CF9AE}" pid="1438" name="hmcheck_result_b8f2c72a7b5f41aeb6dce08b1f1722ad_errorword">
    <vt:lpwstr>交通致死</vt:lpwstr>
  </property>
  <property fmtid="{D5CDD505-2E9C-101B-9397-08002B2CF9AE}" pid="1439" name="hmcheck_result_b8f2c72a7b5f41aeb6dce08b1f1722ad_correctwords">
    <vt:lpwstr>["交通事故"]</vt:lpwstr>
  </property>
  <property fmtid="{D5CDD505-2E9C-101B-9397-08002B2CF9AE}" pid="1440" name="hmcheck_result_b8f2c72a7b5f41aeb6dce08b1f1722ad_level">
    <vt:i4>1</vt:i4>
  </property>
  <property fmtid="{D5CDD505-2E9C-101B-9397-08002B2CF9AE}" pid="1441" name="hmcheck_result_b8f2c72a7b5f41aeb6dce08b1f1722ad_type">
    <vt:i4>0</vt:i4>
  </property>
  <property fmtid="{D5CDD505-2E9C-101B-9397-08002B2CF9AE}" pid="1442" name="hmcheck_result_b8f2c72a7b5f41aeb6dce08b1f1722ad_modifiedtype">
    <vt:i4>0</vt:i4>
  </property>
  <property fmtid="{D5CDD505-2E9C-101B-9397-08002B2CF9AE}" pid="1443" name="hmcheck_result_72db9497f3414d078a127b3c0af317d2_errorword">
    <vt:lpwstr>土石方如</vt:lpwstr>
  </property>
  <property fmtid="{D5CDD505-2E9C-101B-9397-08002B2CF9AE}" pid="1444" name="hmcheck_result_72db9497f3414d078a127b3c0af317d2_correctwords">
    <vt:lpwstr>["土石方"]</vt:lpwstr>
  </property>
  <property fmtid="{D5CDD505-2E9C-101B-9397-08002B2CF9AE}" pid="1445" name="hmcheck_result_72db9497f3414d078a127b3c0af317d2_level">
    <vt:i4>1</vt:i4>
  </property>
  <property fmtid="{D5CDD505-2E9C-101B-9397-08002B2CF9AE}" pid="1446" name="hmcheck_result_72db9497f3414d078a127b3c0af317d2_type">
    <vt:i4>0</vt:i4>
  </property>
  <property fmtid="{D5CDD505-2E9C-101B-9397-08002B2CF9AE}" pid="1447" name="hmcheck_result_72db9497f3414d078a127b3c0af317d2_modifiedtype">
    <vt:i4>0</vt:i4>
  </property>
  <property fmtid="{D5CDD505-2E9C-101B-9397-08002B2CF9AE}" pid="1448" name="hmcheck_result_cda9891369644cdebc89ad8cd9e675bf_errorword">
    <vt:lpwstr>拌合站</vt:lpwstr>
  </property>
  <property fmtid="{D5CDD505-2E9C-101B-9397-08002B2CF9AE}" pid="1449" name="hmcheck_result_cda9891369644cdebc89ad8cd9e675bf_correctwords">
    <vt:lpwstr>["拌和站"]</vt:lpwstr>
  </property>
  <property fmtid="{D5CDD505-2E9C-101B-9397-08002B2CF9AE}" pid="1450" name="hmcheck_result_cda9891369644cdebc89ad8cd9e675bf_level">
    <vt:i4>1</vt:i4>
  </property>
  <property fmtid="{D5CDD505-2E9C-101B-9397-08002B2CF9AE}" pid="1451" name="hmcheck_result_cda9891369644cdebc89ad8cd9e675bf_type">
    <vt:i4>5</vt:i4>
  </property>
  <property fmtid="{D5CDD505-2E9C-101B-9397-08002B2CF9AE}" pid="1452" name="hmcheck_result_cda9891369644cdebc89ad8cd9e675bf_modifiedtype">
    <vt:i4>0</vt:i4>
  </property>
  <property fmtid="{D5CDD505-2E9C-101B-9397-08002B2CF9AE}" pid="1453" name="hmcheck_result_4620e35947a4426b9beec3cfe5b12bd5_errorword">
    <vt:lpwstr>期</vt:lpwstr>
  </property>
  <property fmtid="{D5CDD505-2E9C-101B-9397-08002B2CF9AE}" pid="1454" name="hmcheck_result_4620e35947a4426b9beec3cfe5b12bd5_correctwords">
    <vt:lpwstr>["期间"]</vt:lpwstr>
  </property>
  <property fmtid="{D5CDD505-2E9C-101B-9397-08002B2CF9AE}" pid="1455" name="hmcheck_result_4620e35947a4426b9beec3cfe5b12bd5_errordescription">
    <vt:lpwstr>〈名〉某个时期里面：农忙～｜春节～｜抗战～。</vt:lpwstr>
  </property>
  <property fmtid="{D5CDD505-2E9C-101B-9397-08002B2CF9AE}" pid="1456" name="hmcheck_result_4620e35947a4426b9beec3cfe5b12bd5_level">
    <vt:i4>1</vt:i4>
  </property>
  <property fmtid="{D5CDD505-2E9C-101B-9397-08002B2CF9AE}" pid="1457" name="hmcheck_result_4620e35947a4426b9beec3cfe5b12bd5_type">
    <vt:i4>0</vt:i4>
  </property>
  <property fmtid="{D5CDD505-2E9C-101B-9397-08002B2CF9AE}" pid="1458" name="hmcheck_result_4620e35947a4426b9beec3cfe5b12bd5_modifiedtype">
    <vt:i4>0</vt:i4>
  </property>
  <property fmtid="{D5CDD505-2E9C-101B-9397-08002B2CF9AE}" pid="1459" name="hmcheck_result_c517e6bb5a494c8cbfb81bcd64bb8b17_errorword">
    <vt:lpwstr>沉砂池</vt:lpwstr>
  </property>
  <property fmtid="{D5CDD505-2E9C-101B-9397-08002B2CF9AE}" pid="1460" name="hmcheck_result_c517e6bb5a494c8cbfb81bcd64bb8b17_correctwords">
    <vt:lpwstr>["沉沙池"]</vt:lpwstr>
  </property>
  <property fmtid="{D5CDD505-2E9C-101B-9397-08002B2CF9AE}" pid="1461" name="hmcheck_result_c517e6bb5a494c8cbfb81bcd64bb8b17_level">
    <vt:i4>1</vt:i4>
  </property>
  <property fmtid="{D5CDD505-2E9C-101B-9397-08002B2CF9AE}" pid="1462" name="hmcheck_result_c517e6bb5a494c8cbfb81bcd64bb8b17_type">
    <vt:i4>0</vt:i4>
  </property>
  <property fmtid="{D5CDD505-2E9C-101B-9397-08002B2CF9AE}" pid="1463" name="hmcheck_result_c517e6bb5a494c8cbfb81bcd64bb8b17_modifiedtype">
    <vt:i4>0</vt:i4>
  </property>
  <property fmtid="{D5CDD505-2E9C-101B-9397-08002B2CF9AE}" pid="1464" name="hmcheck_result_c28524a3831645918d7791a8e0020020_errorword">
    <vt:lpwstr>（</vt:lpwstr>
  </property>
  <property fmtid="{D5CDD505-2E9C-101B-9397-08002B2CF9AE}" pid="1465" name="hmcheck_result_c28524a3831645918d7791a8e0020020_correctwords">
    <vt:lpwstr>[]</vt:lpwstr>
  </property>
  <property fmtid="{D5CDD505-2E9C-101B-9397-08002B2CF9AE}" pid="1466" name="hmcheck_result_c28524a3831645918d7791a8e0020020_errordescription">
    <vt:lpwstr>标点符号（缺少成对</vt:lpwstr>
  </property>
  <property fmtid="{D5CDD505-2E9C-101B-9397-08002B2CF9AE}" pid="1467" name="hmcheck_result_c28524a3831645918d7791a8e0020020_level">
    <vt:i4>1</vt:i4>
  </property>
  <property fmtid="{D5CDD505-2E9C-101B-9397-08002B2CF9AE}" pid="1468" name="hmcheck_result_c28524a3831645918d7791a8e0020020_type">
    <vt:i4>1</vt:i4>
  </property>
  <property fmtid="{D5CDD505-2E9C-101B-9397-08002B2CF9AE}" pid="1469" name="hmcheck_result_c28524a3831645918d7791a8e0020020_modifiedtype">
    <vt:i4>0</vt:i4>
  </property>
  <property fmtid="{D5CDD505-2E9C-101B-9397-08002B2CF9AE}" pid="1470" name="hmcheck_result_af4f0ccf89a1429ab45eabd2ade05bf8_errorword">
    <vt:lpwstr>)</vt:lpwstr>
  </property>
  <property fmtid="{D5CDD505-2E9C-101B-9397-08002B2CF9AE}" pid="1471" name="hmcheck_result_af4f0ccf89a1429ab45eabd2ade05bf8_correctwords">
    <vt:lpwstr>["）"]</vt:lpwstr>
  </property>
  <property fmtid="{D5CDD505-2E9C-101B-9397-08002B2CF9AE}" pid="1472" name="hmcheck_result_af4f0ccf89a1429ab45eabd2ade05bf8_errordescription">
    <vt:lpwstr>文本全半角错误</vt:lpwstr>
  </property>
  <property fmtid="{D5CDD505-2E9C-101B-9397-08002B2CF9AE}" pid="1473" name="hmcheck_result_af4f0ccf89a1429ab45eabd2ade05bf8_level">
    <vt:i4>1</vt:i4>
  </property>
  <property fmtid="{D5CDD505-2E9C-101B-9397-08002B2CF9AE}" pid="1474" name="hmcheck_result_af4f0ccf89a1429ab45eabd2ade05bf8_type">
    <vt:i4>1</vt:i4>
  </property>
  <property fmtid="{D5CDD505-2E9C-101B-9397-08002B2CF9AE}" pid="1475" name="hmcheck_result_af4f0ccf89a1429ab45eabd2ade05bf8_modifiedtype">
    <vt:i4>0</vt:i4>
  </property>
  <property fmtid="{D5CDD505-2E9C-101B-9397-08002B2CF9AE}" pid="1476" name="hmcheck_result_3068a09a4f274fd7bd8c86224e943d12_errorword">
    <vt:lpwstr>~</vt:lpwstr>
  </property>
  <property fmtid="{D5CDD505-2E9C-101B-9397-08002B2CF9AE}" pid="1477" name="hmcheck_result_3068a09a4f274fd7bd8c86224e943d12_correctwords">
    <vt:lpwstr>["～"]</vt:lpwstr>
  </property>
  <property fmtid="{D5CDD505-2E9C-101B-9397-08002B2CF9AE}" pid="1478" name="hmcheck_result_3068a09a4f274fd7bd8c86224e943d12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479" name="hmcheck_result_3068a09a4f274fd7bd8c86224e943d12_level">
    <vt:i4>1</vt:i4>
  </property>
  <property fmtid="{D5CDD505-2E9C-101B-9397-08002B2CF9AE}" pid="1480" name="hmcheck_result_3068a09a4f274fd7bd8c86224e943d12_type">
    <vt:i4>1</vt:i4>
  </property>
  <property fmtid="{D5CDD505-2E9C-101B-9397-08002B2CF9AE}" pid="1481" name="hmcheck_result_3068a09a4f274fd7bd8c86224e943d12_modifiedtype">
    <vt:i4>0</vt:i4>
  </property>
  <property fmtid="{D5CDD505-2E9C-101B-9397-08002B2CF9AE}" pid="1482" name="hmcheck_result_a8f98cff9efd459989df62ddac9b9f5b_errorword">
    <vt:lpwstr>袋装</vt:lpwstr>
  </property>
  <property fmtid="{D5CDD505-2E9C-101B-9397-08002B2CF9AE}" pid="1483" name="hmcheck_result_a8f98cff9efd459989df62ddac9b9f5b_correctwords">
    <vt:lpwstr>["袋状"]</vt:lpwstr>
  </property>
  <property fmtid="{D5CDD505-2E9C-101B-9397-08002B2CF9AE}" pid="1484" name="hmcheck_result_a8f98cff9efd459989df62ddac9b9f5b_level">
    <vt:i4>1</vt:i4>
  </property>
  <property fmtid="{D5CDD505-2E9C-101B-9397-08002B2CF9AE}" pid="1485" name="hmcheck_result_a8f98cff9efd459989df62ddac9b9f5b_type">
    <vt:i4>0</vt:i4>
  </property>
  <property fmtid="{D5CDD505-2E9C-101B-9397-08002B2CF9AE}" pid="1486" name="hmcheck_result_a8f98cff9efd459989df62ddac9b9f5b_modifiedtype">
    <vt:i4>0</vt:i4>
  </property>
  <property fmtid="{D5CDD505-2E9C-101B-9397-08002B2CF9AE}" pid="1487" name="hmcheck_result_1ce7a06bd8ea460e844321ea204be804_errorword">
    <vt:lpwstr>飘落</vt:lpwstr>
  </property>
  <property fmtid="{D5CDD505-2E9C-101B-9397-08002B2CF9AE}" pid="1488" name="hmcheck_result_1ce7a06bd8ea460e844321ea204be804_correctwords">
    <vt:lpwstr>["漂落"]</vt:lpwstr>
  </property>
  <property fmtid="{D5CDD505-2E9C-101B-9397-08002B2CF9AE}" pid="1489" name="hmcheck_result_1ce7a06bd8ea460e844321ea204be804_level">
    <vt:i4>1</vt:i4>
  </property>
  <property fmtid="{D5CDD505-2E9C-101B-9397-08002B2CF9AE}" pid="1490" name="hmcheck_result_1ce7a06bd8ea460e844321ea204be804_type">
    <vt:i4>0</vt:i4>
  </property>
  <property fmtid="{D5CDD505-2E9C-101B-9397-08002B2CF9AE}" pid="1491" name="hmcheck_result_1ce7a06bd8ea460e844321ea204be804_modifiedtype">
    <vt:i4>0</vt:i4>
  </property>
  <property fmtid="{D5CDD505-2E9C-101B-9397-08002B2CF9AE}" pid="1492" name="hmcheck_result_85fc7ff832e04efead8c12b144aa75ba_errorword">
    <vt:lpwstr>施工期</vt:lpwstr>
  </property>
  <property fmtid="{D5CDD505-2E9C-101B-9397-08002B2CF9AE}" pid="1493" name="hmcheck_result_85fc7ff832e04efead8c12b144aa75ba_correctwords">
    <vt:lpwstr>["施工"]</vt:lpwstr>
  </property>
  <property fmtid="{D5CDD505-2E9C-101B-9397-08002B2CF9AE}" pid="1494" name="hmcheck_result_85fc7ff832e04efead8c12b144aa75ba_errordescription">
    <vt:lpwstr>〈动〉按照设计的规格和要求建筑房屋、桥梁、道路、水利工程等。</vt:lpwstr>
  </property>
  <property fmtid="{D5CDD505-2E9C-101B-9397-08002B2CF9AE}" pid="1495" name="hmcheck_result_85fc7ff832e04efead8c12b144aa75ba_level">
    <vt:i4>1</vt:i4>
  </property>
  <property fmtid="{D5CDD505-2E9C-101B-9397-08002B2CF9AE}" pid="1496" name="hmcheck_result_85fc7ff832e04efead8c12b144aa75ba_type">
    <vt:i4>0</vt:i4>
  </property>
  <property fmtid="{D5CDD505-2E9C-101B-9397-08002B2CF9AE}" pid="1497" name="hmcheck_result_85fc7ff832e04efead8c12b144aa75ba_modifiedtype">
    <vt:i4>0</vt:i4>
  </property>
  <property fmtid="{D5CDD505-2E9C-101B-9397-08002B2CF9AE}" pid="1498" name="hmcheck_result_c16df2e798ad4b4e980d53f935352a55_errorword">
    <vt:lpwstr>碾铺</vt:lpwstr>
  </property>
  <property fmtid="{D5CDD505-2E9C-101B-9397-08002B2CF9AE}" pid="1499" name="hmcheck_result_c16df2e798ad4b4e980d53f935352a55_correctwords">
    <vt:lpwstr>["摊铺"]</vt:lpwstr>
  </property>
  <property fmtid="{D5CDD505-2E9C-101B-9397-08002B2CF9AE}" pid="1500" name="hmcheck_result_c16df2e798ad4b4e980d53f935352a55_level">
    <vt:i4>1</vt:i4>
  </property>
  <property fmtid="{D5CDD505-2E9C-101B-9397-08002B2CF9AE}" pid="1501" name="hmcheck_result_c16df2e798ad4b4e980d53f935352a55_type">
    <vt:i4>0</vt:i4>
  </property>
  <property fmtid="{D5CDD505-2E9C-101B-9397-08002B2CF9AE}" pid="1502" name="hmcheck_result_c16df2e798ad4b4e980d53f935352a55_modifiedtype">
    <vt:i4>0</vt:i4>
  </property>
  <property fmtid="{D5CDD505-2E9C-101B-9397-08002B2CF9AE}" pid="1503" name="hmcheck_result_d6cecfbc51c8490eb3fd0603247fc30e_errorword">
    <vt:lpwstr>造成的</vt:lpwstr>
  </property>
  <property fmtid="{D5CDD505-2E9C-101B-9397-08002B2CF9AE}" pid="1504" name="hmcheck_result_d6cecfbc51c8490eb3fd0603247fc30e_correctwords">
    <vt:lpwstr>["造成"]</vt:lpwstr>
  </property>
  <property fmtid="{D5CDD505-2E9C-101B-9397-08002B2CF9AE}" pid="1505" name="hmcheck_result_d6cecfbc51c8490eb3fd0603247fc30e_level">
    <vt:i4>1</vt:i4>
  </property>
  <property fmtid="{D5CDD505-2E9C-101B-9397-08002B2CF9AE}" pid="1506" name="hmcheck_result_d6cecfbc51c8490eb3fd0603247fc30e_type">
    <vt:i4>0</vt:i4>
  </property>
  <property fmtid="{D5CDD505-2E9C-101B-9397-08002B2CF9AE}" pid="1507" name="hmcheck_result_d6cecfbc51c8490eb3fd0603247fc30e_modifiedtype">
    <vt:i4>0</vt:i4>
  </property>
  <property fmtid="{D5CDD505-2E9C-101B-9397-08002B2CF9AE}" pid="1508" name="hmcheck_result_5cdec6936ae14d5fa916822453e314cd_errorword">
    <vt:lpwstr>~</vt:lpwstr>
  </property>
  <property fmtid="{D5CDD505-2E9C-101B-9397-08002B2CF9AE}" pid="1509" name="hmcheck_result_5cdec6936ae14d5fa916822453e314cd_correctwords">
    <vt:lpwstr>["～"]</vt:lpwstr>
  </property>
  <property fmtid="{D5CDD505-2E9C-101B-9397-08002B2CF9AE}" pid="1510" name="hmcheck_result_5cdec6936ae14d5fa916822453e314cd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511" name="hmcheck_result_5cdec6936ae14d5fa916822453e314cd_level">
    <vt:i4>1</vt:i4>
  </property>
  <property fmtid="{D5CDD505-2E9C-101B-9397-08002B2CF9AE}" pid="1512" name="hmcheck_result_5cdec6936ae14d5fa916822453e314cd_type">
    <vt:i4>1</vt:i4>
  </property>
  <property fmtid="{D5CDD505-2E9C-101B-9397-08002B2CF9AE}" pid="1513" name="hmcheck_result_5cdec6936ae14d5fa916822453e314cd_modifiedtype">
    <vt:i4>0</vt:i4>
  </property>
  <property fmtid="{D5CDD505-2E9C-101B-9397-08002B2CF9AE}" pid="1514" name="hmcheck_result_236845348a224bb684d8b3c63941ed4c_errorword">
    <vt:lpwstr>线位</vt:lpwstr>
  </property>
  <property fmtid="{D5CDD505-2E9C-101B-9397-08002B2CF9AE}" pid="1515" name="hmcheck_result_236845348a224bb684d8b3c63941ed4c_correctwords">
    <vt:lpwstr>["限位"]</vt:lpwstr>
  </property>
  <property fmtid="{D5CDD505-2E9C-101B-9397-08002B2CF9AE}" pid="1516" name="hmcheck_result_236845348a224bb684d8b3c63941ed4c_level">
    <vt:i4>1</vt:i4>
  </property>
  <property fmtid="{D5CDD505-2E9C-101B-9397-08002B2CF9AE}" pid="1517" name="hmcheck_result_236845348a224bb684d8b3c63941ed4c_type">
    <vt:i4>0</vt:i4>
  </property>
  <property fmtid="{D5CDD505-2E9C-101B-9397-08002B2CF9AE}" pid="1518" name="hmcheck_result_236845348a224bb684d8b3c63941ed4c_modifiedtype">
    <vt:i4>0</vt:i4>
  </property>
  <property fmtid="{D5CDD505-2E9C-101B-9397-08002B2CF9AE}" pid="1519" name="hmcheck_result_8054bb024a854cf9a1ec33e2cf146c99_errorword">
    <vt:lpwstr>型式</vt:lpwstr>
  </property>
  <property fmtid="{D5CDD505-2E9C-101B-9397-08002B2CF9AE}" pid="1520" name="hmcheck_result_8054bb024a854cf9a1ec33e2cf146c99_correctwords">
    <vt:lpwstr>["形式"]</vt:lpwstr>
  </property>
  <property fmtid="{D5CDD505-2E9C-101B-9397-08002B2CF9AE}" pid="1521" name="hmcheck_result_8054bb024a854cf9a1ec33e2cf146c99_level">
    <vt:i4>1</vt:i4>
  </property>
  <property fmtid="{D5CDD505-2E9C-101B-9397-08002B2CF9AE}" pid="1522" name="hmcheck_result_8054bb024a854cf9a1ec33e2cf146c99_type">
    <vt:i4>0</vt:i4>
  </property>
  <property fmtid="{D5CDD505-2E9C-101B-9397-08002B2CF9AE}" pid="1523" name="hmcheck_result_8054bb024a854cf9a1ec33e2cf146c99_modifiedtype">
    <vt:i4>0</vt:i4>
  </property>
  <property fmtid="{D5CDD505-2E9C-101B-9397-08002B2CF9AE}" pid="1524" name="hmcheck_result_96db488664c74d4cb71d81b1d4fcd8bc_errorword">
    <vt:lpwstr>拌合站</vt:lpwstr>
  </property>
  <property fmtid="{D5CDD505-2E9C-101B-9397-08002B2CF9AE}" pid="1525" name="hmcheck_result_96db488664c74d4cb71d81b1d4fcd8bc_correctwords">
    <vt:lpwstr>["拌和站"]</vt:lpwstr>
  </property>
  <property fmtid="{D5CDD505-2E9C-101B-9397-08002B2CF9AE}" pid="1526" name="hmcheck_result_96db488664c74d4cb71d81b1d4fcd8bc_level">
    <vt:i4>1</vt:i4>
  </property>
  <property fmtid="{D5CDD505-2E9C-101B-9397-08002B2CF9AE}" pid="1527" name="hmcheck_result_96db488664c74d4cb71d81b1d4fcd8bc_type">
    <vt:i4>5</vt:i4>
  </property>
  <property fmtid="{D5CDD505-2E9C-101B-9397-08002B2CF9AE}" pid="1528" name="hmcheck_result_96db488664c74d4cb71d81b1d4fcd8bc_modifiedtype">
    <vt:i4>0</vt:i4>
  </property>
  <property fmtid="{D5CDD505-2E9C-101B-9397-08002B2CF9AE}" pid="1529" name="hmcheck_result_6358ed79ddde4b1c979a2db4c0a6cff5_errorword">
    <vt:lpwstr>的</vt:lpwstr>
  </property>
  <property fmtid="{D5CDD505-2E9C-101B-9397-08002B2CF9AE}" pid="1530" name="hmcheck_result_6358ed79ddde4b1c979a2db4c0a6cff5_correctwords">
    <vt:lpwstr>["地"]</vt:lpwstr>
  </property>
  <property fmtid="{D5CDD505-2E9C-101B-9397-08002B2CF9AE}" pid="1531" name="hmcheck_result_6358ed79ddde4b1c979a2db4c0a6cff5_errordescription">
    <vt:lpwstr>置于动词前，用于形容动作的状态。</vt:lpwstr>
  </property>
  <property fmtid="{D5CDD505-2E9C-101B-9397-08002B2CF9AE}" pid="1532" name="hmcheck_result_6358ed79ddde4b1c979a2db4c0a6cff5_level">
    <vt:i4>1</vt:i4>
  </property>
  <property fmtid="{D5CDD505-2E9C-101B-9397-08002B2CF9AE}" pid="1533" name="hmcheck_result_6358ed79ddde4b1c979a2db4c0a6cff5_type">
    <vt:i4>4</vt:i4>
  </property>
  <property fmtid="{D5CDD505-2E9C-101B-9397-08002B2CF9AE}" pid="1534" name="hmcheck_result_6358ed79ddde4b1c979a2db4c0a6cff5_modifiedtype">
    <vt:i4>0</vt:i4>
  </property>
  <property fmtid="{D5CDD505-2E9C-101B-9397-08002B2CF9AE}" pid="1535" name="hmcheck_result_234ee5967093480b8c2f185bfcd7f13c_errorword">
    <vt:lpwstr>拌和</vt:lpwstr>
  </property>
  <property fmtid="{D5CDD505-2E9C-101B-9397-08002B2CF9AE}" pid="1536" name="hmcheck_result_234ee5967093480b8c2f185bfcd7f13c_correctwords">
    <vt:lpwstr>["拌合"]</vt:lpwstr>
  </property>
  <property fmtid="{D5CDD505-2E9C-101B-9397-08002B2CF9AE}" pid="1537" name="hmcheck_result_234ee5967093480b8c2f185bfcd7f13c_level">
    <vt:i4>1</vt:i4>
  </property>
  <property fmtid="{D5CDD505-2E9C-101B-9397-08002B2CF9AE}" pid="1538" name="hmcheck_result_234ee5967093480b8c2f185bfcd7f13c_type">
    <vt:i4>0</vt:i4>
  </property>
  <property fmtid="{D5CDD505-2E9C-101B-9397-08002B2CF9AE}" pid="1539" name="hmcheck_result_234ee5967093480b8c2f185bfcd7f13c_modifiedtype">
    <vt:i4>0</vt:i4>
  </property>
  <property fmtid="{D5CDD505-2E9C-101B-9397-08002B2CF9AE}" pid="1540" name="hmcheck_result_c73d739f7d4146bd83e7f78bdfac6502_errorword">
    <vt:lpwstr>拌拌</vt:lpwstr>
  </property>
  <property fmtid="{D5CDD505-2E9C-101B-9397-08002B2CF9AE}" pid="1541" name="hmcheck_result_c73d739f7d4146bd83e7f78bdfac6502_correctwords">
    <vt:lpwstr>["拌"]</vt:lpwstr>
  </property>
  <property fmtid="{D5CDD505-2E9C-101B-9397-08002B2CF9AE}" pid="1542" name="hmcheck_result_c73d739f7d4146bd83e7f78bdfac6502_level">
    <vt:i4>1</vt:i4>
  </property>
  <property fmtid="{D5CDD505-2E9C-101B-9397-08002B2CF9AE}" pid="1543" name="hmcheck_result_c73d739f7d4146bd83e7f78bdfac6502_type">
    <vt:i4>0</vt:i4>
  </property>
  <property fmtid="{D5CDD505-2E9C-101B-9397-08002B2CF9AE}" pid="1544" name="hmcheck_result_c73d739f7d4146bd83e7f78bdfac6502_modifiedtype">
    <vt:i4>0</vt:i4>
  </property>
  <property fmtid="{D5CDD505-2E9C-101B-9397-08002B2CF9AE}" pid="1545" name="hmcheck_result_afb0f39f06794b8787fda82a1edd8eb1_errorword">
    <vt:lpwstr>拌和</vt:lpwstr>
  </property>
  <property fmtid="{D5CDD505-2E9C-101B-9397-08002B2CF9AE}" pid="1546" name="hmcheck_result_afb0f39f06794b8787fda82a1edd8eb1_correctwords">
    <vt:lpwstr>["拌合"]</vt:lpwstr>
  </property>
  <property fmtid="{D5CDD505-2E9C-101B-9397-08002B2CF9AE}" pid="1547" name="hmcheck_result_afb0f39f06794b8787fda82a1edd8eb1_level">
    <vt:i4>1</vt:i4>
  </property>
  <property fmtid="{D5CDD505-2E9C-101B-9397-08002B2CF9AE}" pid="1548" name="hmcheck_result_afb0f39f06794b8787fda82a1edd8eb1_type">
    <vt:i4>0</vt:i4>
  </property>
  <property fmtid="{D5CDD505-2E9C-101B-9397-08002B2CF9AE}" pid="1549" name="hmcheck_result_afb0f39f06794b8787fda82a1edd8eb1_modifiedtype">
    <vt:i4>0</vt:i4>
  </property>
  <property fmtid="{D5CDD505-2E9C-101B-9397-08002B2CF9AE}" pid="1550" name="hmcheck_result_944f8d87b6e94fb186f4ae9263adfa11_errorword">
    <vt:lpwstr>拌和</vt:lpwstr>
  </property>
  <property fmtid="{D5CDD505-2E9C-101B-9397-08002B2CF9AE}" pid="1551" name="hmcheck_result_944f8d87b6e94fb186f4ae9263adfa11_correctwords">
    <vt:lpwstr>["拌合"]</vt:lpwstr>
  </property>
  <property fmtid="{D5CDD505-2E9C-101B-9397-08002B2CF9AE}" pid="1552" name="hmcheck_result_944f8d87b6e94fb186f4ae9263adfa11_level">
    <vt:i4>1</vt:i4>
  </property>
  <property fmtid="{D5CDD505-2E9C-101B-9397-08002B2CF9AE}" pid="1553" name="hmcheck_result_944f8d87b6e94fb186f4ae9263adfa11_type">
    <vt:i4>0</vt:i4>
  </property>
  <property fmtid="{D5CDD505-2E9C-101B-9397-08002B2CF9AE}" pid="1554" name="hmcheck_result_944f8d87b6e94fb186f4ae9263adfa11_modifiedtype">
    <vt:i4>0</vt:i4>
  </property>
  <property fmtid="{D5CDD505-2E9C-101B-9397-08002B2CF9AE}" pid="1555" name="hmcheck_result_ac728b013de14bc286f2143b4c6eaf24_errorword">
    <vt:lpwstr>拌和</vt:lpwstr>
  </property>
  <property fmtid="{D5CDD505-2E9C-101B-9397-08002B2CF9AE}" pid="1556" name="hmcheck_result_ac728b013de14bc286f2143b4c6eaf24_correctwords">
    <vt:lpwstr>["拌合"]</vt:lpwstr>
  </property>
  <property fmtid="{D5CDD505-2E9C-101B-9397-08002B2CF9AE}" pid="1557" name="hmcheck_result_ac728b013de14bc286f2143b4c6eaf24_level">
    <vt:i4>1</vt:i4>
  </property>
  <property fmtid="{D5CDD505-2E9C-101B-9397-08002B2CF9AE}" pid="1558" name="hmcheck_result_ac728b013de14bc286f2143b4c6eaf24_type">
    <vt:i4>0</vt:i4>
  </property>
  <property fmtid="{D5CDD505-2E9C-101B-9397-08002B2CF9AE}" pid="1559" name="hmcheck_result_ac728b013de14bc286f2143b4c6eaf24_modifiedtype">
    <vt:i4>0</vt:i4>
  </property>
  <property fmtid="{D5CDD505-2E9C-101B-9397-08002B2CF9AE}" pid="1560" name="hmcheck_result_cdcfe7f8c1e64785ad03cf159c1575ee_errorword">
    <vt:lpwstr>拌合站</vt:lpwstr>
  </property>
  <property fmtid="{D5CDD505-2E9C-101B-9397-08002B2CF9AE}" pid="1561" name="hmcheck_result_cdcfe7f8c1e64785ad03cf159c1575ee_correctwords">
    <vt:lpwstr>["拌和站"]</vt:lpwstr>
  </property>
  <property fmtid="{D5CDD505-2E9C-101B-9397-08002B2CF9AE}" pid="1562" name="hmcheck_result_cdcfe7f8c1e64785ad03cf159c1575ee_level">
    <vt:i4>1</vt:i4>
  </property>
  <property fmtid="{D5CDD505-2E9C-101B-9397-08002B2CF9AE}" pid="1563" name="hmcheck_result_cdcfe7f8c1e64785ad03cf159c1575ee_type">
    <vt:i4>5</vt:i4>
  </property>
  <property fmtid="{D5CDD505-2E9C-101B-9397-08002B2CF9AE}" pid="1564" name="hmcheck_result_cdcfe7f8c1e64785ad03cf159c1575ee_modifiedtype">
    <vt:i4>0</vt:i4>
  </property>
  <property fmtid="{D5CDD505-2E9C-101B-9397-08002B2CF9AE}" pid="1565" name="hmcheck_result_b09646380a274ec3b01d3dc1b2f57153_errorword">
    <vt:lpwstr>拌和</vt:lpwstr>
  </property>
  <property fmtid="{D5CDD505-2E9C-101B-9397-08002B2CF9AE}" pid="1566" name="hmcheck_result_b09646380a274ec3b01d3dc1b2f57153_correctwords">
    <vt:lpwstr>["拌合"]</vt:lpwstr>
  </property>
  <property fmtid="{D5CDD505-2E9C-101B-9397-08002B2CF9AE}" pid="1567" name="hmcheck_result_b09646380a274ec3b01d3dc1b2f57153_level">
    <vt:i4>1</vt:i4>
  </property>
  <property fmtid="{D5CDD505-2E9C-101B-9397-08002B2CF9AE}" pid="1568" name="hmcheck_result_b09646380a274ec3b01d3dc1b2f57153_type">
    <vt:i4>0</vt:i4>
  </property>
  <property fmtid="{D5CDD505-2E9C-101B-9397-08002B2CF9AE}" pid="1569" name="hmcheck_result_b09646380a274ec3b01d3dc1b2f57153_modifiedtype">
    <vt:i4>0</vt:i4>
  </property>
  <property fmtid="{D5CDD505-2E9C-101B-9397-08002B2CF9AE}" pid="1570" name="hmcheck_result_cbd0d2f7c36f402b86257680ff09fe28_errorword">
    <vt:lpwstr>拌和</vt:lpwstr>
  </property>
  <property fmtid="{D5CDD505-2E9C-101B-9397-08002B2CF9AE}" pid="1571" name="hmcheck_result_cbd0d2f7c36f402b86257680ff09fe28_correctwords">
    <vt:lpwstr>["拌合"]</vt:lpwstr>
  </property>
  <property fmtid="{D5CDD505-2E9C-101B-9397-08002B2CF9AE}" pid="1572" name="hmcheck_result_cbd0d2f7c36f402b86257680ff09fe28_level">
    <vt:i4>1</vt:i4>
  </property>
  <property fmtid="{D5CDD505-2E9C-101B-9397-08002B2CF9AE}" pid="1573" name="hmcheck_result_cbd0d2f7c36f402b86257680ff09fe28_type">
    <vt:i4>0</vt:i4>
  </property>
  <property fmtid="{D5CDD505-2E9C-101B-9397-08002B2CF9AE}" pid="1574" name="hmcheck_result_cbd0d2f7c36f402b86257680ff09fe28_modifiedtype">
    <vt:i4>0</vt:i4>
  </property>
  <property fmtid="{D5CDD505-2E9C-101B-9397-08002B2CF9AE}" pid="1575" name="hmcheck_result_2bf3591b1fd645aa867f8b054edef119_errorword">
    <vt:lpwstr>拌合站</vt:lpwstr>
  </property>
  <property fmtid="{D5CDD505-2E9C-101B-9397-08002B2CF9AE}" pid="1576" name="hmcheck_result_2bf3591b1fd645aa867f8b054edef119_correctwords">
    <vt:lpwstr>["拌和站"]</vt:lpwstr>
  </property>
  <property fmtid="{D5CDD505-2E9C-101B-9397-08002B2CF9AE}" pid="1577" name="hmcheck_result_2bf3591b1fd645aa867f8b054edef119_level">
    <vt:i4>1</vt:i4>
  </property>
  <property fmtid="{D5CDD505-2E9C-101B-9397-08002B2CF9AE}" pid="1578" name="hmcheck_result_2bf3591b1fd645aa867f8b054edef119_type">
    <vt:i4>5</vt:i4>
  </property>
  <property fmtid="{D5CDD505-2E9C-101B-9397-08002B2CF9AE}" pid="1579" name="hmcheck_result_2bf3591b1fd645aa867f8b054edef119_modifiedtype">
    <vt:i4>0</vt:i4>
  </property>
  <property fmtid="{D5CDD505-2E9C-101B-9397-08002B2CF9AE}" pid="1580" name="hmcheck_result_43f9eefe4d734ba48336c3b28a38863f_errorword">
    <vt:lpwstr>拌和</vt:lpwstr>
  </property>
  <property fmtid="{D5CDD505-2E9C-101B-9397-08002B2CF9AE}" pid="1581" name="hmcheck_result_43f9eefe4d734ba48336c3b28a38863f_correctwords">
    <vt:lpwstr>["拌合"]</vt:lpwstr>
  </property>
  <property fmtid="{D5CDD505-2E9C-101B-9397-08002B2CF9AE}" pid="1582" name="hmcheck_result_43f9eefe4d734ba48336c3b28a38863f_level">
    <vt:i4>1</vt:i4>
  </property>
  <property fmtid="{D5CDD505-2E9C-101B-9397-08002B2CF9AE}" pid="1583" name="hmcheck_result_43f9eefe4d734ba48336c3b28a38863f_type">
    <vt:i4>0</vt:i4>
  </property>
  <property fmtid="{D5CDD505-2E9C-101B-9397-08002B2CF9AE}" pid="1584" name="hmcheck_result_43f9eefe4d734ba48336c3b28a38863f_modifiedtype">
    <vt:i4>0</vt:i4>
  </property>
  <property fmtid="{D5CDD505-2E9C-101B-9397-08002B2CF9AE}" pid="1585" name="hmcheck_result_a296e76d42db44d69cda7b76f8487e65_errorword">
    <vt:lpwstr>期仅</vt:lpwstr>
  </property>
  <property fmtid="{D5CDD505-2E9C-101B-9397-08002B2CF9AE}" pid="1586" name="hmcheck_result_a296e76d42db44d69cda7b76f8487e65_correctwords">
    <vt:lpwstr>["期间"]</vt:lpwstr>
  </property>
  <property fmtid="{D5CDD505-2E9C-101B-9397-08002B2CF9AE}" pid="1587" name="hmcheck_result_a296e76d42db44d69cda7b76f8487e65_errordescription">
    <vt:lpwstr>〈名〉某个时期里面：农忙～｜春节～｜抗战～。</vt:lpwstr>
  </property>
  <property fmtid="{D5CDD505-2E9C-101B-9397-08002B2CF9AE}" pid="1588" name="hmcheck_result_a296e76d42db44d69cda7b76f8487e65_level">
    <vt:i4>1</vt:i4>
  </property>
  <property fmtid="{D5CDD505-2E9C-101B-9397-08002B2CF9AE}" pid="1589" name="hmcheck_result_a296e76d42db44d69cda7b76f8487e65_type">
    <vt:i4>0</vt:i4>
  </property>
  <property fmtid="{D5CDD505-2E9C-101B-9397-08002B2CF9AE}" pid="1590" name="hmcheck_result_a296e76d42db44d69cda7b76f8487e65_modifiedtype">
    <vt:i4>0</vt:i4>
  </property>
  <property fmtid="{D5CDD505-2E9C-101B-9397-08002B2CF9AE}" pid="1591" name="hmcheck_result_13e68435ad794ea9afb42b830d913cfd_errorword">
    <vt:lpwstr>Nmax</vt:lpwstr>
  </property>
  <property fmtid="{D5CDD505-2E9C-101B-9397-08002B2CF9AE}" pid="1592" name="hmcheck_result_13e68435ad794ea9afb42b830d913cfd_correctwords">
    <vt:lpwstr>["bmax","jmax","max"]</vt:lpwstr>
  </property>
  <property fmtid="{D5CDD505-2E9C-101B-9397-08002B2CF9AE}" pid="1593" name="hmcheck_result_13e68435ad794ea9afb42b830d913cfd_level">
    <vt:i4>1</vt:i4>
  </property>
  <property fmtid="{D5CDD505-2E9C-101B-9397-08002B2CF9AE}" pid="1594" name="hmcheck_result_13e68435ad794ea9afb42b830d913cfd_type">
    <vt:i4>6</vt:i4>
  </property>
  <property fmtid="{D5CDD505-2E9C-101B-9397-08002B2CF9AE}" pid="1595" name="hmcheck_result_13e68435ad794ea9afb42b830d913cfd_modifiedtype">
    <vt:i4>0</vt:i4>
  </property>
  <property fmtid="{D5CDD505-2E9C-101B-9397-08002B2CF9AE}" pid="1596" name="hmcheck_result_b99dcb7904ff4a66828844ce236813b5_errorword">
    <vt:lpwstr>Nmax</vt:lpwstr>
  </property>
  <property fmtid="{D5CDD505-2E9C-101B-9397-08002B2CF9AE}" pid="1597" name="hmcheck_result_b99dcb7904ff4a66828844ce236813b5_correctwords">
    <vt:lpwstr>["bmax","jmax","max"]</vt:lpwstr>
  </property>
  <property fmtid="{D5CDD505-2E9C-101B-9397-08002B2CF9AE}" pid="1598" name="hmcheck_result_b99dcb7904ff4a66828844ce236813b5_level">
    <vt:i4>1</vt:i4>
  </property>
  <property fmtid="{D5CDD505-2E9C-101B-9397-08002B2CF9AE}" pid="1599" name="hmcheck_result_b99dcb7904ff4a66828844ce236813b5_type">
    <vt:i4>6</vt:i4>
  </property>
  <property fmtid="{D5CDD505-2E9C-101B-9397-08002B2CF9AE}" pid="1600" name="hmcheck_result_b99dcb7904ff4a66828844ce236813b5_modifiedtype">
    <vt:i4>0</vt:i4>
  </property>
  <property fmtid="{D5CDD505-2E9C-101B-9397-08002B2CF9AE}" pid="1601" name="hmcheck_result_4dfa3080d2eb4c8db432b977ec0ed3fb_errorword">
    <vt:lpwstr>Nmax</vt:lpwstr>
  </property>
  <property fmtid="{D5CDD505-2E9C-101B-9397-08002B2CF9AE}" pid="1602" name="hmcheck_result_4dfa3080d2eb4c8db432b977ec0ed3fb_correctwords">
    <vt:lpwstr>["bmax","jmax","max"]</vt:lpwstr>
  </property>
  <property fmtid="{D5CDD505-2E9C-101B-9397-08002B2CF9AE}" pid="1603" name="hmcheck_result_4dfa3080d2eb4c8db432b977ec0ed3fb_level">
    <vt:i4>1</vt:i4>
  </property>
  <property fmtid="{D5CDD505-2E9C-101B-9397-08002B2CF9AE}" pid="1604" name="hmcheck_result_4dfa3080d2eb4c8db432b977ec0ed3fb_type">
    <vt:i4>6</vt:i4>
  </property>
  <property fmtid="{D5CDD505-2E9C-101B-9397-08002B2CF9AE}" pid="1605" name="hmcheck_result_4dfa3080d2eb4c8db432b977ec0ed3fb_modifiedtype">
    <vt:i4>0</vt:i4>
  </property>
  <property fmtid="{D5CDD505-2E9C-101B-9397-08002B2CF9AE}" pid="1606" name="hmcheck_result_fb605df7cd844225916a95b3ebaaa1df_errorword">
    <vt:lpwstr>张角</vt:lpwstr>
  </property>
  <property fmtid="{D5CDD505-2E9C-101B-9397-08002B2CF9AE}" pid="1607" name="hmcheck_result_fb605df7cd844225916a95b3ebaaa1df_correctwords">
    <vt:lpwstr>["转角"]</vt:lpwstr>
  </property>
  <property fmtid="{D5CDD505-2E9C-101B-9397-08002B2CF9AE}" pid="1608" name="hmcheck_result_fb605df7cd844225916a95b3ebaaa1df_level">
    <vt:i4>1</vt:i4>
  </property>
  <property fmtid="{D5CDD505-2E9C-101B-9397-08002B2CF9AE}" pid="1609" name="hmcheck_result_fb605df7cd844225916a95b3ebaaa1df_type">
    <vt:i4>0</vt:i4>
  </property>
  <property fmtid="{D5CDD505-2E9C-101B-9397-08002B2CF9AE}" pid="1610" name="hmcheck_result_fb605df7cd844225916a95b3ebaaa1df_modifiedtype">
    <vt:i4>0</vt:i4>
  </property>
  <property fmtid="{D5CDD505-2E9C-101B-9397-08002B2CF9AE}" pid="1611" name="hmcheck_result_0510fc259a5f403eb63afc9ce319ce35_errorword">
    <vt:lpwstr>Aatm</vt:lpwstr>
  </property>
  <property fmtid="{D5CDD505-2E9C-101B-9397-08002B2CF9AE}" pid="1612" name="hmcheck_result_0510fc259a5f403eb63afc9ce319ce35_correctwords">
    <vt:lpwstr>["astm","aat"]</vt:lpwstr>
  </property>
  <property fmtid="{D5CDD505-2E9C-101B-9397-08002B2CF9AE}" pid="1613" name="hmcheck_result_0510fc259a5f403eb63afc9ce319ce35_level">
    <vt:i4>1</vt:i4>
  </property>
  <property fmtid="{D5CDD505-2E9C-101B-9397-08002B2CF9AE}" pid="1614" name="hmcheck_result_0510fc259a5f403eb63afc9ce319ce35_type">
    <vt:i4>6</vt:i4>
  </property>
  <property fmtid="{D5CDD505-2E9C-101B-9397-08002B2CF9AE}" pid="1615" name="hmcheck_result_0510fc259a5f403eb63afc9ce319ce35_modifiedtype">
    <vt:i4>0</vt:i4>
  </property>
  <property fmtid="{D5CDD505-2E9C-101B-9397-08002B2CF9AE}" pid="1616" name="hmcheck_result_b67c7f8709624f9d95ecec44a12c99c8_errorword">
    <vt:lpwstr>Abar</vt:lpwstr>
  </property>
  <property fmtid="{D5CDD505-2E9C-101B-9397-08002B2CF9AE}" pid="1617" name="hmcheck_result_b67c7f8709624f9d95ecec44a12c99c8_correctwords">
    <vt:lpwstr>["agar","aber","bar","aar","aba"]</vt:lpwstr>
  </property>
  <property fmtid="{D5CDD505-2E9C-101B-9397-08002B2CF9AE}" pid="1618" name="hmcheck_result_b67c7f8709624f9d95ecec44a12c99c8_level">
    <vt:i4>1</vt:i4>
  </property>
  <property fmtid="{D5CDD505-2E9C-101B-9397-08002B2CF9AE}" pid="1619" name="hmcheck_result_b67c7f8709624f9d95ecec44a12c99c8_type">
    <vt:i4>6</vt:i4>
  </property>
  <property fmtid="{D5CDD505-2E9C-101B-9397-08002B2CF9AE}" pid="1620" name="hmcheck_result_b67c7f8709624f9d95ecec44a12c99c8_modifiedtype">
    <vt:i4>0</vt:i4>
  </property>
  <property fmtid="{D5CDD505-2E9C-101B-9397-08002B2CF9AE}" pid="1621" name="hmcheck_result_52ba984566644e46a671f5a3cf42d816_errorword">
    <vt:lpwstr>Afol</vt:lpwstr>
  </property>
  <property fmtid="{D5CDD505-2E9C-101B-9397-08002B2CF9AE}" pid="1622" name="hmcheck_result_52ba984566644e46a671f5a3cf42d816_correctwords">
    <vt:lpwstr>["acol","afl"]</vt:lpwstr>
  </property>
  <property fmtid="{D5CDD505-2E9C-101B-9397-08002B2CF9AE}" pid="1623" name="hmcheck_result_52ba984566644e46a671f5a3cf42d816_level">
    <vt:i4>1</vt:i4>
  </property>
  <property fmtid="{D5CDD505-2E9C-101B-9397-08002B2CF9AE}" pid="1624" name="hmcheck_result_52ba984566644e46a671f5a3cf42d816_type">
    <vt:i4>6</vt:i4>
  </property>
  <property fmtid="{D5CDD505-2E9C-101B-9397-08002B2CF9AE}" pid="1625" name="hmcheck_result_52ba984566644e46a671f5a3cf42d816_modifiedtype">
    <vt:i4>0</vt:i4>
  </property>
  <property fmtid="{D5CDD505-2E9C-101B-9397-08002B2CF9AE}" pid="1626" name="hmcheck_result_123e03523e9848ff94681c13f539f0e2_errorword">
    <vt:lpwstr>Abar</vt:lpwstr>
  </property>
  <property fmtid="{D5CDD505-2E9C-101B-9397-08002B2CF9AE}" pid="1627" name="hmcheck_result_123e03523e9848ff94681c13f539f0e2_correctwords">
    <vt:lpwstr>["agar","aber","bar","aar","aba"]</vt:lpwstr>
  </property>
  <property fmtid="{D5CDD505-2E9C-101B-9397-08002B2CF9AE}" pid="1628" name="hmcheck_result_123e03523e9848ff94681c13f539f0e2_level">
    <vt:i4>1</vt:i4>
  </property>
  <property fmtid="{D5CDD505-2E9C-101B-9397-08002B2CF9AE}" pid="1629" name="hmcheck_result_123e03523e9848ff94681c13f539f0e2_type">
    <vt:i4>6</vt:i4>
  </property>
  <property fmtid="{D5CDD505-2E9C-101B-9397-08002B2CF9AE}" pid="1630" name="hmcheck_result_123e03523e9848ff94681c13f539f0e2_modifiedtype">
    <vt:i4>0</vt:i4>
  </property>
  <property fmtid="{D5CDD505-2E9C-101B-9397-08002B2CF9AE}" pid="1631" name="hmcheck_result_9aadff7e72ad4818a7b0c768324e51e7_errorword">
    <vt:lpwstr>Afol</vt:lpwstr>
  </property>
  <property fmtid="{D5CDD505-2E9C-101B-9397-08002B2CF9AE}" pid="1632" name="hmcheck_result_9aadff7e72ad4818a7b0c768324e51e7_correctwords">
    <vt:lpwstr>["acol","afl"]</vt:lpwstr>
  </property>
  <property fmtid="{D5CDD505-2E9C-101B-9397-08002B2CF9AE}" pid="1633" name="hmcheck_result_9aadff7e72ad4818a7b0c768324e51e7_level">
    <vt:i4>1</vt:i4>
  </property>
  <property fmtid="{D5CDD505-2E9C-101B-9397-08002B2CF9AE}" pid="1634" name="hmcheck_result_9aadff7e72ad4818a7b0c768324e51e7_type">
    <vt:i4>6</vt:i4>
  </property>
  <property fmtid="{D5CDD505-2E9C-101B-9397-08002B2CF9AE}" pid="1635" name="hmcheck_result_9aadff7e72ad4818a7b0c768324e51e7_modifiedtype">
    <vt:i4>0</vt:i4>
  </property>
  <property fmtid="{D5CDD505-2E9C-101B-9397-08002B2CF9AE}" pid="1636" name="hmcheck_result_e1b0793f6f76432b9523ee44e491c38a_errorword">
    <vt:lpwstr>Aatm</vt:lpwstr>
  </property>
  <property fmtid="{D5CDD505-2E9C-101B-9397-08002B2CF9AE}" pid="1637" name="hmcheck_result_e1b0793f6f76432b9523ee44e491c38a_correctwords">
    <vt:lpwstr>["astm","aat"]</vt:lpwstr>
  </property>
  <property fmtid="{D5CDD505-2E9C-101B-9397-08002B2CF9AE}" pid="1638" name="hmcheck_result_e1b0793f6f76432b9523ee44e491c38a_level">
    <vt:i4>1</vt:i4>
  </property>
  <property fmtid="{D5CDD505-2E9C-101B-9397-08002B2CF9AE}" pid="1639" name="hmcheck_result_e1b0793f6f76432b9523ee44e491c38a_type">
    <vt:i4>6</vt:i4>
  </property>
  <property fmtid="{D5CDD505-2E9C-101B-9397-08002B2CF9AE}" pid="1640" name="hmcheck_result_e1b0793f6f76432b9523ee44e491c38a_modifiedtype">
    <vt:i4>0</vt:i4>
  </property>
  <property fmtid="{D5CDD505-2E9C-101B-9397-08002B2CF9AE}" pid="1641" name="hmcheck_result_968693614a9d4ce29b8974fcbc13473b_errorword">
    <vt:lpwstr>LAeqg</vt:lpwstr>
  </property>
  <property fmtid="{D5CDD505-2E9C-101B-9397-08002B2CF9AE}" pid="1642" name="hmcheck_result_968693614a9d4ce29b8974fcbc13473b_correctwords">
    <vt:lpwstr>["&lt;有错&gt;"]</vt:lpwstr>
  </property>
  <property fmtid="{D5CDD505-2E9C-101B-9397-08002B2CF9AE}" pid="1643" name="hmcheck_result_968693614a9d4ce29b8974fcbc13473b_level">
    <vt:i4>1</vt:i4>
  </property>
  <property fmtid="{D5CDD505-2E9C-101B-9397-08002B2CF9AE}" pid="1644" name="hmcheck_result_968693614a9d4ce29b8974fcbc13473b_type">
    <vt:i4>6</vt:i4>
  </property>
  <property fmtid="{D5CDD505-2E9C-101B-9397-08002B2CF9AE}" pid="1645" name="hmcheck_result_968693614a9d4ce29b8974fcbc13473b_modifiedtype">
    <vt:i4>0</vt:i4>
  </property>
  <property fmtid="{D5CDD505-2E9C-101B-9397-08002B2CF9AE}" pid="1646" name="hmcheck_result_0b80e808a39a40619bd13f45ef1ef5b3_errorword">
    <vt:lpwstr>LAeql</vt:lpwstr>
  </property>
  <property fmtid="{D5CDD505-2E9C-101B-9397-08002B2CF9AE}" pid="1647" name="hmcheck_result_0b80e808a39a40619bd13f45ef1ef5b3_correctwords">
    <vt:lpwstr>["&lt;有错&gt;"]</vt:lpwstr>
  </property>
  <property fmtid="{D5CDD505-2E9C-101B-9397-08002B2CF9AE}" pid="1648" name="hmcheck_result_0b80e808a39a40619bd13f45ef1ef5b3_level">
    <vt:i4>1</vt:i4>
  </property>
  <property fmtid="{D5CDD505-2E9C-101B-9397-08002B2CF9AE}" pid="1649" name="hmcheck_result_0b80e808a39a40619bd13f45ef1ef5b3_type">
    <vt:i4>6</vt:i4>
  </property>
  <property fmtid="{D5CDD505-2E9C-101B-9397-08002B2CF9AE}" pid="1650" name="hmcheck_result_0b80e808a39a40619bd13f45ef1ef5b3_modifiedtype">
    <vt:i4>0</vt:i4>
  </property>
  <property fmtid="{D5CDD505-2E9C-101B-9397-08002B2CF9AE}" pid="1651" name="hmcheck_result_b907f5108a0a4b0d897305d0284d9983_errorword">
    <vt:lpwstr>LAeqm</vt:lpwstr>
  </property>
  <property fmtid="{D5CDD505-2E9C-101B-9397-08002B2CF9AE}" pid="1652" name="hmcheck_result_b907f5108a0a4b0d897305d0284d9983_correctwords">
    <vt:lpwstr>["&lt;有错&gt;"]</vt:lpwstr>
  </property>
  <property fmtid="{D5CDD505-2E9C-101B-9397-08002B2CF9AE}" pid="1653" name="hmcheck_result_b907f5108a0a4b0d897305d0284d9983_level">
    <vt:i4>1</vt:i4>
  </property>
  <property fmtid="{D5CDD505-2E9C-101B-9397-08002B2CF9AE}" pid="1654" name="hmcheck_result_b907f5108a0a4b0d897305d0284d9983_type">
    <vt:i4>6</vt:i4>
  </property>
  <property fmtid="{D5CDD505-2E9C-101B-9397-08002B2CF9AE}" pid="1655" name="hmcheck_result_b907f5108a0a4b0d897305d0284d9983_modifiedtype">
    <vt:i4>0</vt:i4>
  </property>
  <property fmtid="{D5CDD505-2E9C-101B-9397-08002B2CF9AE}" pid="1656" name="hmcheck_result_f0773e8f49144c50a5664dc73d633e86_errorword">
    <vt:lpwstr>LAeqs</vt:lpwstr>
  </property>
  <property fmtid="{D5CDD505-2E9C-101B-9397-08002B2CF9AE}" pid="1657" name="hmcheck_result_f0773e8f49144c50a5664dc73d633e86_correctwords">
    <vt:lpwstr>["&lt;有错&gt;"]</vt:lpwstr>
  </property>
  <property fmtid="{D5CDD505-2E9C-101B-9397-08002B2CF9AE}" pid="1658" name="hmcheck_result_f0773e8f49144c50a5664dc73d633e86_level">
    <vt:i4>1</vt:i4>
  </property>
  <property fmtid="{D5CDD505-2E9C-101B-9397-08002B2CF9AE}" pid="1659" name="hmcheck_result_f0773e8f49144c50a5664dc73d633e86_type">
    <vt:i4>6</vt:i4>
  </property>
  <property fmtid="{D5CDD505-2E9C-101B-9397-08002B2CF9AE}" pid="1660" name="hmcheck_result_f0773e8f49144c50a5664dc73d633e86_modifiedtype">
    <vt:i4>0</vt:i4>
  </property>
  <property fmtid="{D5CDD505-2E9C-101B-9397-08002B2CF9AE}" pid="1661" name="hmcheck_result_07b36ed4eb544d4d8764d1529e20aac4_errorword">
    <vt:lpwstr>LAeq</vt:lpwstr>
  </property>
  <property fmtid="{D5CDD505-2E9C-101B-9397-08002B2CF9AE}" pid="1662" name="hmcheck_result_07b36ed4eb544d4d8764d1529e20aac4_correctwords">
    <vt:lpwstr>["lae"]</vt:lpwstr>
  </property>
  <property fmtid="{D5CDD505-2E9C-101B-9397-08002B2CF9AE}" pid="1663" name="hmcheck_result_07b36ed4eb544d4d8764d1529e20aac4_level">
    <vt:i4>1</vt:i4>
  </property>
  <property fmtid="{D5CDD505-2E9C-101B-9397-08002B2CF9AE}" pid="1664" name="hmcheck_result_07b36ed4eb544d4d8764d1529e20aac4_type">
    <vt:i4>6</vt:i4>
  </property>
  <property fmtid="{D5CDD505-2E9C-101B-9397-08002B2CF9AE}" pid="1665" name="hmcheck_result_07b36ed4eb544d4d8764d1529e20aac4_modifiedtype">
    <vt:i4>0</vt:i4>
  </property>
  <property fmtid="{D5CDD505-2E9C-101B-9397-08002B2CF9AE}" pid="1666" name="hmcheck_result_c5d750171e8a457e9c0b1a3d58541adf_errorword">
    <vt:lpwstr>LAeqg</vt:lpwstr>
  </property>
  <property fmtid="{D5CDD505-2E9C-101B-9397-08002B2CF9AE}" pid="1667" name="hmcheck_result_c5d750171e8a457e9c0b1a3d58541adf_correctwords">
    <vt:lpwstr>["&lt;有错&gt;"]</vt:lpwstr>
  </property>
  <property fmtid="{D5CDD505-2E9C-101B-9397-08002B2CF9AE}" pid="1668" name="hmcheck_result_c5d750171e8a457e9c0b1a3d58541adf_level">
    <vt:i4>1</vt:i4>
  </property>
  <property fmtid="{D5CDD505-2E9C-101B-9397-08002B2CF9AE}" pid="1669" name="hmcheck_result_c5d750171e8a457e9c0b1a3d58541adf_type">
    <vt:i4>6</vt:i4>
  </property>
  <property fmtid="{D5CDD505-2E9C-101B-9397-08002B2CF9AE}" pid="1670" name="hmcheck_result_c5d750171e8a457e9c0b1a3d58541adf_modifiedtype">
    <vt:i4>0</vt:i4>
  </property>
  <property fmtid="{D5CDD505-2E9C-101B-9397-08002B2CF9AE}" pid="1671" name="hmcheck_result_c75a1fbbef714ffeb8cafbd1ea924060_errorword">
    <vt:lpwstr>LAeqb</vt:lpwstr>
  </property>
  <property fmtid="{D5CDD505-2E9C-101B-9397-08002B2CF9AE}" pid="1672" name="hmcheck_result_c75a1fbbef714ffeb8cafbd1ea924060_correctwords">
    <vt:lpwstr>["&lt;有错&gt;"]</vt:lpwstr>
  </property>
  <property fmtid="{D5CDD505-2E9C-101B-9397-08002B2CF9AE}" pid="1673" name="hmcheck_result_c75a1fbbef714ffeb8cafbd1ea924060_level">
    <vt:i4>1</vt:i4>
  </property>
  <property fmtid="{D5CDD505-2E9C-101B-9397-08002B2CF9AE}" pid="1674" name="hmcheck_result_c75a1fbbef714ffeb8cafbd1ea924060_type">
    <vt:i4>6</vt:i4>
  </property>
  <property fmtid="{D5CDD505-2E9C-101B-9397-08002B2CF9AE}" pid="1675" name="hmcheck_result_c75a1fbbef714ffeb8cafbd1ea924060_modifiedtype">
    <vt:i4>0</vt:i4>
  </property>
  <property fmtid="{D5CDD505-2E9C-101B-9397-08002B2CF9AE}" pid="1676" name="hmcheck_result_c803bd2c482c4c9989b09a8a81f0a4d4_errorword">
    <vt:lpwstr>量见</vt:lpwstr>
  </property>
  <property fmtid="{D5CDD505-2E9C-101B-9397-08002B2CF9AE}" pid="1677" name="hmcheck_result_c803bd2c482c4c9989b09a8a81f0a4d4_correctwords">
    <vt:lpwstr>["量"]</vt:lpwstr>
  </property>
  <property fmtid="{D5CDD505-2E9C-101B-9397-08002B2CF9AE}" pid="1678" name="hmcheck_result_c803bd2c482c4c9989b09a8a81f0a4d4_level">
    <vt:i4>1</vt:i4>
  </property>
  <property fmtid="{D5CDD505-2E9C-101B-9397-08002B2CF9AE}" pid="1679" name="hmcheck_result_c803bd2c482c4c9989b09a8a81f0a4d4_type">
    <vt:i4>0</vt:i4>
  </property>
  <property fmtid="{D5CDD505-2E9C-101B-9397-08002B2CF9AE}" pid="1680" name="hmcheck_result_c803bd2c482c4c9989b09a8a81f0a4d4_modifiedtype">
    <vt:i4>0</vt:i4>
  </property>
  <property fmtid="{D5CDD505-2E9C-101B-9397-08002B2CF9AE}" pid="1681" name="hmcheck_result_6ec77b1f38dd49fa83f444b42e72197a_errorword">
    <vt:lpwstr>Aatm</vt:lpwstr>
  </property>
  <property fmtid="{D5CDD505-2E9C-101B-9397-08002B2CF9AE}" pid="1682" name="hmcheck_result_6ec77b1f38dd49fa83f444b42e72197a_correctwords">
    <vt:lpwstr>["astm","aat"]</vt:lpwstr>
  </property>
  <property fmtid="{D5CDD505-2E9C-101B-9397-08002B2CF9AE}" pid="1683" name="hmcheck_result_6ec77b1f38dd49fa83f444b42e72197a_level">
    <vt:i4>1</vt:i4>
  </property>
  <property fmtid="{D5CDD505-2E9C-101B-9397-08002B2CF9AE}" pid="1684" name="hmcheck_result_6ec77b1f38dd49fa83f444b42e72197a_type">
    <vt:i4>6</vt:i4>
  </property>
  <property fmtid="{D5CDD505-2E9C-101B-9397-08002B2CF9AE}" pid="1685" name="hmcheck_result_6ec77b1f38dd49fa83f444b42e72197a_modifiedtype">
    <vt:i4>0</vt:i4>
  </property>
  <property fmtid="{D5CDD505-2E9C-101B-9397-08002B2CF9AE}" pid="1686" name="hmcheck_result_cf86968b7f88437cb42915ba9e865835_errorword">
    <vt:lpwstr>Aatm</vt:lpwstr>
  </property>
  <property fmtid="{D5CDD505-2E9C-101B-9397-08002B2CF9AE}" pid="1687" name="hmcheck_result_cf86968b7f88437cb42915ba9e865835_correctwords">
    <vt:lpwstr>["astm","aat"]</vt:lpwstr>
  </property>
  <property fmtid="{D5CDD505-2E9C-101B-9397-08002B2CF9AE}" pid="1688" name="hmcheck_result_cf86968b7f88437cb42915ba9e865835_level">
    <vt:i4>1</vt:i4>
  </property>
  <property fmtid="{D5CDD505-2E9C-101B-9397-08002B2CF9AE}" pid="1689" name="hmcheck_result_cf86968b7f88437cb42915ba9e865835_type">
    <vt:i4>6</vt:i4>
  </property>
  <property fmtid="{D5CDD505-2E9C-101B-9397-08002B2CF9AE}" pid="1690" name="hmcheck_result_cf86968b7f88437cb42915ba9e865835_modifiedtype">
    <vt:i4>0</vt:i4>
  </property>
  <property fmtid="{D5CDD505-2E9C-101B-9397-08002B2CF9AE}" pid="1691" name="hmcheck_result_acc3f0cdde2e46d0b47e4c734bb6327d_errorword">
    <vt:lpwstr>Abar</vt:lpwstr>
  </property>
  <property fmtid="{D5CDD505-2E9C-101B-9397-08002B2CF9AE}" pid="1692" name="hmcheck_result_acc3f0cdde2e46d0b47e4c734bb6327d_correctwords">
    <vt:lpwstr>["agar","aber","bar","aar","aba"]</vt:lpwstr>
  </property>
  <property fmtid="{D5CDD505-2E9C-101B-9397-08002B2CF9AE}" pid="1693" name="hmcheck_result_acc3f0cdde2e46d0b47e4c734bb6327d_level">
    <vt:i4>1</vt:i4>
  </property>
  <property fmtid="{D5CDD505-2E9C-101B-9397-08002B2CF9AE}" pid="1694" name="hmcheck_result_acc3f0cdde2e46d0b47e4c734bb6327d_type">
    <vt:i4>6</vt:i4>
  </property>
  <property fmtid="{D5CDD505-2E9C-101B-9397-08002B2CF9AE}" pid="1695" name="hmcheck_result_acc3f0cdde2e46d0b47e4c734bb6327d_modifiedtype">
    <vt:i4>0</vt:i4>
  </property>
  <property fmtid="{D5CDD505-2E9C-101B-9397-08002B2CF9AE}" pid="1696" name="hmcheck_result_71c554a7c0d8477fafc18067b476c7fa_errorword">
    <vt:lpwstr>Abar</vt:lpwstr>
  </property>
  <property fmtid="{D5CDD505-2E9C-101B-9397-08002B2CF9AE}" pid="1697" name="hmcheck_result_71c554a7c0d8477fafc18067b476c7fa_correctwords">
    <vt:lpwstr>["agar","aber","bar","aar","aba"]</vt:lpwstr>
  </property>
  <property fmtid="{D5CDD505-2E9C-101B-9397-08002B2CF9AE}" pid="1698" name="hmcheck_result_71c554a7c0d8477fafc18067b476c7fa_level">
    <vt:i4>1</vt:i4>
  </property>
  <property fmtid="{D5CDD505-2E9C-101B-9397-08002B2CF9AE}" pid="1699" name="hmcheck_result_71c554a7c0d8477fafc18067b476c7fa_type">
    <vt:i4>6</vt:i4>
  </property>
  <property fmtid="{D5CDD505-2E9C-101B-9397-08002B2CF9AE}" pid="1700" name="hmcheck_result_71c554a7c0d8477fafc18067b476c7fa_modifiedtype">
    <vt:i4>0</vt:i4>
  </property>
  <property fmtid="{D5CDD505-2E9C-101B-9397-08002B2CF9AE}" pid="1701" name="hmcheck_result_4abc0d611a2741d28a5c71a4300f6cd3_errorword">
    <vt:lpwstr>Abar</vt:lpwstr>
  </property>
  <property fmtid="{D5CDD505-2E9C-101B-9397-08002B2CF9AE}" pid="1702" name="hmcheck_result_4abc0d611a2741d28a5c71a4300f6cd3_correctwords">
    <vt:lpwstr>["agar","aber","bar","aar","aba"]</vt:lpwstr>
  </property>
  <property fmtid="{D5CDD505-2E9C-101B-9397-08002B2CF9AE}" pid="1703" name="hmcheck_result_4abc0d611a2741d28a5c71a4300f6cd3_level">
    <vt:i4>1</vt:i4>
  </property>
  <property fmtid="{D5CDD505-2E9C-101B-9397-08002B2CF9AE}" pid="1704" name="hmcheck_result_4abc0d611a2741d28a5c71a4300f6cd3_type">
    <vt:i4>6</vt:i4>
  </property>
  <property fmtid="{D5CDD505-2E9C-101B-9397-08002B2CF9AE}" pid="1705" name="hmcheck_result_4abc0d611a2741d28a5c71a4300f6cd3_modifiedtype">
    <vt:i4>0</vt:i4>
  </property>
  <property fmtid="{D5CDD505-2E9C-101B-9397-08002B2CF9AE}" pid="1706" name="hmcheck_result_70352b732e924608aee167957bbf0cb9_errorword">
    <vt:lpwstr>~</vt:lpwstr>
  </property>
  <property fmtid="{D5CDD505-2E9C-101B-9397-08002B2CF9AE}" pid="1707" name="hmcheck_result_70352b732e924608aee167957bbf0cb9_correctwords">
    <vt:lpwstr>["～"]</vt:lpwstr>
  </property>
  <property fmtid="{D5CDD505-2E9C-101B-9397-08002B2CF9AE}" pid="1708" name="hmcheck_result_70352b732e924608aee167957bbf0cb9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709" name="hmcheck_result_70352b732e924608aee167957bbf0cb9_level">
    <vt:i4>1</vt:i4>
  </property>
  <property fmtid="{D5CDD505-2E9C-101B-9397-08002B2CF9AE}" pid="1710" name="hmcheck_result_70352b732e924608aee167957bbf0cb9_type">
    <vt:i4>1</vt:i4>
  </property>
  <property fmtid="{D5CDD505-2E9C-101B-9397-08002B2CF9AE}" pid="1711" name="hmcheck_result_70352b732e924608aee167957bbf0cb9_modifiedtype">
    <vt:i4>0</vt:i4>
  </property>
  <property fmtid="{D5CDD505-2E9C-101B-9397-08002B2CF9AE}" pid="1712" name="hmcheck_result_dc1186c78a674e318408481f8de3754a_errorword">
    <vt:lpwstr>~</vt:lpwstr>
  </property>
  <property fmtid="{D5CDD505-2E9C-101B-9397-08002B2CF9AE}" pid="1713" name="hmcheck_result_dc1186c78a674e318408481f8de3754a_correctwords">
    <vt:lpwstr>["～"]</vt:lpwstr>
  </property>
  <property fmtid="{D5CDD505-2E9C-101B-9397-08002B2CF9AE}" pid="1714" name="hmcheck_result_dc1186c78a674e318408481f8de3754a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715" name="hmcheck_result_dc1186c78a674e318408481f8de3754a_level">
    <vt:i4>1</vt:i4>
  </property>
  <property fmtid="{D5CDD505-2E9C-101B-9397-08002B2CF9AE}" pid="1716" name="hmcheck_result_dc1186c78a674e318408481f8de3754a_type">
    <vt:i4>1</vt:i4>
  </property>
  <property fmtid="{D5CDD505-2E9C-101B-9397-08002B2CF9AE}" pid="1717" name="hmcheck_result_dc1186c78a674e318408481f8de3754a_modifiedtype">
    <vt:i4>0</vt:i4>
  </property>
  <property fmtid="{D5CDD505-2E9C-101B-9397-08002B2CF9AE}" pid="1718" name="hmcheck_result_f033e0fa6b274ee884467ebc5df6a643_errorword">
    <vt:lpwstr>Nmax</vt:lpwstr>
  </property>
  <property fmtid="{D5CDD505-2E9C-101B-9397-08002B2CF9AE}" pid="1719" name="hmcheck_result_f033e0fa6b274ee884467ebc5df6a643_correctwords">
    <vt:lpwstr>["bmax","jmax","max"]</vt:lpwstr>
  </property>
  <property fmtid="{D5CDD505-2E9C-101B-9397-08002B2CF9AE}" pid="1720" name="hmcheck_result_f033e0fa6b274ee884467ebc5df6a643_level">
    <vt:i4>1</vt:i4>
  </property>
  <property fmtid="{D5CDD505-2E9C-101B-9397-08002B2CF9AE}" pid="1721" name="hmcheck_result_f033e0fa6b274ee884467ebc5df6a643_type">
    <vt:i4>6</vt:i4>
  </property>
  <property fmtid="{D5CDD505-2E9C-101B-9397-08002B2CF9AE}" pid="1722" name="hmcheck_result_f033e0fa6b274ee884467ebc5df6a643_modifiedtype">
    <vt:i4>0</vt:i4>
  </property>
  <property fmtid="{D5CDD505-2E9C-101B-9397-08002B2CF9AE}" pid="1723" name="hmcheck_result_a8fb1fd596ac442c9fcb085890b687e8_errorword">
    <vt:lpwstr>）落</vt:lpwstr>
  </property>
  <property fmtid="{D5CDD505-2E9C-101B-9397-08002B2CF9AE}" pid="1724" name="hmcheck_result_a8fb1fd596ac442c9fcb085890b687e8_correctwords">
    <vt:lpwstr>["）"]</vt:lpwstr>
  </property>
  <property fmtid="{D5CDD505-2E9C-101B-9397-08002B2CF9AE}" pid="1725" name="hmcheck_result_a8fb1fd596ac442c9fcb085890b687e8_level">
    <vt:i4>1</vt:i4>
  </property>
  <property fmtid="{D5CDD505-2E9C-101B-9397-08002B2CF9AE}" pid="1726" name="hmcheck_result_a8fb1fd596ac442c9fcb085890b687e8_type">
    <vt:i4>0</vt:i4>
  </property>
  <property fmtid="{D5CDD505-2E9C-101B-9397-08002B2CF9AE}" pid="1727" name="hmcheck_result_a8fb1fd596ac442c9fcb085890b687e8_modifiedtype">
    <vt:i4>0</vt:i4>
  </property>
  <property fmtid="{D5CDD505-2E9C-101B-9397-08002B2CF9AE}" pid="1728" name="hmcheck_result_20dc493742e542b7bd4febbd58f6908f_errorword">
    <vt:lpwstr>~</vt:lpwstr>
  </property>
  <property fmtid="{D5CDD505-2E9C-101B-9397-08002B2CF9AE}" pid="1729" name="hmcheck_result_20dc493742e542b7bd4febbd58f6908f_correctwords">
    <vt:lpwstr>["～"]</vt:lpwstr>
  </property>
  <property fmtid="{D5CDD505-2E9C-101B-9397-08002B2CF9AE}" pid="1730" name="hmcheck_result_20dc493742e542b7bd4febbd58f6908f_level">
    <vt:i4>1</vt:i4>
  </property>
  <property fmtid="{D5CDD505-2E9C-101B-9397-08002B2CF9AE}" pid="1731" name="hmcheck_result_20dc493742e542b7bd4febbd58f6908f_type">
    <vt:i4>1</vt:i4>
  </property>
  <property fmtid="{D5CDD505-2E9C-101B-9397-08002B2CF9AE}" pid="1732" name="hmcheck_result_20dc493742e542b7bd4febbd58f6908f_modifiedtype">
    <vt:i4>0</vt:i4>
  </property>
  <property fmtid="{D5CDD505-2E9C-101B-9397-08002B2CF9AE}" pid="1733" name="hmcheck_result_a6763b878d2d4b6584b8ff9e37f069d4_errorword">
    <vt:lpwstr>的</vt:lpwstr>
  </property>
  <property fmtid="{D5CDD505-2E9C-101B-9397-08002B2CF9AE}" pid="1734" name="hmcheck_result_a6763b878d2d4b6584b8ff9e37f069d4_correctwords">
    <vt:lpwstr>[""]</vt:lpwstr>
  </property>
  <property fmtid="{D5CDD505-2E9C-101B-9397-08002B2CF9AE}" pid="1735" name="hmcheck_result_a6763b878d2d4b6584b8ff9e37f069d4_level">
    <vt:i4>1</vt:i4>
  </property>
  <property fmtid="{D5CDD505-2E9C-101B-9397-08002B2CF9AE}" pid="1736" name="hmcheck_result_a6763b878d2d4b6584b8ff9e37f069d4_type">
    <vt:i4>0</vt:i4>
  </property>
  <property fmtid="{D5CDD505-2E9C-101B-9397-08002B2CF9AE}" pid="1737" name="hmcheck_result_a6763b878d2d4b6584b8ff9e37f069d4_modifiedtype">
    <vt:i4>0</vt:i4>
  </property>
  <property fmtid="{D5CDD505-2E9C-101B-9397-08002B2CF9AE}" pid="1738" name="hmcheck_result_fccfebed4e0248efa8c4e91a6fc09cf8_errorword">
    <vt:lpwstr>~</vt:lpwstr>
  </property>
  <property fmtid="{D5CDD505-2E9C-101B-9397-08002B2CF9AE}" pid="1739" name="hmcheck_result_fccfebed4e0248efa8c4e91a6fc09cf8_correctwords">
    <vt:lpwstr>["～"]</vt:lpwstr>
  </property>
  <property fmtid="{D5CDD505-2E9C-101B-9397-08002B2CF9AE}" pid="1740" name="hmcheck_result_fccfebed4e0248efa8c4e91a6fc09cf8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741" name="hmcheck_result_fccfebed4e0248efa8c4e91a6fc09cf8_level">
    <vt:i4>1</vt:i4>
  </property>
  <property fmtid="{D5CDD505-2E9C-101B-9397-08002B2CF9AE}" pid="1742" name="hmcheck_result_fccfebed4e0248efa8c4e91a6fc09cf8_type">
    <vt:i4>1</vt:i4>
  </property>
  <property fmtid="{D5CDD505-2E9C-101B-9397-08002B2CF9AE}" pid="1743" name="hmcheck_result_fccfebed4e0248efa8c4e91a6fc09cf8_modifiedtype">
    <vt:i4>0</vt:i4>
  </property>
  <property fmtid="{D5CDD505-2E9C-101B-9397-08002B2CF9AE}" pid="1744" name="hmcheck_result_9b8dd5c574fd4ce2ac3672ff6362c836_errorword">
    <vt:lpwstr>铅垂向</vt:lpwstr>
  </property>
  <property fmtid="{D5CDD505-2E9C-101B-9397-08002B2CF9AE}" pid="1745" name="hmcheck_result_9b8dd5c574fd4ce2ac3672ff6362c836_correctwords">
    <vt:lpwstr>["铅垂线"]</vt:lpwstr>
  </property>
  <property fmtid="{D5CDD505-2E9C-101B-9397-08002B2CF9AE}" pid="1746" name="hmcheck_result_9b8dd5c574fd4ce2ac3672ff6362c836_level">
    <vt:i4>1</vt:i4>
  </property>
  <property fmtid="{D5CDD505-2E9C-101B-9397-08002B2CF9AE}" pid="1747" name="hmcheck_result_9b8dd5c574fd4ce2ac3672ff6362c836_type">
    <vt:i4>0</vt:i4>
  </property>
  <property fmtid="{D5CDD505-2E9C-101B-9397-08002B2CF9AE}" pid="1748" name="hmcheck_result_9b8dd5c574fd4ce2ac3672ff6362c836_modifiedtype">
    <vt:i4>0</vt:i4>
  </property>
  <property fmtid="{D5CDD505-2E9C-101B-9397-08002B2CF9AE}" pid="1749" name="hmcheck_result_687c62288587489a995c4bf7f50b9463_errorword">
    <vt:lpwstr>监测点</vt:lpwstr>
  </property>
  <property fmtid="{D5CDD505-2E9C-101B-9397-08002B2CF9AE}" pid="1750" name="hmcheck_result_687c62288587489a995c4bf7f50b9463_correctwords">
    <vt:lpwstr>["检测点"]</vt:lpwstr>
  </property>
  <property fmtid="{D5CDD505-2E9C-101B-9397-08002B2CF9AE}" pid="1751" name="hmcheck_result_687c62288587489a995c4bf7f50b9463_level">
    <vt:i4>1</vt:i4>
  </property>
  <property fmtid="{D5CDD505-2E9C-101B-9397-08002B2CF9AE}" pid="1752" name="hmcheck_result_687c62288587489a995c4bf7f50b9463_type">
    <vt:i4>0</vt:i4>
  </property>
  <property fmtid="{D5CDD505-2E9C-101B-9397-08002B2CF9AE}" pid="1753" name="hmcheck_result_687c62288587489a995c4bf7f50b9463_modifiedtype">
    <vt:i4>0</vt:i4>
  </property>
  <property fmtid="{D5CDD505-2E9C-101B-9397-08002B2CF9AE}" pid="1754" name="hmcheck_result_7ae6a2b71a5d4f2391887f6a0a2f5276_errorword">
    <vt:lpwstr>LAeq</vt:lpwstr>
  </property>
  <property fmtid="{D5CDD505-2E9C-101B-9397-08002B2CF9AE}" pid="1755" name="hmcheck_result_7ae6a2b71a5d4f2391887f6a0a2f5276_correctwords">
    <vt:lpwstr>["lae"]</vt:lpwstr>
  </property>
  <property fmtid="{D5CDD505-2E9C-101B-9397-08002B2CF9AE}" pid="1756" name="hmcheck_result_7ae6a2b71a5d4f2391887f6a0a2f5276_level">
    <vt:i4>1</vt:i4>
  </property>
  <property fmtid="{D5CDD505-2E9C-101B-9397-08002B2CF9AE}" pid="1757" name="hmcheck_result_7ae6a2b71a5d4f2391887f6a0a2f5276_type">
    <vt:i4>6</vt:i4>
  </property>
  <property fmtid="{D5CDD505-2E9C-101B-9397-08002B2CF9AE}" pid="1758" name="hmcheck_result_7ae6a2b71a5d4f2391887f6a0a2f5276_modifiedtype">
    <vt:i4>0</vt:i4>
  </property>
  <property fmtid="{D5CDD505-2E9C-101B-9397-08002B2CF9AE}" pid="1759" name="hmcheck_result_9b8166de523b4c8bae4fc884f5f45c5e_errorword">
    <vt:lpwstr>监测值</vt:lpwstr>
  </property>
  <property fmtid="{D5CDD505-2E9C-101B-9397-08002B2CF9AE}" pid="1760" name="hmcheck_result_9b8166de523b4c8bae4fc884f5f45c5e_correctwords">
    <vt:lpwstr>["检测值"]</vt:lpwstr>
  </property>
  <property fmtid="{D5CDD505-2E9C-101B-9397-08002B2CF9AE}" pid="1761" name="hmcheck_result_9b8166de523b4c8bae4fc884f5f45c5e_level">
    <vt:i4>1</vt:i4>
  </property>
  <property fmtid="{D5CDD505-2E9C-101B-9397-08002B2CF9AE}" pid="1762" name="hmcheck_result_9b8166de523b4c8bae4fc884f5f45c5e_type">
    <vt:i4>0</vt:i4>
  </property>
  <property fmtid="{D5CDD505-2E9C-101B-9397-08002B2CF9AE}" pid="1763" name="hmcheck_result_9b8166de523b4c8bae4fc884f5f45c5e_modifiedtype">
    <vt:i4>0</vt:i4>
  </property>
  <property fmtid="{D5CDD505-2E9C-101B-9397-08002B2CF9AE}" pid="1764" name="hmcheck_result_4503d22d9e9f438f8690e4f74ffe74fe_errorword">
    <vt:lpwstr>3~5</vt:lpwstr>
  </property>
  <property fmtid="{D5CDD505-2E9C-101B-9397-08002B2CF9AE}" pid="1765" name="hmcheck_result_4503d22d9e9f438f8690e4f74ffe74fe_correctwords">
    <vt:lpwstr>["&lt;有错&gt;"]</vt:lpwstr>
  </property>
  <property fmtid="{D5CDD505-2E9C-101B-9397-08002B2CF9AE}" pid="1766" name="hmcheck_result_4503d22d9e9f438f8690e4f74ffe74fe_level">
    <vt:i4>1</vt:i4>
  </property>
  <property fmtid="{D5CDD505-2E9C-101B-9397-08002B2CF9AE}" pid="1767" name="hmcheck_result_4503d22d9e9f438f8690e4f74ffe74fe_type">
    <vt:i4>0</vt:i4>
  </property>
  <property fmtid="{D5CDD505-2E9C-101B-9397-08002B2CF9AE}" pid="1768" name="hmcheck_result_4503d22d9e9f438f8690e4f74ffe74fe_modifiedtype">
    <vt:i4>0</vt:i4>
  </property>
  <property fmtid="{D5CDD505-2E9C-101B-9397-08002B2CF9AE}" pid="1769" name="hmcheck_result_125f9d9ba70740f8ae54de39cfeb8471_errorword">
    <vt:lpwstr>不得泄漏</vt:lpwstr>
  </property>
  <property fmtid="{D5CDD505-2E9C-101B-9397-08002B2CF9AE}" pid="1770" name="hmcheck_result_125f9d9ba70740f8ae54de39cfeb8471_correctwords">
    <vt:lpwstr>["不得泄露"]</vt:lpwstr>
  </property>
  <property fmtid="{D5CDD505-2E9C-101B-9397-08002B2CF9AE}" pid="1771" name="hmcheck_result_125f9d9ba70740f8ae54de39cfeb8471_level">
    <vt:i4>1</vt:i4>
  </property>
  <property fmtid="{D5CDD505-2E9C-101B-9397-08002B2CF9AE}" pid="1772" name="hmcheck_result_125f9d9ba70740f8ae54de39cfeb8471_type">
    <vt:i4>5</vt:i4>
  </property>
  <property fmtid="{D5CDD505-2E9C-101B-9397-08002B2CF9AE}" pid="1773" name="hmcheck_result_125f9d9ba70740f8ae54de39cfeb8471_modifiedtype">
    <vt:i4>0</vt:i4>
  </property>
  <property fmtid="{D5CDD505-2E9C-101B-9397-08002B2CF9AE}" pid="1774" name="hmcheck_result_58ab1285b0ee403a933de04fe5571c73_errorword">
    <vt:lpwstr>~</vt:lpwstr>
  </property>
  <property fmtid="{D5CDD505-2E9C-101B-9397-08002B2CF9AE}" pid="1775" name="hmcheck_result_58ab1285b0ee403a933de04fe5571c73_correctwords">
    <vt:lpwstr>["～"]</vt:lpwstr>
  </property>
  <property fmtid="{D5CDD505-2E9C-101B-9397-08002B2CF9AE}" pid="1776" name="hmcheck_result_58ab1285b0ee403a933de04fe5571c73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777" name="hmcheck_result_58ab1285b0ee403a933de04fe5571c73_level">
    <vt:i4>1</vt:i4>
  </property>
  <property fmtid="{D5CDD505-2E9C-101B-9397-08002B2CF9AE}" pid="1778" name="hmcheck_result_58ab1285b0ee403a933de04fe5571c73_type">
    <vt:i4>1</vt:i4>
  </property>
  <property fmtid="{D5CDD505-2E9C-101B-9397-08002B2CF9AE}" pid="1779" name="hmcheck_result_58ab1285b0ee403a933de04fe5571c73_modifiedtype">
    <vt:i4>0</vt:i4>
  </property>
  <property fmtid="{D5CDD505-2E9C-101B-9397-08002B2CF9AE}" pid="1780" name="hmcheck_result_e49a090182454c3d8129ca659f622d65_errorword">
    <vt:lpwstr>~</vt:lpwstr>
  </property>
  <property fmtid="{D5CDD505-2E9C-101B-9397-08002B2CF9AE}" pid="1781" name="hmcheck_result_e49a090182454c3d8129ca659f622d65_correctwords">
    <vt:lpwstr>["～"]</vt:lpwstr>
  </property>
  <property fmtid="{D5CDD505-2E9C-101B-9397-08002B2CF9AE}" pid="1782" name="hmcheck_result_e49a090182454c3d8129ca659f622d65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1783" name="hmcheck_result_e49a090182454c3d8129ca659f622d65_level">
    <vt:i4>1</vt:i4>
  </property>
  <property fmtid="{D5CDD505-2E9C-101B-9397-08002B2CF9AE}" pid="1784" name="hmcheck_result_e49a090182454c3d8129ca659f622d65_type">
    <vt:i4>1</vt:i4>
  </property>
  <property fmtid="{D5CDD505-2E9C-101B-9397-08002B2CF9AE}" pid="1785" name="hmcheck_result_e49a090182454c3d8129ca659f622d65_modifiedtype">
    <vt:i4>0</vt:i4>
  </property>
  <property fmtid="{D5CDD505-2E9C-101B-9397-08002B2CF9AE}" pid="1786" name="hmcheck_result_a869202ab30647f79329b44a2b832e2d_errorword">
    <vt:lpwstr>~</vt:lpwstr>
  </property>
  <property fmtid="{D5CDD505-2E9C-101B-9397-08002B2CF9AE}" pid="1787" name="hmcheck_result_a869202ab30647f79329b44a2b832e2d_correctwords">
    <vt:lpwstr>["～"]</vt:lpwstr>
  </property>
  <property fmtid="{D5CDD505-2E9C-101B-9397-08002B2CF9AE}" pid="1788" name="hmcheck_result_a869202ab30647f79329b44a2b832e2d_level">
    <vt:i4>1</vt:i4>
  </property>
  <property fmtid="{D5CDD505-2E9C-101B-9397-08002B2CF9AE}" pid="1789" name="hmcheck_result_a869202ab30647f79329b44a2b832e2d_type">
    <vt:i4>1</vt:i4>
  </property>
  <property fmtid="{D5CDD505-2E9C-101B-9397-08002B2CF9AE}" pid="1790" name="hmcheck_result_a869202ab30647f79329b44a2b832e2d_modifiedtype">
    <vt:i4>0</vt:i4>
  </property>
  <property fmtid="{D5CDD505-2E9C-101B-9397-08002B2CF9AE}" pid="1791" name="hmcheck_result_459ee8763ecd4648afebb5b727e7e142_errorword">
    <vt:lpwstr>路面</vt:lpwstr>
  </property>
  <property fmtid="{D5CDD505-2E9C-101B-9397-08002B2CF9AE}" pid="1792" name="hmcheck_result_459ee8763ecd4648afebb5b727e7e142_correctwords">
    <vt:lpwstr>["面"]</vt:lpwstr>
  </property>
  <property fmtid="{D5CDD505-2E9C-101B-9397-08002B2CF9AE}" pid="1793" name="hmcheck_result_459ee8763ecd4648afebb5b727e7e142_level">
    <vt:i4>1</vt:i4>
  </property>
  <property fmtid="{D5CDD505-2E9C-101B-9397-08002B2CF9AE}" pid="1794" name="hmcheck_result_459ee8763ecd4648afebb5b727e7e142_type">
    <vt:i4>0</vt:i4>
  </property>
  <property fmtid="{D5CDD505-2E9C-101B-9397-08002B2CF9AE}" pid="1795" name="hmcheck_result_459ee8763ecd4648afebb5b727e7e142_modifiedtype">
    <vt:i4>0</vt:i4>
  </property>
  <property fmtid="{D5CDD505-2E9C-101B-9397-08002B2CF9AE}" pid="1796" name="hmcheck_result_363d1c2756db4de090251ffe7cf9321f_errorword">
    <vt:lpwstr>砂袋</vt:lpwstr>
  </property>
  <property fmtid="{D5CDD505-2E9C-101B-9397-08002B2CF9AE}" pid="1797" name="hmcheck_result_363d1c2756db4de090251ffe7cf9321f_correctwords">
    <vt:lpwstr>["沙袋"]</vt:lpwstr>
  </property>
  <property fmtid="{D5CDD505-2E9C-101B-9397-08002B2CF9AE}" pid="1798" name="hmcheck_result_363d1c2756db4de090251ffe7cf9321f_errordescription">
    <vt:lpwstr>繁体字/异形词错误</vt:lpwstr>
  </property>
  <property fmtid="{D5CDD505-2E9C-101B-9397-08002B2CF9AE}" pid="1799" name="hmcheck_result_363d1c2756db4de090251ffe7cf9321f_level">
    <vt:i4>1</vt:i4>
  </property>
  <property fmtid="{D5CDD505-2E9C-101B-9397-08002B2CF9AE}" pid="1800" name="hmcheck_result_363d1c2756db4de090251ffe7cf9321f_type">
    <vt:i4>0</vt:i4>
  </property>
  <property fmtid="{D5CDD505-2E9C-101B-9397-08002B2CF9AE}" pid="1801" name="hmcheck_result_363d1c2756db4de090251ffe7cf9321f_modifiedtype">
    <vt:i4>0</vt:i4>
  </property>
  <property fmtid="{D5CDD505-2E9C-101B-9397-08002B2CF9AE}" pid="1802" name="hmcheck_result_15b8fdfbf8784742a9c7484006e6cb06_errorword">
    <vt:lpwstr>处理场</vt:lpwstr>
  </property>
  <property fmtid="{D5CDD505-2E9C-101B-9397-08002B2CF9AE}" pid="1803" name="hmcheck_result_15b8fdfbf8784742a9c7484006e6cb06_correctwords">
    <vt:lpwstr>["处理厂"]</vt:lpwstr>
  </property>
  <property fmtid="{D5CDD505-2E9C-101B-9397-08002B2CF9AE}" pid="1804" name="hmcheck_result_15b8fdfbf8784742a9c7484006e6cb06_level">
    <vt:i4>1</vt:i4>
  </property>
  <property fmtid="{D5CDD505-2E9C-101B-9397-08002B2CF9AE}" pid="1805" name="hmcheck_result_15b8fdfbf8784742a9c7484006e6cb06_type">
    <vt:i4>0</vt:i4>
  </property>
  <property fmtid="{D5CDD505-2E9C-101B-9397-08002B2CF9AE}" pid="1806" name="hmcheck_result_15b8fdfbf8784742a9c7484006e6cb06_modifiedtype">
    <vt:i4>0</vt:i4>
  </property>
  <property fmtid="{D5CDD505-2E9C-101B-9397-08002B2CF9AE}" pid="1807" name="hmcheck_result_3a87241eb5a348818e7500fa848ea327_errorword">
    <vt:lpwstr>罐源</vt:lpwstr>
  </property>
  <property fmtid="{D5CDD505-2E9C-101B-9397-08002B2CF9AE}" pid="1808" name="hmcheck_result_3a87241eb5a348818e7500fa848ea327_correctwords">
    <vt:lpwstr>["火源"]</vt:lpwstr>
  </property>
  <property fmtid="{D5CDD505-2E9C-101B-9397-08002B2CF9AE}" pid="1809" name="hmcheck_result_3a87241eb5a348818e7500fa848ea327_level">
    <vt:i4>1</vt:i4>
  </property>
  <property fmtid="{D5CDD505-2E9C-101B-9397-08002B2CF9AE}" pid="1810" name="hmcheck_result_3a87241eb5a348818e7500fa848ea327_type">
    <vt:i4>0</vt:i4>
  </property>
  <property fmtid="{D5CDD505-2E9C-101B-9397-08002B2CF9AE}" pid="1811" name="hmcheck_result_3a87241eb5a348818e7500fa848ea327_modifiedtype">
    <vt:i4>0</vt:i4>
  </property>
  <property fmtid="{D5CDD505-2E9C-101B-9397-08002B2CF9AE}" pid="1812" name="hmcheck_result_e9018d3aa47f4164bd59b4b43a49edab_errorword">
    <vt:lpwstr>漂散</vt:lpwstr>
  </property>
  <property fmtid="{D5CDD505-2E9C-101B-9397-08002B2CF9AE}" pid="1813" name="hmcheck_result_e9018d3aa47f4164bd59b4b43a49edab_correctwords">
    <vt:lpwstr>["飘散"]</vt:lpwstr>
  </property>
  <property fmtid="{D5CDD505-2E9C-101B-9397-08002B2CF9AE}" pid="1814" name="hmcheck_result_e9018d3aa47f4164bd59b4b43a49edab_level">
    <vt:i4>1</vt:i4>
  </property>
  <property fmtid="{D5CDD505-2E9C-101B-9397-08002B2CF9AE}" pid="1815" name="hmcheck_result_e9018d3aa47f4164bd59b4b43a49edab_type">
    <vt:i4>0</vt:i4>
  </property>
  <property fmtid="{D5CDD505-2E9C-101B-9397-08002B2CF9AE}" pid="1816" name="hmcheck_result_e9018d3aa47f4164bd59b4b43a49edab_modifiedtype">
    <vt:i4>0</vt:i4>
  </property>
  <property fmtid="{D5CDD505-2E9C-101B-9397-08002B2CF9AE}" pid="1817" name="hmcheck_result_a152a249af904fb5a152e6f8fba16bc4_errorword">
    <vt:lpwstr>围油</vt:lpwstr>
  </property>
  <property fmtid="{D5CDD505-2E9C-101B-9397-08002B2CF9AE}" pid="1818" name="hmcheck_result_a152a249af904fb5a152e6f8fba16bc4_correctwords">
    <vt:lpwstr>["围护"]</vt:lpwstr>
  </property>
  <property fmtid="{D5CDD505-2E9C-101B-9397-08002B2CF9AE}" pid="1819" name="hmcheck_result_a152a249af904fb5a152e6f8fba16bc4_level">
    <vt:i4>1</vt:i4>
  </property>
  <property fmtid="{D5CDD505-2E9C-101B-9397-08002B2CF9AE}" pid="1820" name="hmcheck_result_a152a249af904fb5a152e6f8fba16bc4_type">
    <vt:i4>0</vt:i4>
  </property>
  <property fmtid="{D5CDD505-2E9C-101B-9397-08002B2CF9AE}" pid="1821" name="hmcheck_result_a152a249af904fb5a152e6f8fba16bc4_modifiedtype">
    <vt:i4>0</vt:i4>
  </property>
  <property fmtid="{D5CDD505-2E9C-101B-9397-08002B2CF9AE}" pid="1822" name="hmcheck_result_dd5aeb7c330944cc892a150a03a2b8d6_errorword">
    <vt:lpwstr>漂散</vt:lpwstr>
  </property>
  <property fmtid="{D5CDD505-2E9C-101B-9397-08002B2CF9AE}" pid="1823" name="hmcheck_result_dd5aeb7c330944cc892a150a03a2b8d6_correctwords">
    <vt:lpwstr>["飘散"]</vt:lpwstr>
  </property>
  <property fmtid="{D5CDD505-2E9C-101B-9397-08002B2CF9AE}" pid="1824" name="hmcheck_result_dd5aeb7c330944cc892a150a03a2b8d6_level">
    <vt:i4>1</vt:i4>
  </property>
  <property fmtid="{D5CDD505-2E9C-101B-9397-08002B2CF9AE}" pid="1825" name="hmcheck_result_dd5aeb7c330944cc892a150a03a2b8d6_type">
    <vt:i4>0</vt:i4>
  </property>
  <property fmtid="{D5CDD505-2E9C-101B-9397-08002B2CF9AE}" pid="1826" name="hmcheck_result_dd5aeb7c330944cc892a150a03a2b8d6_modifiedtype">
    <vt:i4>0</vt:i4>
  </property>
  <property fmtid="{D5CDD505-2E9C-101B-9397-08002B2CF9AE}" pid="1827" name="hmcheck_result_598a617df5b340a98aa44755378fc325_errorword">
    <vt:lpwstr>水稳拌和站</vt:lpwstr>
  </property>
  <property fmtid="{D5CDD505-2E9C-101B-9397-08002B2CF9AE}" pid="1828" name="hmcheck_result_598a617df5b340a98aa44755378fc325_correctwords">
    <vt:lpwstr>["水稳拌合站"]</vt:lpwstr>
  </property>
  <property fmtid="{D5CDD505-2E9C-101B-9397-08002B2CF9AE}" pid="1829" name="hmcheck_result_598a617df5b340a98aa44755378fc325_level">
    <vt:i4>1</vt:i4>
  </property>
  <property fmtid="{D5CDD505-2E9C-101B-9397-08002B2CF9AE}" pid="1830" name="hmcheck_result_598a617df5b340a98aa44755378fc325_type">
    <vt:i4>0</vt:i4>
  </property>
  <property fmtid="{D5CDD505-2E9C-101B-9397-08002B2CF9AE}" pid="1831" name="hmcheck_result_598a617df5b340a98aa44755378fc325_modifiedtype">
    <vt:i4>0</vt:i4>
  </property>
  <property fmtid="{D5CDD505-2E9C-101B-9397-08002B2CF9AE}" pid="1832" name="hmcheck_result_f50365b8413e4fc0bf3545092f094b57_errorword">
    <vt:lpwstr>000~</vt:lpwstr>
  </property>
  <property fmtid="{D5CDD505-2E9C-101B-9397-08002B2CF9AE}" pid="1833" name="hmcheck_result_f50365b8413e4fc0bf3545092f094b57_correctwords">
    <vt:lpwstr>["&lt;有错&gt;"]</vt:lpwstr>
  </property>
  <property fmtid="{D5CDD505-2E9C-101B-9397-08002B2CF9AE}" pid="1834" name="hmcheck_result_f50365b8413e4fc0bf3545092f094b57_level">
    <vt:i4>1</vt:i4>
  </property>
  <property fmtid="{D5CDD505-2E9C-101B-9397-08002B2CF9AE}" pid="1835" name="hmcheck_result_f50365b8413e4fc0bf3545092f094b57_type">
    <vt:i4>0</vt:i4>
  </property>
  <property fmtid="{D5CDD505-2E9C-101B-9397-08002B2CF9AE}" pid="1836" name="hmcheck_result_f50365b8413e4fc0bf3545092f094b57_modifiedtype">
    <vt:i4>0</vt:i4>
  </property>
  <property fmtid="{D5CDD505-2E9C-101B-9397-08002B2CF9AE}" pid="1837" name="hmcheck_result_de80b6ca644b499eb5d7be8251ae4582_errorword">
    <vt:lpwstr>国家林业局</vt:lpwstr>
  </property>
  <property fmtid="{D5CDD505-2E9C-101B-9397-08002B2CF9AE}" pid="1838" name="hmcheck_result_de80b6ca644b499eb5d7be8251ae4582_correctwords">
    <vt:lpwstr>["国家林业和草原局"]</vt:lpwstr>
  </property>
  <property fmtid="{D5CDD505-2E9C-101B-9397-08002B2CF9AE}" pid="1839" name="hmcheck_result_de80b6ca644b499eb5d7be8251ae4582_errordescription">
    <vt:lpwstr>误用该机关单位的曾用名</vt:lpwstr>
  </property>
  <property fmtid="{D5CDD505-2E9C-101B-9397-08002B2CF9AE}" pid="1840" name="hmcheck_result_de80b6ca644b499eb5d7be8251ae4582_level">
    <vt:i4>1</vt:i4>
  </property>
  <property fmtid="{D5CDD505-2E9C-101B-9397-08002B2CF9AE}" pid="1841" name="hmcheck_result_de80b6ca644b499eb5d7be8251ae4582_type">
    <vt:i4>9</vt:i4>
  </property>
  <property fmtid="{D5CDD505-2E9C-101B-9397-08002B2CF9AE}" pid="1842" name="hmcheck_result_de80b6ca644b499eb5d7be8251ae4582_modifiedtype">
    <vt:i4>2</vt:i4>
  </property>
  <property fmtid="{D5CDD505-2E9C-101B-9397-08002B2CF9AE}" pid="1843" name="hmcheck_result_9db411d842ff4b93893211899d41bacd_errorword">
    <vt:lpwstr>地位置</vt:lpwstr>
  </property>
  <property fmtid="{D5CDD505-2E9C-101B-9397-08002B2CF9AE}" pid="1844" name="hmcheck_result_9db411d842ff4b93893211899d41bacd_correctwords">
    <vt:lpwstr>["的位置"]</vt:lpwstr>
  </property>
  <property fmtid="{D5CDD505-2E9C-101B-9397-08002B2CF9AE}" pid="1845" name="hmcheck_result_9db411d842ff4b93893211899d41bacd_level">
    <vt:i4>1</vt:i4>
  </property>
  <property fmtid="{D5CDD505-2E9C-101B-9397-08002B2CF9AE}" pid="1846" name="hmcheck_result_9db411d842ff4b93893211899d41bacd_type">
    <vt:i4>4</vt:i4>
  </property>
  <property fmtid="{D5CDD505-2E9C-101B-9397-08002B2CF9AE}" pid="1847" name="hmcheck_result_9db411d842ff4b93893211899d41bacd_modifiedtype">
    <vt:i4>0</vt:i4>
  </property>
  <property fmtid="{D5CDD505-2E9C-101B-9397-08002B2CF9AE}" pid="1848" name="hmcheck_result_9cfd3c8b86b54571923f38406db70ca8_errorword">
    <vt:lpwstr>其它国家和</vt:lpwstr>
  </property>
  <property fmtid="{D5CDD505-2E9C-101B-9397-08002B2CF9AE}" pid="1849" name="hmcheck_result_9cfd3c8b86b54571923f38406db70ca8_correctwords">
    <vt:lpwstr>["其他国家和"]</vt:lpwstr>
  </property>
  <property fmtid="{D5CDD505-2E9C-101B-9397-08002B2CF9AE}" pid="1850" name="hmcheck_result_9cfd3c8b86b54571923f38406db70ca8_level">
    <vt:i4>1</vt:i4>
  </property>
  <property fmtid="{D5CDD505-2E9C-101B-9397-08002B2CF9AE}" pid="1851" name="hmcheck_result_9cfd3c8b86b54571923f38406db70ca8_type">
    <vt:i4>5</vt:i4>
  </property>
  <property fmtid="{D5CDD505-2E9C-101B-9397-08002B2CF9AE}" pid="1852" name="hmcheck_result_9cfd3c8b86b54571923f38406db70ca8_modifiedtype">
    <vt:i4>0</vt:i4>
  </property>
  <property fmtid="{D5CDD505-2E9C-101B-9397-08002B2CF9AE}" pid="1853" name="hmcheck_result_5b7778299e944d2fac9b7bc20c4d3432_errorword">
    <vt:lpwstr>沉砂池</vt:lpwstr>
  </property>
  <property fmtid="{D5CDD505-2E9C-101B-9397-08002B2CF9AE}" pid="1854" name="hmcheck_result_5b7778299e944d2fac9b7bc20c4d3432_correctwords">
    <vt:lpwstr>["沉沙池"]</vt:lpwstr>
  </property>
  <property fmtid="{D5CDD505-2E9C-101B-9397-08002B2CF9AE}" pid="1855" name="hmcheck_result_5b7778299e944d2fac9b7bc20c4d3432_level">
    <vt:i4>1</vt:i4>
  </property>
  <property fmtid="{D5CDD505-2E9C-101B-9397-08002B2CF9AE}" pid="1856" name="hmcheck_result_5b7778299e944d2fac9b7bc20c4d3432_type">
    <vt:i4>0</vt:i4>
  </property>
  <property fmtid="{D5CDD505-2E9C-101B-9397-08002B2CF9AE}" pid="1857" name="hmcheck_result_5b7778299e944d2fac9b7bc20c4d3432_modifiedtype">
    <vt:i4>0</vt:i4>
  </property>
  <property fmtid="{D5CDD505-2E9C-101B-9397-08002B2CF9AE}" pid="1858" name="hmcheck_result_ec592d52dee44aeab1269dbd00002780_errorword">
    <vt:lpwstr>攀沿</vt:lpwstr>
  </property>
  <property fmtid="{D5CDD505-2E9C-101B-9397-08002B2CF9AE}" pid="1859" name="hmcheck_result_ec592d52dee44aeab1269dbd00002780_correctwords">
    <vt:lpwstr>["攀缘"]</vt:lpwstr>
  </property>
  <property fmtid="{D5CDD505-2E9C-101B-9397-08002B2CF9AE}" pid="1860" name="hmcheck_result_ec592d52dee44aeab1269dbd00002780_level">
    <vt:i4>1</vt:i4>
  </property>
  <property fmtid="{D5CDD505-2E9C-101B-9397-08002B2CF9AE}" pid="1861" name="hmcheck_result_ec592d52dee44aeab1269dbd00002780_type">
    <vt:i4>0</vt:i4>
  </property>
  <property fmtid="{D5CDD505-2E9C-101B-9397-08002B2CF9AE}" pid="1862" name="hmcheck_result_ec592d52dee44aeab1269dbd00002780_modifiedtype">
    <vt:i4>0</vt:i4>
  </property>
  <property fmtid="{D5CDD505-2E9C-101B-9397-08002B2CF9AE}" pid="1863" name="hmcheck_result_a9a5f46de7ff418c9f0a7aa2f4a17473_errorword">
    <vt:lpwstr>水稳拌和站</vt:lpwstr>
  </property>
  <property fmtid="{D5CDD505-2E9C-101B-9397-08002B2CF9AE}" pid="1864" name="hmcheck_result_a9a5f46de7ff418c9f0a7aa2f4a17473_correctwords">
    <vt:lpwstr>["水稳拌合站"]</vt:lpwstr>
  </property>
  <property fmtid="{D5CDD505-2E9C-101B-9397-08002B2CF9AE}" pid="1865" name="hmcheck_result_a9a5f46de7ff418c9f0a7aa2f4a17473_level">
    <vt:i4>1</vt:i4>
  </property>
  <property fmtid="{D5CDD505-2E9C-101B-9397-08002B2CF9AE}" pid="1866" name="hmcheck_result_a9a5f46de7ff418c9f0a7aa2f4a17473_type">
    <vt:i4>0</vt:i4>
  </property>
  <property fmtid="{D5CDD505-2E9C-101B-9397-08002B2CF9AE}" pid="1867" name="hmcheck_result_a9a5f46de7ff418c9f0a7aa2f4a17473_modifiedtype">
    <vt:i4>0</vt:i4>
  </property>
  <property fmtid="{D5CDD505-2E9C-101B-9397-08002B2CF9AE}" pid="1868" name="hmcheck_result_39bd5e1213da48cc861028caec597250_errorword">
    <vt:lpwstr>回用于</vt:lpwstr>
  </property>
  <property fmtid="{D5CDD505-2E9C-101B-9397-08002B2CF9AE}" pid="1869" name="hmcheck_result_39bd5e1213da48cc861028caec597250_correctwords">
    <vt:lpwstr>["可用于"]</vt:lpwstr>
  </property>
  <property fmtid="{D5CDD505-2E9C-101B-9397-08002B2CF9AE}" pid="1870" name="hmcheck_result_39bd5e1213da48cc861028caec597250_level">
    <vt:i4>1</vt:i4>
  </property>
  <property fmtid="{D5CDD505-2E9C-101B-9397-08002B2CF9AE}" pid="1871" name="hmcheck_result_39bd5e1213da48cc861028caec597250_type">
    <vt:i4>0</vt:i4>
  </property>
  <property fmtid="{D5CDD505-2E9C-101B-9397-08002B2CF9AE}" pid="1872" name="hmcheck_result_39bd5e1213da48cc861028caec597250_modifiedtype">
    <vt:i4>0</vt:i4>
  </property>
  <property fmtid="{D5CDD505-2E9C-101B-9397-08002B2CF9AE}" pid="1873" name="hmcheck_result_0c6437658067449b8a010ab27d549f2c_errorword">
    <vt:lpwstr>加篷</vt:lpwstr>
  </property>
  <property fmtid="{D5CDD505-2E9C-101B-9397-08002B2CF9AE}" pid="1874" name="hmcheck_result_0c6437658067449b8a010ab27d549f2c_correctwords">
    <vt:lpwstr>["加蓬"]</vt:lpwstr>
  </property>
  <property fmtid="{D5CDD505-2E9C-101B-9397-08002B2CF9AE}" pid="1875" name="hmcheck_result_0c6437658067449b8a010ab27d549f2c_level">
    <vt:i4>1</vt:i4>
  </property>
  <property fmtid="{D5CDD505-2E9C-101B-9397-08002B2CF9AE}" pid="1876" name="hmcheck_result_0c6437658067449b8a010ab27d549f2c_type">
    <vt:i4>0</vt:i4>
  </property>
  <property fmtid="{D5CDD505-2E9C-101B-9397-08002B2CF9AE}" pid="1877" name="hmcheck_result_0c6437658067449b8a010ab27d549f2c_modifiedtype">
    <vt:i4>0</vt:i4>
  </property>
  <property fmtid="{D5CDD505-2E9C-101B-9397-08002B2CF9AE}" pid="1878" name="hmcheck_result_f33f5dcf6f09495598bc59f1be01bd37_errorword">
    <vt:lpwstr>抛撒</vt:lpwstr>
  </property>
  <property fmtid="{D5CDD505-2E9C-101B-9397-08002B2CF9AE}" pid="1879" name="hmcheck_result_f33f5dcf6f09495598bc59f1be01bd37_correctwords">
    <vt:lpwstr>["抛洒"]</vt:lpwstr>
  </property>
  <property fmtid="{D5CDD505-2E9C-101B-9397-08002B2CF9AE}" pid="1880" name="hmcheck_result_f33f5dcf6f09495598bc59f1be01bd37_level">
    <vt:i4>1</vt:i4>
  </property>
  <property fmtid="{D5CDD505-2E9C-101B-9397-08002B2CF9AE}" pid="1881" name="hmcheck_result_f33f5dcf6f09495598bc59f1be01bd37_type">
    <vt:i4>0</vt:i4>
  </property>
  <property fmtid="{D5CDD505-2E9C-101B-9397-08002B2CF9AE}" pid="1882" name="hmcheck_result_f33f5dcf6f09495598bc59f1be01bd37_modifiedtype">
    <vt:i4>0</vt:i4>
  </property>
  <property fmtid="{D5CDD505-2E9C-101B-9397-08002B2CF9AE}" pid="1883" name="hmcheck_result_b4111d172f524bb4871ccfd1fe81bb1a_errorword">
    <vt:lpwstr>拌和</vt:lpwstr>
  </property>
  <property fmtid="{D5CDD505-2E9C-101B-9397-08002B2CF9AE}" pid="1884" name="hmcheck_result_b4111d172f524bb4871ccfd1fe81bb1a_correctwords">
    <vt:lpwstr>["拌合"]</vt:lpwstr>
  </property>
  <property fmtid="{D5CDD505-2E9C-101B-9397-08002B2CF9AE}" pid="1885" name="hmcheck_result_b4111d172f524bb4871ccfd1fe81bb1a_level">
    <vt:i4>1</vt:i4>
  </property>
  <property fmtid="{D5CDD505-2E9C-101B-9397-08002B2CF9AE}" pid="1886" name="hmcheck_result_b4111d172f524bb4871ccfd1fe81bb1a_type">
    <vt:i4>0</vt:i4>
  </property>
  <property fmtid="{D5CDD505-2E9C-101B-9397-08002B2CF9AE}" pid="1887" name="hmcheck_result_b4111d172f524bb4871ccfd1fe81bb1a_modifiedtype">
    <vt:i4>0</vt:i4>
  </property>
  <property fmtid="{D5CDD505-2E9C-101B-9397-08002B2CF9AE}" pid="1888" name="hmcheck_result_2ecdd991d8ce4486bc252a58792a2917_errorword">
    <vt:lpwstr>水稳拌和站</vt:lpwstr>
  </property>
  <property fmtid="{D5CDD505-2E9C-101B-9397-08002B2CF9AE}" pid="1889" name="hmcheck_result_2ecdd991d8ce4486bc252a58792a2917_correctwords">
    <vt:lpwstr>["水稳拌合站"]</vt:lpwstr>
  </property>
  <property fmtid="{D5CDD505-2E9C-101B-9397-08002B2CF9AE}" pid="1890" name="hmcheck_result_2ecdd991d8ce4486bc252a58792a2917_level">
    <vt:i4>1</vt:i4>
  </property>
  <property fmtid="{D5CDD505-2E9C-101B-9397-08002B2CF9AE}" pid="1891" name="hmcheck_result_2ecdd991d8ce4486bc252a58792a2917_type">
    <vt:i4>0</vt:i4>
  </property>
  <property fmtid="{D5CDD505-2E9C-101B-9397-08002B2CF9AE}" pid="1892" name="hmcheck_result_2ecdd991d8ce4486bc252a58792a2917_modifiedtype">
    <vt:i4>0</vt:i4>
  </property>
  <property fmtid="{D5CDD505-2E9C-101B-9397-08002B2CF9AE}" pid="1893" name="hmcheck_result_83c806980da94690a6538ebe405ed265_errorword">
    <vt:lpwstr>外逸</vt:lpwstr>
  </property>
  <property fmtid="{D5CDD505-2E9C-101B-9397-08002B2CF9AE}" pid="1894" name="hmcheck_result_83c806980da94690a6538ebe405ed265_correctwords">
    <vt:lpwstr>["外溢"]</vt:lpwstr>
  </property>
  <property fmtid="{D5CDD505-2E9C-101B-9397-08002B2CF9AE}" pid="1895" name="hmcheck_result_83c806980da94690a6538ebe405ed265_level">
    <vt:i4>1</vt:i4>
  </property>
  <property fmtid="{D5CDD505-2E9C-101B-9397-08002B2CF9AE}" pid="1896" name="hmcheck_result_83c806980da94690a6538ebe405ed265_type">
    <vt:i4>0</vt:i4>
  </property>
  <property fmtid="{D5CDD505-2E9C-101B-9397-08002B2CF9AE}" pid="1897" name="hmcheck_result_83c806980da94690a6538ebe405ed265_modifiedtype">
    <vt:i4>0</vt:i4>
  </property>
  <property fmtid="{D5CDD505-2E9C-101B-9397-08002B2CF9AE}" pid="1898" name="hmcheck_result_0852472b462b4dea997076cab433e9ab_errorword">
    <vt:lpwstr>：</vt:lpwstr>
  </property>
  <property fmtid="{D5CDD505-2E9C-101B-9397-08002B2CF9AE}" pid="1899" name="hmcheck_result_0852472b462b4dea997076cab433e9ab_correctwords">
    <vt:lpwstr>[":"]</vt:lpwstr>
  </property>
  <property fmtid="{D5CDD505-2E9C-101B-9397-08002B2CF9AE}" pid="1900" name="hmcheck_result_0852472b462b4dea997076cab433e9ab_errordescription">
    <vt:lpwstr>文本全半角错误</vt:lpwstr>
  </property>
  <property fmtid="{D5CDD505-2E9C-101B-9397-08002B2CF9AE}" pid="1901" name="hmcheck_result_0852472b462b4dea997076cab433e9ab_level">
    <vt:i4>1</vt:i4>
  </property>
  <property fmtid="{D5CDD505-2E9C-101B-9397-08002B2CF9AE}" pid="1902" name="hmcheck_result_0852472b462b4dea997076cab433e9ab_type">
    <vt:i4>1</vt:i4>
  </property>
  <property fmtid="{D5CDD505-2E9C-101B-9397-08002B2CF9AE}" pid="1903" name="hmcheck_result_0852472b462b4dea997076cab433e9ab_modifiedtype">
    <vt:i4>0</vt:i4>
  </property>
  <property fmtid="{D5CDD505-2E9C-101B-9397-08002B2CF9AE}" pid="1904" name="hmcheck_result_c6f9a485543b43faaba196d2fdec534b_errorword">
    <vt:lpwstr>：</vt:lpwstr>
  </property>
  <property fmtid="{D5CDD505-2E9C-101B-9397-08002B2CF9AE}" pid="1905" name="hmcheck_result_c6f9a485543b43faaba196d2fdec534b_correctwords">
    <vt:lpwstr>[":"]</vt:lpwstr>
  </property>
  <property fmtid="{D5CDD505-2E9C-101B-9397-08002B2CF9AE}" pid="1906" name="hmcheck_result_c6f9a485543b43faaba196d2fdec534b_errordescription">
    <vt:lpwstr>文本全半角错误</vt:lpwstr>
  </property>
  <property fmtid="{D5CDD505-2E9C-101B-9397-08002B2CF9AE}" pid="1907" name="hmcheck_result_c6f9a485543b43faaba196d2fdec534b_level">
    <vt:i4>1</vt:i4>
  </property>
  <property fmtid="{D5CDD505-2E9C-101B-9397-08002B2CF9AE}" pid="1908" name="hmcheck_result_c6f9a485543b43faaba196d2fdec534b_type">
    <vt:i4>1</vt:i4>
  </property>
  <property fmtid="{D5CDD505-2E9C-101B-9397-08002B2CF9AE}" pid="1909" name="hmcheck_result_c6f9a485543b43faaba196d2fdec534b_modifiedtype">
    <vt:i4>0</vt:i4>
  </property>
  <property fmtid="{D5CDD505-2E9C-101B-9397-08002B2CF9AE}" pid="1910" name="hmcheck_result_1f14e2eb0cc344ccaa685f2cfca53634_errorword">
    <vt:lpwstr>：</vt:lpwstr>
  </property>
  <property fmtid="{D5CDD505-2E9C-101B-9397-08002B2CF9AE}" pid="1911" name="hmcheck_result_1f14e2eb0cc344ccaa685f2cfca53634_correctwords">
    <vt:lpwstr>[":"]</vt:lpwstr>
  </property>
  <property fmtid="{D5CDD505-2E9C-101B-9397-08002B2CF9AE}" pid="1912" name="hmcheck_result_1f14e2eb0cc344ccaa685f2cfca53634_errordescription">
    <vt:lpwstr>文本全半角错误</vt:lpwstr>
  </property>
  <property fmtid="{D5CDD505-2E9C-101B-9397-08002B2CF9AE}" pid="1913" name="hmcheck_result_1f14e2eb0cc344ccaa685f2cfca53634_level">
    <vt:i4>1</vt:i4>
  </property>
  <property fmtid="{D5CDD505-2E9C-101B-9397-08002B2CF9AE}" pid="1914" name="hmcheck_result_1f14e2eb0cc344ccaa685f2cfca53634_type">
    <vt:i4>1</vt:i4>
  </property>
  <property fmtid="{D5CDD505-2E9C-101B-9397-08002B2CF9AE}" pid="1915" name="hmcheck_result_1f14e2eb0cc344ccaa685f2cfca53634_modifiedtype">
    <vt:i4>0</vt:i4>
  </property>
  <property fmtid="{D5CDD505-2E9C-101B-9397-08002B2CF9AE}" pid="1916" name="hmcheck_result_7b47aff8a8254ef5aa3de20b5d961c5b_errorword">
    <vt:lpwstr>：</vt:lpwstr>
  </property>
  <property fmtid="{D5CDD505-2E9C-101B-9397-08002B2CF9AE}" pid="1917" name="hmcheck_result_7b47aff8a8254ef5aa3de20b5d961c5b_correctwords">
    <vt:lpwstr>[":"]</vt:lpwstr>
  </property>
  <property fmtid="{D5CDD505-2E9C-101B-9397-08002B2CF9AE}" pid="1918" name="hmcheck_result_7b47aff8a8254ef5aa3de20b5d961c5b_errordescription">
    <vt:lpwstr>文本全半角错误</vt:lpwstr>
  </property>
  <property fmtid="{D5CDD505-2E9C-101B-9397-08002B2CF9AE}" pid="1919" name="hmcheck_result_7b47aff8a8254ef5aa3de20b5d961c5b_level">
    <vt:i4>1</vt:i4>
  </property>
  <property fmtid="{D5CDD505-2E9C-101B-9397-08002B2CF9AE}" pid="1920" name="hmcheck_result_7b47aff8a8254ef5aa3de20b5d961c5b_type">
    <vt:i4>1</vt:i4>
  </property>
  <property fmtid="{D5CDD505-2E9C-101B-9397-08002B2CF9AE}" pid="1921" name="hmcheck_result_7b47aff8a8254ef5aa3de20b5d961c5b_modifiedtype">
    <vt:i4>0</vt:i4>
  </property>
  <property fmtid="{D5CDD505-2E9C-101B-9397-08002B2CF9AE}" pid="1922" name="hmcheck_result_cfc6f8080ca84f2fabcdc29fb4c64591_errorword">
    <vt:lpwstr>噪音</vt:lpwstr>
  </property>
  <property fmtid="{D5CDD505-2E9C-101B-9397-08002B2CF9AE}" pid="1923" name="hmcheck_result_cfc6f8080ca84f2fabcdc29fb4c64591_correctwords">
    <vt:lpwstr>["噪声"]</vt:lpwstr>
  </property>
  <property fmtid="{D5CDD505-2E9C-101B-9397-08002B2CF9AE}" pid="1924" name="hmcheck_result_cfc6f8080ca84f2fabcdc29fb4c64591_level">
    <vt:i4>1</vt:i4>
  </property>
  <property fmtid="{D5CDD505-2E9C-101B-9397-08002B2CF9AE}" pid="1925" name="hmcheck_result_cfc6f8080ca84f2fabcdc29fb4c64591_type">
    <vt:i4>5</vt:i4>
  </property>
  <property fmtid="{D5CDD505-2E9C-101B-9397-08002B2CF9AE}" pid="1926" name="hmcheck_result_cfc6f8080ca84f2fabcdc29fb4c64591_modifiedtype">
    <vt:i4>0</vt:i4>
  </property>
  <property fmtid="{D5CDD505-2E9C-101B-9397-08002B2CF9AE}" pid="1927" name="hmcheck_result_d78ed69ba3474cd8ab29ad9ae5478599_errorword">
    <vt:lpwstr>的跳</vt:lpwstr>
  </property>
  <property fmtid="{D5CDD505-2E9C-101B-9397-08002B2CF9AE}" pid="1928" name="hmcheck_result_d78ed69ba3474cd8ab29ad9ae5478599_correctwords">
    <vt:lpwstr>["地跳"]</vt:lpwstr>
  </property>
  <property fmtid="{D5CDD505-2E9C-101B-9397-08002B2CF9AE}" pid="1929" name="hmcheck_result_d78ed69ba3474cd8ab29ad9ae5478599_level">
    <vt:i4>1</vt:i4>
  </property>
  <property fmtid="{D5CDD505-2E9C-101B-9397-08002B2CF9AE}" pid="1930" name="hmcheck_result_d78ed69ba3474cd8ab29ad9ae5478599_type">
    <vt:i4>4</vt:i4>
  </property>
  <property fmtid="{D5CDD505-2E9C-101B-9397-08002B2CF9AE}" pid="1931" name="hmcheck_result_d78ed69ba3474cd8ab29ad9ae5478599_modifiedtype">
    <vt:i4>0</vt:i4>
  </property>
  <property fmtid="{D5CDD505-2E9C-101B-9397-08002B2CF9AE}" pid="1932" name="hmcheck_result_28037a0001704f49b03ee1d4254fdd0d_errorword">
    <vt:lpwstr>的跳</vt:lpwstr>
  </property>
  <property fmtid="{D5CDD505-2E9C-101B-9397-08002B2CF9AE}" pid="1933" name="hmcheck_result_28037a0001704f49b03ee1d4254fdd0d_correctwords">
    <vt:lpwstr>["地跳"]</vt:lpwstr>
  </property>
  <property fmtid="{D5CDD505-2E9C-101B-9397-08002B2CF9AE}" pid="1934" name="hmcheck_result_28037a0001704f49b03ee1d4254fdd0d_level">
    <vt:i4>1</vt:i4>
  </property>
  <property fmtid="{D5CDD505-2E9C-101B-9397-08002B2CF9AE}" pid="1935" name="hmcheck_result_28037a0001704f49b03ee1d4254fdd0d_type">
    <vt:i4>4</vt:i4>
  </property>
  <property fmtid="{D5CDD505-2E9C-101B-9397-08002B2CF9AE}" pid="1936" name="hmcheck_result_28037a0001704f49b03ee1d4254fdd0d_modifiedtype">
    <vt:i4>0</vt:i4>
  </property>
  <property fmtid="{D5CDD505-2E9C-101B-9397-08002B2CF9AE}" pid="1937" name="hmcheck_result_1c39cd0fe7104827be49547f83d1f315_errorword">
    <vt:lpwstr>农</vt:lpwstr>
  </property>
  <property fmtid="{D5CDD505-2E9C-101B-9397-08002B2CF9AE}" pid="1938" name="hmcheck_result_1c39cd0fe7104827be49547f83d1f315_correctwords">
    <vt:lpwstr>["农业"]</vt:lpwstr>
  </property>
  <property fmtid="{D5CDD505-2E9C-101B-9397-08002B2CF9AE}" pid="1939" name="hmcheck_result_1c39cd0fe7104827be49547f83d1f315_level">
    <vt:i4>1</vt:i4>
  </property>
  <property fmtid="{D5CDD505-2E9C-101B-9397-08002B2CF9AE}" pid="1940" name="hmcheck_result_1c39cd0fe7104827be49547f83d1f315_type">
    <vt:i4>0</vt:i4>
  </property>
  <property fmtid="{D5CDD505-2E9C-101B-9397-08002B2CF9AE}" pid="1941" name="hmcheck_result_1c39cd0fe7104827be49547f83d1f315_modifiedtype">
    <vt:i4>0</vt:i4>
  </property>
  <property fmtid="{D5CDD505-2E9C-101B-9397-08002B2CF9AE}" pid="1942" name="hmcheck_result_4b10d29b20c44c3ea6627766bb79aa71_errorword">
    <vt:lpwstr>不用</vt:lpwstr>
  </property>
  <property fmtid="{D5CDD505-2E9C-101B-9397-08002B2CF9AE}" pid="1943" name="hmcheck_result_4b10d29b20c44c3ea6627766bb79aa71_correctwords">
    <vt:lpwstr>["不同"]</vt:lpwstr>
  </property>
  <property fmtid="{D5CDD505-2E9C-101B-9397-08002B2CF9AE}" pid="1944" name="hmcheck_result_4b10d29b20c44c3ea6627766bb79aa71_level">
    <vt:i4>1</vt:i4>
  </property>
  <property fmtid="{D5CDD505-2E9C-101B-9397-08002B2CF9AE}" pid="1945" name="hmcheck_result_4b10d29b20c44c3ea6627766bb79aa71_type">
    <vt:i4>0</vt:i4>
  </property>
  <property fmtid="{D5CDD505-2E9C-101B-9397-08002B2CF9AE}" pid="1946" name="hmcheck_result_4b10d29b20c44c3ea6627766bb79aa71_modifiedtype">
    <vt:i4>0</vt:i4>
  </property>
  <property fmtid="{D5CDD505-2E9C-101B-9397-08002B2CF9AE}" pid="1947" name="hmcheck_result_a5b62fd06cf34eae8132f133db062871_errorword">
    <vt:lpwstr>~</vt:lpwstr>
  </property>
  <property fmtid="{D5CDD505-2E9C-101B-9397-08002B2CF9AE}" pid="1948" name="hmcheck_result_a5b62fd06cf34eae8132f133db062871_correctwords">
    <vt:lpwstr>["～"]</vt:lpwstr>
  </property>
  <property fmtid="{D5CDD505-2E9C-101B-9397-08002B2CF9AE}" pid="1949" name="hmcheck_result_a5b62fd06cf34eae8132f133db062871_level">
    <vt:i4>1</vt:i4>
  </property>
  <property fmtid="{D5CDD505-2E9C-101B-9397-08002B2CF9AE}" pid="1950" name="hmcheck_result_a5b62fd06cf34eae8132f133db062871_type">
    <vt:i4>1</vt:i4>
  </property>
  <property fmtid="{D5CDD505-2E9C-101B-9397-08002B2CF9AE}" pid="1951" name="hmcheck_result_a5b62fd06cf34eae8132f133db062871_modifiedtype">
    <vt:i4>0</vt:i4>
  </property>
  <property fmtid="{D5CDD505-2E9C-101B-9397-08002B2CF9AE}" pid="1952" name="hmcheck_result_02172c15884b4192841e282040cdf4d7_errorword">
    <vt:lpwstr>处理场</vt:lpwstr>
  </property>
  <property fmtid="{D5CDD505-2E9C-101B-9397-08002B2CF9AE}" pid="1953" name="hmcheck_result_02172c15884b4192841e282040cdf4d7_correctwords">
    <vt:lpwstr>["处理厂"]</vt:lpwstr>
  </property>
  <property fmtid="{D5CDD505-2E9C-101B-9397-08002B2CF9AE}" pid="1954" name="hmcheck_result_02172c15884b4192841e282040cdf4d7_level">
    <vt:i4>1</vt:i4>
  </property>
  <property fmtid="{D5CDD505-2E9C-101B-9397-08002B2CF9AE}" pid="1955" name="hmcheck_result_02172c15884b4192841e282040cdf4d7_type">
    <vt:i4>0</vt:i4>
  </property>
  <property fmtid="{D5CDD505-2E9C-101B-9397-08002B2CF9AE}" pid="1956" name="hmcheck_result_02172c15884b4192841e282040cdf4d7_modifiedtype">
    <vt:i4>0</vt:i4>
  </property>
  <property fmtid="{D5CDD505-2E9C-101B-9397-08002B2CF9AE}" pid="1957" name="hmcheck_result_095fcd20f6ca4e5491e9dd724d02fc0b_errorword">
    <vt:lpwstr>处理场</vt:lpwstr>
  </property>
  <property fmtid="{D5CDD505-2E9C-101B-9397-08002B2CF9AE}" pid="1958" name="hmcheck_result_095fcd20f6ca4e5491e9dd724d02fc0b_correctwords">
    <vt:lpwstr>["处理厂"]</vt:lpwstr>
  </property>
  <property fmtid="{D5CDD505-2E9C-101B-9397-08002B2CF9AE}" pid="1959" name="hmcheck_result_095fcd20f6ca4e5491e9dd724d02fc0b_level">
    <vt:i4>1</vt:i4>
  </property>
  <property fmtid="{D5CDD505-2E9C-101B-9397-08002B2CF9AE}" pid="1960" name="hmcheck_result_095fcd20f6ca4e5491e9dd724d02fc0b_type">
    <vt:i4>0</vt:i4>
  </property>
  <property fmtid="{D5CDD505-2E9C-101B-9397-08002B2CF9AE}" pid="1961" name="hmcheck_result_095fcd20f6ca4e5491e9dd724d02fc0b_modifiedtype">
    <vt:i4>0</vt:i4>
  </property>
  <property fmtid="{D5CDD505-2E9C-101B-9397-08002B2CF9AE}" pid="1962" name="hmcheck_result_31d0119301d340b8bcbf88a8a818d254_errorword">
    <vt:lpwstr>期</vt:lpwstr>
  </property>
  <property fmtid="{D5CDD505-2E9C-101B-9397-08002B2CF9AE}" pid="1963" name="hmcheck_result_31d0119301d340b8bcbf88a8a818d254_correctwords">
    <vt:lpwstr>["期间"]</vt:lpwstr>
  </property>
  <property fmtid="{D5CDD505-2E9C-101B-9397-08002B2CF9AE}" pid="1964" name="hmcheck_result_31d0119301d340b8bcbf88a8a818d254_errordescription">
    <vt:lpwstr>〈名〉某个时期里面：农忙～｜春节～｜抗战～。</vt:lpwstr>
  </property>
  <property fmtid="{D5CDD505-2E9C-101B-9397-08002B2CF9AE}" pid="1965" name="hmcheck_result_31d0119301d340b8bcbf88a8a818d254_level">
    <vt:i4>1</vt:i4>
  </property>
  <property fmtid="{D5CDD505-2E9C-101B-9397-08002B2CF9AE}" pid="1966" name="hmcheck_result_31d0119301d340b8bcbf88a8a818d254_type">
    <vt:i4>0</vt:i4>
  </property>
  <property fmtid="{D5CDD505-2E9C-101B-9397-08002B2CF9AE}" pid="1967" name="hmcheck_result_31d0119301d340b8bcbf88a8a818d254_modifiedtype">
    <vt:i4>0</vt:i4>
  </property>
  <property fmtid="{D5CDD505-2E9C-101B-9397-08002B2CF9AE}" pid="1968" name="hmcheck_result_37c24f6a9ede48dcad14a4f7cdeca2fb_errorword">
    <vt:lpwstr>）经</vt:lpwstr>
  </property>
  <property fmtid="{D5CDD505-2E9C-101B-9397-08002B2CF9AE}" pid="1969" name="hmcheck_result_37c24f6a9ede48dcad14a4f7cdeca2fb_correctwords">
    <vt:lpwstr>["）"]</vt:lpwstr>
  </property>
  <property fmtid="{D5CDD505-2E9C-101B-9397-08002B2CF9AE}" pid="1970" name="hmcheck_result_37c24f6a9ede48dcad14a4f7cdeca2fb_level">
    <vt:i4>1</vt:i4>
  </property>
  <property fmtid="{D5CDD505-2E9C-101B-9397-08002B2CF9AE}" pid="1971" name="hmcheck_result_37c24f6a9ede48dcad14a4f7cdeca2fb_type">
    <vt:i4>0</vt:i4>
  </property>
  <property fmtid="{D5CDD505-2E9C-101B-9397-08002B2CF9AE}" pid="1972" name="hmcheck_result_37c24f6a9ede48dcad14a4f7cdeca2fb_modifiedtype">
    <vt:i4>0</vt:i4>
  </property>
  <property fmtid="{D5CDD505-2E9C-101B-9397-08002B2CF9AE}" pid="1973" name="hmcheck_result_2a032852ff554176abc4f963c9900d3f_errorword">
    <vt:lpwstr>拌和</vt:lpwstr>
  </property>
  <property fmtid="{D5CDD505-2E9C-101B-9397-08002B2CF9AE}" pid="1974" name="hmcheck_result_2a032852ff554176abc4f963c9900d3f_correctwords">
    <vt:lpwstr>["拌合"]</vt:lpwstr>
  </property>
  <property fmtid="{D5CDD505-2E9C-101B-9397-08002B2CF9AE}" pid="1975" name="hmcheck_result_2a032852ff554176abc4f963c9900d3f_level">
    <vt:i4>1</vt:i4>
  </property>
  <property fmtid="{D5CDD505-2E9C-101B-9397-08002B2CF9AE}" pid="1976" name="hmcheck_result_2a032852ff554176abc4f963c9900d3f_type">
    <vt:i4>0</vt:i4>
  </property>
  <property fmtid="{D5CDD505-2E9C-101B-9397-08002B2CF9AE}" pid="1977" name="hmcheck_result_2a032852ff554176abc4f963c9900d3f_modifiedtype">
    <vt:i4>0</vt:i4>
  </property>
  <property fmtid="{D5CDD505-2E9C-101B-9397-08002B2CF9AE}" pid="1978" name="hmcheck_result_1e37f7da61884a198faf814bb299d53a_errorword">
    <vt:lpwstr>们</vt:lpwstr>
  </property>
  <property fmtid="{D5CDD505-2E9C-101B-9397-08002B2CF9AE}" pid="1979" name="hmcheck_result_1e37f7da61884a198faf814bb299d53a_correctwords">
    <vt:lpwstr>["们的"]</vt:lpwstr>
  </property>
  <property fmtid="{D5CDD505-2E9C-101B-9397-08002B2CF9AE}" pid="1980" name="hmcheck_result_1e37f7da61884a198faf814bb299d53a_level">
    <vt:i4>1</vt:i4>
  </property>
  <property fmtid="{D5CDD505-2E9C-101B-9397-08002B2CF9AE}" pid="1981" name="hmcheck_result_1e37f7da61884a198faf814bb299d53a_type">
    <vt:i4>0</vt:i4>
  </property>
  <property fmtid="{D5CDD505-2E9C-101B-9397-08002B2CF9AE}" pid="1982" name="hmcheck_result_1e37f7da61884a198faf814bb299d53a_modifiedtype">
    <vt:i4>0</vt:i4>
  </property>
  <property fmtid="{D5CDD505-2E9C-101B-9397-08002B2CF9AE}" pid="1983" name="hmcheck_result_9ff23536921a4c108832314cf4666576_errorword">
    <vt:lpwstr>到最小程度</vt:lpwstr>
  </property>
  <property fmtid="{D5CDD505-2E9C-101B-9397-08002B2CF9AE}" pid="1984" name="hmcheck_result_9ff23536921a4c108832314cf4666576_correctwords">
    <vt:lpwstr>["到最低程度"]</vt:lpwstr>
  </property>
  <property fmtid="{D5CDD505-2E9C-101B-9397-08002B2CF9AE}" pid="1985" name="hmcheck_result_9ff23536921a4c108832314cf4666576_level">
    <vt:i4>1</vt:i4>
  </property>
  <property fmtid="{D5CDD505-2E9C-101B-9397-08002B2CF9AE}" pid="1986" name="hmcheck_result_9ff23536921a4c108832314cf4666576_type">
    <vt:i4>0</vt:i4>
  </property>
  <property fmtid="{D5CDD505-2E9C-101B-9397-08002B2CF9AE}" pid="1987" name="hmcheck_result_9ff23536921a4c108832314cf4666576_modifiedtype">
    <vt:i4>0</vt:i4>
  </property>
  <property fmtid="{D5CDD505-2E9C-101B-9397-08002B2CF9AE}" pid="1988" name="hmcheck_result_fa4b3e463eb14f4196e9e3703603b5eb_errorword">
    <vt:lpwstr>划</vt:lpwstr>
  </property>
  <property fmtid="{D5CDD505-2E9C-101B-9397-08002B2CF9AE}" pid="1989" name="hmcheck_result_fa4b3e463eb14f4196e9e3703603b5eb_correctwords">
    <vt:lpwstr>["划意"]</vt:lpwstr>
  </property>
  <property fmtid="{D5CDD505-2E9C-101B-9397-08002B2CF9AE}" pid="1990" name="hmcheck_result_fa4b3e463eb14f4196e9e3703603b5eb_level">
    <vt:i4>1</vt:i4>
  </property>
  <property fmtid="{D5CDD505-2E9C-101B-9397-08002B2CF9AE}" pid="1991" name="hmcheck_result_fa4b3e463eb14f4196e9e3703603b5eb_type">
    <vt:i4>0</vt:i4>
  </property>
  <property fmtid="{D5CDD505-2E9C-101B-9397-08002B2CF9AE}" pid="1992" name="hmcheck_result_fa4b3e463eb14f4196e9e3703603b5eb_modifiedtype">
    <vt:i4>0</vt:i4>
  </property>
  <property fmtid="{D5CDD505-2E9C-101B-9397-08002B2CF9AE}" pid="1993" name="hmcheck_result_57ea04d12951435eb479f04cb30bd7f2_errorword">
    <vt:lpwstr>对土地</vt:lpwstr>
  </property>
  <property fmtid="{D5CDD505-2E9C-101B-9397-08002B2CF9AE}" pid="1994" name="hmcheck_result_57ea04d12951435eb479f04cb30bd7f2_correctwords">
    <vt:lpwstr>["堆土地"]</vt:lpwstr>
  </property>
  <property fmtid="{D5CDD505-2E9C-101B-9397-08002B2CF9AE}" pid="1995" name="hmcheck_result_57ea04d12951435eb479f04cb30bd7f2_level">
    <vt:i4>1</vt:i4>
  </property>
  <property fmtid="{D5CDD505-2E9C-101B-9397-08002B2CF9AE}" pid="1996" name="hmcheck_result_57ea04d12951435eb479f04cb30bd7f2_type">
    <vt:i4>0</vt:i4>
  </property>
  <property fmtid="{D5CDD505-2E9C-101B-9397-08002B2CF9AE}" pid="1997" name="hmcheck_result_57ea04d12951435eb479f04cb30bd7f2_modifiedtype">
    <vt:i4>0</vt:i4>
  </property>
  <property fmtid="{D5CDD505-2E9C-101B-9397-08002B2CF9AE}" pid="1998" name="hmcheck_result_64aa1867038b446582afbb284e962389_errorword">
    <vt:lpwstr>~</vt:lpwstr>
  </property>
  <property fmtid="{D5CDD505-2E9C-101B-9397-08002B2CF9AE}" pid="1999" name="hmcheck_result_64aa1867038b446582afbb284e962389_correctwords">
    <vt:lpwstr>["～"]</vt:lpwstr>
  </property>
  <property fmtid="{D5CDD505-2E9C-101B-9397-08002B2CF9AE}" pid="2000" name="hmcheck_result_64aa1867038b446582afbb284e962389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2001" name="hmcheck_result_64aa1867038b446582afbb284e962389_level">
    <vt:i4>1</vt:i4>
  </property>
  <property fmtid="{D5CDD505-2E9C-101B-9397-08002B2CF9AE}" pid="2002" name="hmcheck_result_64aa1867038b446582afbb284e962389_type">
    <vt:i4>1</vt:i4>
  </property>
  <property fmtid="{D5CDD505-2E9C-101B-9397-08002B2CF9AE}" pid="2003" name="hmcheck_result_64aa1867038b446582afbb284e962389_modifiedtype">
    <vt:i4>0</vt:i4>
  </property>
  <property fmtid="{D5CDD505-2E9C-101B-9397-08002B2CF9AE}" pid="2004" name="hmcheck_result_842c34ea54a043499418db94ef08b93e_errorword">
    <vt:lpwstr>LAeq</vt:lpwstr>
  </property>
  <property fmtid="{D5CDD505-2E9C-101B-9397-08002B2CF9AE}" pid="2005" name="hmcheck_result_842c34ea54a043499418db94ef08b93e_correctwords">
    <vt:lpwstr>["lae"]</vt:lpwstr>
  </property>
  <property fmtid="{D5CDD505-2E9C-101B-9397-08002B2CF9AE}" pid="2006" name="hmcheck_result_842c34ea54a043499418db94ef08b93e_level">
    <vt:i4>1</vt:i4>
  </property>
  <property fmtid="{D5CDD505-2E9C-101B-9397-08002B2CF9AE}" pid="2007" name="hmcheck_result_842c34ea54a043499418db94ef08b93e_type">
    <vt:i4>6</vt:i4>
  </property>
  <property fmtid="{D5CDD505-2E9C-101B-9397-08002B2CF9AE}" pid="2008" name="hmcheck_result_842c34ea54a043499418db94ef08b93e_modifiedtype">
    <vt:i4>0</vt:i4>
  </property>
  <property fmtid="{D5CDD505-2E9C-101B-9397-08002B2CF9AE}" pid="2009" name="hmcheck_result_921d3b499c954038b1d6cd0df0b6cb2b_errorword">
    <vt:lpwstr>~</vt:lpwstr>
  </property>
  <property fmtid="{D5CDD505-2E9C-101B-9397-08002B2CF9AE}" pid="2010" name="hmcheck_result_921d3b499c954038b1d6cd0df0b6cb2b_correctwords">
    <vt:lpwstr>["～"]</vt:lpwstr>
  </property>
  <property fmtid="{D5CDD505-2E9C-101B-9397-08002B2CF9AE}" pid="2011" name="hmcheck_result_921d3b499c954038b1d6cd0df0b6cb2b_errordescription">
    <vt:lpwstr>根据国标GB/T 15834-2011《标点符号用法》中的4.13.3.2节，标识相关项目（如时间、地域等）的起止，以及标识数值范围（由阿拉伯数字或汉字数字构成）的起止时，通常使用长横线或长浪纹线。如“25～30g”“2011年2月3日—10日”。</vt:lpwstr>
  </property>
  <property fmtid="{D5CDD505-2E9C-101B-9397-08002B2CF9AE}" pid="2012" name="hmcheck_result_921d3b499c954038b1d6cd0df0b6cb2b_level">
    <vt:i4>1</vt:i4>
  </property>
  <property fmtid="{D5CDD505-2E9C-101B-9397-08002B2CF9AE}" pid="2013" name="hmcheck_result_921d3b499c954038b1d6cd0df0b6cb2b_type">
    <vt:i4>1</vt:i4>
  </property>
  <property fmtid="{D5CDD505-2E9C-101B-9397-08002B2CF9AE}" pid="2014" name="hmcheck_result_921d3b499c954038b1d6cd0df0b6cb2b_modifiedtype">
    <vt:i4>0</vt:i4>
  </property>
  <property fmtid="{D5CDD505-2E9C-101B-9397-08002B2CF9AE}" pid="2015" name="hmcheck_result_fac94b6ab13a4db8bda578c11033d462_errorword">
    <vt:lpwstr>Leq</vt:lpwstr>
  </property>
  <property fmtid="{D5CDD505-2E9C-101B-9397-08002B2CF9AE}" pid="2016" name="hmcheck_result_fac94b6ab13a4db8bda578c11033d462_correctwords">
    <vt:lpwstr>["lea","lew","le"]</vt:lpwstr>
  </property>
  <property fmtid="{D5CDD505-2E9C-101B-9397-08002B2CF9AE}" pid="2017" name="hmcheck_result_fac94b6ab13a4db8bda578c11033d462_level">
    <vt:i4>1</vt:i4>
  </property>
  <property fmtid="{D5CDD505-2E9C-101B-9397-08002B2CF9AE}" pid="2018" name="hmcheck_result_fac94b6ab13a4db8bda578c11033d462_type">
    <vt:i4>6</vt:i4>
  </property>
  <property fmtid="{D5CDD505-2E9C-101B-9397-08002B2CF9AE}" pid="2019" name="hmcheck_result_fac94b6ab13a4db8bda578c11033d462_modifiedtype">
    <vt:i4>0</vt:i4>
  </property>
  <property fmtid="{D5CDD505-2E9C-101B-9397-08002B2CF9AE}" pid="2020" name="hmcheck_result_d2bca33072994a7787fcd3a776ced066_errorword">
    <vt:lpwstr>除临</vt:lpwstr>
  </property>
  <property fmtid="{D5CDD505-2E9C-101B-9397-08002B2CF9AE}" pid="2021" name="hmcheck_result_d2bca33072994a7787fcd3a776ced066_correctwords">
    <vt:lpwstr>["除"]</vt:lpwstr>
  </property>
  <property fmtid="{D5CDD505-2E9C-101B-9397-08002B2CF9AE}" pid="2022" name="hmcheck_result_d2bca33072994a7787fcd3a776ced066_level">
    <vt:i4>1</vt:i4>
  </property>
  <property fmtid="{D5CDD505-2E9C-101B-9397-08002B2CF9AE}" pid="2023" name="hmcheck_result_d2bca33072994a7787fcd3a776ced066_type">
    <vt:i4>0</vt:i4>
  </property>
  <property fmtid="{D5CDD505-2E9C-101B-9397-08002B2CF9AE}" pid="2024" name="hmcheck_result_d2bca33072994a7787fcd3a776ced066_modifiedtype">
    <vt:i4>0</vt:i4>
  </property>
  <property fmtid="{D5CDD505-2E9C-101B-9397-08002B2CF9AE}" pid="2025" name="hmcheck_result_19245ea237ad454cb4433993840fc283_errorword">
    <vt:lpwstr>芒其</vt:lpwstr>
  </property>
  <property fmtid="{D5CDD505-2E9C-101B-9397-08002B2CF9AE}" pid="2026" name="hmcheck_result_19245ea237ad454cb4433993840fc283_correctwords">
    <vt:lpwstr>["芒草"]</vt:lpwstr>
  </property>
  <property fmtid="{D5CDD505-2E9C-101B-9397-08002B2CF9AE}" pid="2027" name="hmcheck_result_19245ea237ad454cb4433993840fc283_level">
    <vt:i4>1</vt:i4>
  </property>
  <property fmtid="{D5CDD505-2E9C-101B-9397-08002B2CF9AE}" pid="2028" name="hmcheck_result_19245ea237ad454cb4433993840fc283_type">
    <vt:i4>0</vt:i4>
  </property>
  <property fmtid="{D5CDD505-2E9C-101B-9397-08002B2CF9AE}" pid="2029" name="hmcheck_result_19245ea237ad454cb4433993840fc283_modifiedtype">
    <vt:i4>0</vt:i4>
  </property>
  <property fmtid="{D5CDD505-2E9C-101B-9397-08002B2CF9AE}" pid="2030" name="hmcheck_result_e2415999179a4a0996029d9da2eeb055_errorword">
    <vt:lpwstr>树林</vt:lpwstr>
  </property>
  <property fmtid="{D5CDD505-2E9C-101B-9397-08002B2CF9AE}" pid="2031" name="hmcheck_result_e2415999179a4a0996029d9da2eeb055_correctwords">
    <vt:lpwstr>["树"]</vt:lpwstr>
  </property>
  <property fmtid="{D5CDD505-2E9C-101B-9397-08002B2CF9AE}" pid="2032" name="hmcheck_result_e2415999179a4a0996029d9da2eeb055_level">
    <vt:i4>1</vt:i4>
  </property>
  <property fmtid="{D5CDD505-2E9C-101B-9397-08002B2CF9AE}" pid="2033" name="hmcheck_result_e2415999179a4a0996029d9da2eeb055_type">
    <vt:i4>0</vt:i4>
  </property>
  <property fmtid="{D5CDD505-2E9C-101B-9397-08002B2CF9AE}" pid="2034" name="hmcheck_result_e2415999179a4a0996029d9da2eeb055_modifiedtype">
    <vt:i4>0</vt:i4>
  </property>
  <property fmtid="{D5CDD505-2E9C-101B-9397-08002B2CF9AE}" pid="2035" name="hmcheck_result_9708bb8361d64c309de014fc36595330_errorword">
    <vt:lpwstr>，，</vt:lpwstr>
  </property>
  <property fmtid="{D5CDD505-2E9C-101B-9397-08002B2CF9AE}" pid="2036" name="hmcheck_result_9708bb8361d64c309de014fc36595330_correctwords">
    <vt:lpwstr>["，"]</vt:lpwstr>
  </property>
  <property fmtid="{D5CDD505-2E9C-101B-9397-08002B2CF9AE}" pid="2037" name="hmcheck_result_9708bb8361d64c309de014fc36595330_errordescription">
    <vt:lpwstr>相邻标点，和，不匹配</vt:lpwstr>
  </property>
  <property fmtid="{D5CDD505-2E9C-101B-9397-08002B2CF9AE}" pid="2038" name="hmcheck_result_9708bb8361d64c309de014fc36595330_level">
    <vt:i4>1</vt:i4>
  </property>
  <property fmtid="{D5CDD505-2E9C-101B-9397-08002B2CF9AE}" pid="2039" name="hmcheck_result_9708bb8361d64c309de014fc36595330_type">
    <vt:i4>1</vt:i4>
  </property>
  <property fmtid="{D5CDD505-2E9C-101B-9397-08002B2CF9AE}" pid="2040" name="hmcheck_result_9708bb8361d64c309de014fc36595330_modifiedtype">
    <vt:i4>0</vt:i4>
  </property>
  <property fmtid="{D5CDD505-2E9C-101B-9397-08002B2CF9AE}" pid="2041" name="hmcheck_result_17607eb88b0c4012bf63412dc5a14c3c_errorword">
    <vt:lpwstr>是临近村民</vt:lpwstr>
  </property>
  <property fmtid="{D5CDD505-2E9C-101B-9397-08002B2CF9AE}" pid="2042" name="hmcheck_result_17607eb88b0c4012bf63412dc5a14c3c_correctwords">
    <vt:lpwstr>["是邻近村民"]</vt:lpwstr>
  </property>
  <property fmtid="{D5CDD505-2E9C-101B-9397-08002B2CF9AE}" pid="2043" name="hmcheck_result_17607eb88b0c4012bf63412dc5a14c3c_level">
    <vt:i4>1</vt:i4>
  </property>
  <property fmtid="{D5CDD505-2E9C-101B-9397-08002B2CF9AE}" pid="2044" name="hmcheck_result_17607eb88b0c4012bf63412dc5a14c3c_type">
    <vt:i4>0</vt:i4>
  </property>
  <property fmtid="{D5CDD505-2E9C-101B-9397-08002B2CF9AE}" pid="2045" name="hmcheck_result_17607eb88b0c4012bf63412dc5a14c3c_modifiedtype">
    <vt:i4>0</vt:i4>
  </property>
  <property fmtid="{D5CDD505-2E9C-101B-9397-08002B2CF9AE}" pid="2046" name="hmcheck_result_429e4721369243f699636192a3d1df6d_errorword">
    <vt:lpwstr>的</vt:lpwstr>
  </property>
  <property fmtid="{D5CDD505-2E9C-101B-9397-08002B2CF9AE}" pid="2047" name="hmcheck_result_429e4721369243f699636192a3d1df6d_correctwords">
    <vt:lpwstr>["地"]</vt:lpwstr>
  </property>
  <property fmtid="{D5CDD505-2E9C-101B-9397-08002B2CF9AE}" pid="2048" name="hmcheck_result_429e4721369243f699636192a3d1df6d_errordescription">
    <vt:lpwstr>置于动词前，用于形容动作的状态。</vt:lpwstr>
  </property>
  <property fmtid="{D5CDD505-2E9C-101B-9397-08002B2CF9AE}" pid="2049" name="hmcheck_result_429e4721369243f699636192a3d1df6d_level">
    <vt:i4>1</vt:i4>
  </property>
  <property fmtid="{D5CDD505-2E9C-101B-9397-08002B2CF9AE}" pid="2050" name="hmcheck_result_429e4721369243f699636192a3d1df6d_type">
    <vt:i4>4</vt:i4>
  </property>
  <property fmtid="{D5CDD505-2E9C-101B-9397-08002B2CF9AE}" pid="2051" name="hmcheck_result_429e4721369243f699636192a3d1df6d_modifiedtype">
    <vt:i4>0</vt:i4>
  </property>
  <property fmtid="{D5CDD505-2E9C-101B-9397-08002B2CF9AE}" pid="2052" name="hmcheck_result_6fab08396a4344a990fb9ed6e5ae42bd_errorword">
    <vt:lpwstr>水稳拌和站</vt:lpwstr>
  </property>
  <property fmtid="{D5CDD505-2E9C-101B-9397-08002B2CF9AE}" pid="2053" name="hmcheck_result_6fab08396a4344a990fb9ed6e5ae42bd_correctwords">
    <vt:lpwstr>["水稳拌合站"]</vt:lpwstr>
  </property>
  <property fmtid="{D5CDD505-2E9C-101B-9397-08002B2CF9AE}" pid="2054" name="hmcheck_result_6fab08396a4344a990fb9ed6e5ae42bd_level">
    <vt:i4>1</vt:i4>
  </property>
  <property fmtid="{D5CDD505-2E9C-101B-9397-08002B2CF9AE}" pid="2055" name="hmcheck_result_6fab08396a4344a990fb9ed6e5ae42bd_type">
    <vt:i4>0</vt:i4>
  </property>
  <property fmtid="{D5CDD505-2E9C-101B-9397-08002B2CF9AE}" pid="2056" name="hmcheck_result_6fab08396a4344a990fb9ed6e5ae42bd_modifiedtype">
    <vt:i4>0</vt:i4>
  </property>
  <property fmtid="{D5CDD505-2E9C-101B-9397-08002B2CF9AE}" pid="2057" name="hmcheck_result_be1f2b95952c4a429dd35fe40de270d1_errorword">
    <vt:lpwstr>000~</vt:lpwstr>
  </property>
  <property fmtid="{D5CDD505-2E9C-101B-9397-08002B2CF9AE}" pid="2058" name="hmcheck_result_be1f2b95952c4a429dd35fe40de270d1_correctwords">
    <vt:lpwstr>["&lt;有错&gt;"]</vt:lpwstr>
  </property>
  <property fmtid="{D5CDD505-2E9C-101B-9397-08002B2CF9AE}" pid="2059" name="hmcheck_result_be1f2b95952c4a429dd35fe40de270d1_level">
    <vt:i4>1</vt:i4>
  </property>
  <property fmtid="{D5CDD505-2E9C-101B-9397-08002B2CF9AE}" pid="2060" name="hmcheck_result_be1f2b95952c4a429dd35fe40de270d1_type">
    <vt:i4>0</vt:i4>
  </property>
  <property fmtid="{D5CDD505-2E9C-101B-9397-08002B2CF9AE}" pid="2061" name="hmcheck_result_be1f2b95952c4a429dd35fe40de270d1_modifiedtype">
    <vt:i4>0</vt:i4>
  </property>
  <property fmtid="{D5CDD505-2E9C-101B-9397-08002B2CF9AE}" pid="2062" name="hmcheck_result_e3cd4efcacf34f32bcc10f1570015f23_errorword">
    <vt:lpwstr>加篷</vt:lpwstr>
  </property>
  <property fmtid="{D5CDD505-2E9C-101B-9397-08002B2CF9AE}" pid="2063" name="hmcheck_result_e3cd4efcacf34f32bcc10f1570015f23_correctwords">
    <vt:lpwstr>["加蓬"]</vt:lpwstr>
  </property>
  <property fmtid="{D5CDD505-2E9C-101B-9397-08002B2CF9AE}" pid="2064" name="hmcheck_result_e3cd4efcacf34f32bcc10f1570015f23_level">
    <vt:i4>1</vt:i4>
  </property>
  <property fmtid="{D5CDD505-2E9C-101B-9397-08002B2CF9AE}" pid="2065" name="hmcheck_result_e3cd4efcacf34f32bcc10f1570015f23_type">
    <vt:i4>0</vt:i4>
  </property>
  <property fmtid="{D5CDD505-2E9C-101B-9397-08002B2CF9AE}" pid="2066" name="hmcheck_result_e3cd4efcacf34f32bcc10f1570015f23_modifiedtype">
    <vt:i4>0</vt:i4>
  </property>
  <property fmtid="{D5CDD505-2E9C-101B-9397-08002B2CF9AE}" pid="2067" name="hmcheck_result_226845f8cfc2419d99828d4cd594caa7_errorword">
    <vt:lpwstr>拌合</vt:lpwstr>
  </property>
  <property fmtid="{D5CDD505-2E9C-101B-9397-08002B2CF9AE}" pid="2068" name="hmcheck_result_226845f8cfc2419d99828d4cd594caa7_correctwords">
    <vt:lpwstr>["拌和"]</vt:lpwstr>
  </property>
  <property fmtid="{D5CDD505-2E9C-101B-9397-08002B2CF9AE}" pid="2069" name="hmcheck_result_226845f8cfc2419d99828d4cd594caa7_level">
    <vt:i4>1</vt:i4>
  </property>
  <property fmtid="{D5CDD505-2E9C-101B-9397-08002B2CF9AE}" pid="2070" name="hmcheck_result_226845f8cfc2419d99828d4cd594caa7_type">
    <vt:i4>0</vt:i4>
  </property>
  <property fmtid="{D5CDD505-2E9C-101B-9397-08002B2CF9AE}" pid="2071" name="hmcheck_result_226845f8cfc2419d99828d4cd594caa7_modifiedtype">
    <vt:i4>0</vt:i4>
  </property>
  <property fmtid="{D5CDD505-2E9C-101B-9397-08002B2CF9AE}" pid="2072" name="hmcheck_result_dd11ee4c61b8462b887e6e50a107692a_errorword">
    <vt:lpwstr>：</vt:lpwstr>
  </property>
  <property fmtid="{D5CDD505-2E9C-101B-9397-08002B2CF9AE}" pid="2073" name="hmcheck_result_dd11ee4c61b8462b887e6e50a107692a_correctwords">
    <vt:lpwstr>[":"]</vt:lpwstr>
  </property>
  <property fmtid="{D5CDD505-2E9C-101B-9397-08002B2CF9AE}" pid="2074" name="hmcheck_result_dd11ee4c61b8462b887e6e50a107692a_errordescription">
    <vt:lpwstr>文本全半角错误</vt:lpwstr>
  </property>
  <property fmtid="{D5CDD505-2E9C-101B-9397-08002B2CF9AE}" pid="2075" name="hmcheck_result_dd11ee4c61b8462b887e6e50a107692a_level">
    <vt:i4>1</vt:i4>
  </property>
  <property fmtid="{D5CDD505-2E9C-101B-9397-08002B2CF9AE}" pid="2076" name="hmcheck_result_dd11ee4c61b8462b887e6e50a107692a_type">
    <vt:i4>1</vt:i4>
  </property>
  <property fmtid="{D5CDD505-2E9C-101B-9397-08002B2CF9AE}" pid="2077" name="hmcheck_result_dd11ee4c61b8462b887e6e50a107692a_modifiedtype">
    <vt:i4>0</vt:i4>
  </property>
  <property fmtid="{D5CDD505-2E9C-101B-9397-08002B2CF9AE}" pid="2078" name="hmcheck_result_167685187d474ff58ba9759527d990ce_errorword">
    <vt:lpwstr>：</vt:lpwstr>
  </property>
  <property fmtid="{D5CDD505-2E9C-101B-9397-08002B2CF9AE}" pid="2079" name="hmcheck_result_167685187d474ff58ba9759527d990ce_correctwords">
    <vt:lpwstr>[":"]</vt:lpwstr>
  </property>
  <property fmtid="{D5CDD505-2E9C-101B-9397-08002B2CF9AE}" pid="2080" name="hmcheck_result_167685187d474ff58ba9759527d990ce_errordescription">
    <vt:lpwstr>文本全半角错误</vt:lpwstr>
  </property>
  <property fmtid="{D5CDD505-2E9C-101B-9397-08002B2CF9AE}" pid="2081" name="hmcheck_result_167685187d474ff58ba9759527d990ce_level">
    <vt:i4>1</vt:i4>
  </property>
  <property fmtid="{D5CDD505-2E9C-101B-9397-08002B2CF9AE}" pid="2082" name="hmcheck_result_167685187d474ff58ba9759527d990ce_type">
    <vt:i4>1</vt:i4>
  </property>
  <property fmtid="{D5CDD505-2E9C-101B-9397-08002B2CF9AE}" pid="2083" name="hmcheck_result_167685187d474ff58ba9759527d990ce_modifiedtype">
    <vt:i4>0</vt:i4>
  </property>
  <property fmtid="{D5CDD505-2E9C-101B-9397-08002B2CF9AE}" pid="2084" name="hmcheck_result_486e66b32fa9475cbd7752a5a112adf5_errorword">
    <vt:lpwstr>：</vt:lpwstr>
  </property>
  <property fmtid="{D5CDD505-2E9C-101B-9397-08002B2CF9AE}" pid="2085" name="hmcheck_result_486e66b32fa9475cbd7752a5a112adf5_correctwords">
    <vt:lpwstr>[":"]</vt:lpwstr>
  </property>
  <property fmtid="{D5CDD505-2E9C-101B-9397-08002B2CF9AE}" pid="2086" name="hmcheck_result_486e66b32fa9475cbd7752a5a112adf5_errordescription">
    <vt:lpwstr>文本全半角错误</vt:lpwstr>
  </property>
  <property fmtid="{D5CDD505-2E9C-101B-9397-08002B2CF9AE}" pid="2087" name="hmcheck_result_486e66b32fa9475cbd7752a5a112adf5_level">
    <vt:i4>1</vt:i4>
  </property>
  <property fmtid="{D5CDD505-2E9C-101B-9397-08002B2CF9AE}" pid="2088" name="hmcheck_result_486e66b32fa9475cbd7752a5a112adf5_type">
    <vt:i4>1</vt:i4>
  </property>
  <property fmtid="{D5CDD505-2E9C-101B-9397-08002B2CF9AE}" pid="2089" name="hmcheck_result_486e66b32fa9475cbd7752a5a112adf5_modifiedtype">
    <vt:i4>0</vt:i4>
  </property>
  <property fmtid="{D5CDD505-2E9C-101B-9397-08002B2CF9AE}" pid="2090" name="hmcheck_result_2ea6f7c6eeb84138bdc0b80c12a456c0_errorword">
    <vt:lpwstr>：</vt:lpwstr>
  </property>
  <property fmtid="{D5CDD505-2E9C-101B-9397-08002B2CF9AE}" pid="2091" name="hmcheck_result_2ea6f7c6eeb84138bdc0b80c12a456c0_correctwords">
    <vt:lpwstr>[":"]</vt:lpwstr>
  </property>
  <property fmtid="{D5CDD505-2E9C-101B-9397-08002B2CF9AE}" pid="2092" name="hmcheck_result_2ea6f7c6eeb84138bdc0b80c12a456c0_errordescription">
    <vt:lpwstr>文本全半角错误</vt:lpwstr>
  </property>
  <property fmtid="{D5CDD505-2E9C-101B-9397-08002B2CF9AE}" pid="2093" name="hmcheck_result_2ea6f7c6eeb84138bdc0b80c12a456c0_level">
    <vt:i4>1</vt:i4>
  </property>
  <property fmtid="{D5CDD505-2E9C-101B-9397-08002B2CF9AE}" pid="2094" name="hmcheck_result_2ea6f7c6eeb84138bdc0b80c12a456c0_type">
    <vt:i4>1</vt:i4>
  </property>
  <property fmtid="{D5CDD505-2E9C-101B-9397-08002B2CF9AE}" pid="2095" name="hmcheck_result_2ea6f7c6eeb84138bdc0b80c12a456c0_modifiedtype">
    <vt:i4>0</vt:i4>
  </property>
  <property fmtid="{D5CDD505-2E9C-101B-9397-08002B2CF9AE}" pid="2096" name="hmcheck_result_c4a73f17053a40f5a7cd34fc764d6e01_errorword">
    <vt:lpwstr>处理场</vt:lpwstr>
  </property>
  <property fmtid="{D5CDD505-2E9C-101B-9397-08002B2CF9AE}" pid="2097" name="hmcheck_result_c4a73f17053a40f5a7cd34fc764d6e01_correctwords">
    <vt:lpwstr>["处理厂"]</vt:lpwstr>
  </property>
  <property fmtid="{D5CDD505-2E9C-101B-9397-08002B2CF9AE}" pid="2098" name="hmcheck_result_c4a73f17053a40f5a7cd34fc764d6e01_level">
    <vt:i4>1</vt:i4>
  </property>
  <property fmtid="{D5CDD505-2E9C-101B-9397-08002B2CF9AE}" pid="2099" name="hmcheck_result_c4a73f17053a40f5a7cd34fc764d6e01_type">
    <vt:i4>0</vt:i4>
  </property>
  <property fmtid="{D5CDD505-2E9C-101B-9397-08002B2CF9AE}" pid="2100" name="hmcheck_result_c4a73f17053a40f5a7cd34fc764d6e01_modifiedtype">
    <vt:i4>0</vt:i4>
  </property>
  <property fmtid="{D5CDD505-2E9C-101B-9397-08002B2CF9AE}" pid="2101" name="hmcheck_result_b024a508638d498f85422d41b6542ef2_errorword">
    <vt:lpwstr>（2024）</vt:lpwstr>
  </property>
  <property fmtid="{D5CDD505-2E9C-101B-9397-08002B2CF9AE}" pid="2102" name="hmcheck_result_b024a508638d498f85422d41b6542ef2_correctwords">
    <vt:lpwstr>["〔2024〕"]</vt:lpwstr>
  </property>
  <property fmtid="{D5CDD505-2E9C-101B-9397-08002B2CF9AE}" pid="2103" name="hmcheck_result_b024a508638d498f85422d41b6542ef2_level">
    <vt:i4>1</vt:i4>
  </property>
  <property fmtid="{D5CDD505-2E9C-101B-9397-08002B2CF9AE}" pid="2104" name="hmcheck_result_b024a508638d498f85422d41b6542ef2_type">
    <vt:i4>0</vt:i4>
  </property>
  <property fmtid="{D5CDD505-2E9C-101B-9397-08002B2CF9AE}" pid="2105" name="hmcheck_result_b024a508638d498f85422d41b6542ef2_modifiedtype">
    <vt:i4>0</vt:i4>
  </property>
  <property fmtid="{D5CDD505-2E9C-101B-9397-08002B2CF9AE}" pid="2106" name="hmcheck_result_8451f3a02240492091f3ed3102094aca_errorword">
    <vt:lpwstr>三区三线</vt:lpwstr>
  </property>
  <property fmtid="{D5CDD505-2E9C-101B-9397-08002B2CF9AE}" pid="2107" name="hmcheck_result_8451f3a02240492091f3ed3102094aca_correctwords">
    <vt:lpwstr>["“三区三线”"]</vt:lpwstr>
  </property>
  <property fmtid="{D5CDD505-2E9C-101B-9397-08002B2CF9AE}" pid="2108" name="hmcheck_result_8451f3a02240492091f3ed3102094aca_errordescription">
    <vt:lpwstr>注意检查当前固定表述标点是否使用规范。</vt:lpwstr>
  </property>
  <property fmtid="{D5CDD505-2E9C-101B-9397-08002B2CF9AE}" pid="2109" name="hmcheck_result_8451f3a02240492091f3ed3102094aca_level">
    <vt:i4>1</vt:i4>
  </property>
  <property fmtid="{D5CDD505-2E9C-101B-9397-08002B2CF9AE}" pid="2110" name="hmcheck_result_8451f3a02240492091f3ed3102094aca_type">
    <vt:i4>11</vt:i4>
  </property>
  <property fmtid="{D5CDD505-2E9C-101B-9397-08002B2CF9AE}" pid="2111" name="hmcheck_result_8451f3a02240492091f3ed3102094aca_modifiedtype">
    <vt:i4>0</vt:i4>
  </property>
  <property fmtid="{D5CDD505-2E9C-101B-9397-08002B2CF9AE}" pid="2112" name="hmcheck_result_a7f0d02403124b749de534c4e5a5cf5a_errorword">
    <vt:lpwstr>-</vt:lpwstr>
  </property>
  <property fmtid="{D5CDD505-2E9C-101B-9397-08002B2CF9AE}" pid="2113" name="hmcheck_result_a7f0d02403124b749de534c4e5a5cf5a_correctwords">
    <vt:lpwstr>["－"]</vt:lpwstr>
  </property>
  <property fmtid="{D5CDD505-2E9C-101B-9397-08002B2CF9AE}" pid="2114" name="hmcheck_result_a7f0d02403124b749de534c4e5a5cf5a_level">
    <vt:i4>1</vt:i4>
  </property>
  <property fmtid="{D5CDD505-2E9C-101B-9397-08002B2CF9AE}" pid="2115" name="hmcheck_result_a7f0d02403124b749de534c4e5a5cf5a_type">
    <vt:i4>1</vt:i4>
  </property>
  <property fmtid="{D5CDD505-2E9C-101B-9397-08002B2CF9AE}" pid="2116" name="hmcheck_result_a7f0d02403124b749de534c4e5a5cf5a_modifiedtype">
    <vt:i4>0</vt:i4>
  </property>
  <property fmtid="{D5CDD505-2E9C-101B-9397-08002B2CF9AE}" pid="2117" name="hmcheck_markmode">
    <vt:i4>0</vt:i4>
  </property>
  <property fmtid="{D5CDD505-2E9C-101B-9397-08002B2CF9AE}" pid="2118" name="hmcheck_taskpanetype">
    <vt:i4>1</vt:i4>
  </property>
  <property fmtid="{D5CDD505-2E9C-101B-9397-08002B2CF9AE}" pid="2119" name="hmcheck_result_bb34561415c049d5b57e05d68761309a_modifiedword">
    <vt:lpwstr>生态环境部</vt:lpwstr>
  </property>
  <property fmtid="{D5CDD505-2E9C-101B-9397-08002B2CF9AE}" pid="2120" name="hmcheck_result_d6609c4ca1504b4db1b47b5fc90ba53f_modifiedword">
    <vt:lpwstr>福建省交通运输厅</vt:lpwstr>
  </property>
  <property fmtid="{D5CDD505-2E9C-101B-9397-08002B2CF9AE}" pid="2121" name="hmcheck_result_8f3a620530d04742bbd928774be8fdb1_modifiedword">
    <vt:lpwstr>国家林业和草原局</vt:lpwstr>
  </property>
  <property fmtid="{D5CDD505-2E9C-101B-9397-08002B2CF9AE}" pid="2122" name="hmcheck_result_ceb4cf4d1f0748f8ac5fd0385136b25f_modifiedword">
    <vt:lpwstr>国家林业和草原局</vt:lpwstr>
  </property>
  <property fmtid="{D5CDD505-2E9C-101B-9397-08002B2CF9AE}" pid="2123" name="hmcheck_result_1ed727552e9f4a17b9ed89318e4df8c9_modifiedword">
    <vt:lpwstr>生态</vt:lpwstr>
  </property>
  <property fmtid="{D5CDD505-2E9C-101B-9397-08002B2CF9AE}" pid="2124" name="hmcheck_result_9da9b3f678d544799719e0e976c50cc6_modifiedword">
    <vt:lpwstr>左右</vt:lpwstr>
  </property>
  <property fmtid="{D5CDD505-2E9C-101B-9397-08002B2CF9AE}" pid="2125" name="hmcheck_result_1ef233f5c68c4265ab7cae79d7f6a55b_modifiedword">
    <vt:lpwstr>环境保护部</vt:lpwstr>
  </property>
  <property fmtid="{D5CDD505-2E9C-101B-9397-08002B2CF9AE}" pid="2126" name="hmcheck_result_a6438c3cd6ec4883a40311c6fc76d662_modifiedword">
    <vt:lpwstr>水稳拌合站</vt:lpwstr>
  </property>
  <property fmtid="{D5CDD505-2E9C-101B-9397-08002B2CF9AE}" pid="2127" name="hmcheck_result_79a9a2e650c6417090928ed72e74e7b3_modifiedword">
    <vt:lpwstr>国家林业和草原局</vt:lpwstr>
  </property>
  <property fmtid="{D5CDD505-2E9C-101B-9397-08002B2CF9AE}" pid="2128" name="hmcheck_result_92f38639186349a0b93a142ca1ff689b_modifiedword">
    <vt:lpwstr>国家林业和草原局</vt:lpwstr>
  </property>
  <property fmtid="{D5CDD505-2E9C-101B-9397-08002B2CF9AE}" pid="2129" name="hmcheck_result_f398e5c028e7413d88a643ca09e969b7_modifiedword">
    <vt:lpwstr>生态</vt:lpwstr>
  </property>
  <property fmtid="{D5CDD505-2E9C-101B-9397-08002B2CF9AE}" pid="2130" name="hmcheck_result_107f74e625674b21a4f706b70660f59a_modifiedword">
    <vt:lpwstr>生态</vt:lpwstr>
  </property>
  <property fmtid="{D5CDD505-2E9C-101B-9397-08002B2CF9AE}" pid="2131" name="hmcheck_result_36e466ed115546679211fa0000a83671_modifiedword">
    <vt:lpwstr>资源</vt:lpwstr>
  </property>
  <property fmtid="{D5CDD505-2E9C-101B-9397-08002B2CF9AE}" pid="2132" name="hmcheck_result_8bd7d5e66de74e7b8ce428fce97891fe_modifiedword">
    <vt:lpwstr>生态</vt:lpwstr>
  </property>
  <property fmtid="{D5CDD505-2E9C-101B-9397-08002B2CF9AE}" pid="2133" name="hmcheck_result_de80b6ca644b499eb5d7be8251ae4582_modifiedword">
    <vt:lpwstr>国家林业和草原局</vt:lpwstr>
  </property>
</Properties>
</file>