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78329">
      <w:pPr>
        <w:pStyle w:val="16"/>
        <w:rPr>
          <w:sz w:val="48"/>
          <w:szCs w:val="48"/>
        </w:rPr>
      </w:pPr>
    </w:p>
    <w:p w14:paraId="235F8AF2">
      <w:pPr>
        <w:pStyle w:val="16"/>
        <w:rPr>
          <w:sz w:val="48"/>
          <w:szCs w:val="48"/>
        </w:rPr>
      </w:pPr>
      <w:r>
        <w:rPr>
          <w:rFonts w:hint="eastAsia"/>
          <w:sz w:val="48"/>
          <w:szCs w:val="48"/>
        </w:rPr>
        <w:t>福州市福清市噪声敏感建筑物集中区域</w:t>
      </w:r>
    </w:p>
    <w:p w14:paraId="23623198">
      <w:pPr>
        <w:pStyle w:val="16"/>
        <w:rPr>
          <w:rFonts w:eastAsia="宋体"/>
          <w:kern w:val="2"/>
          <w:sz w:val="22"/>
          <w:szCs w:val="22"/>
        </w:rPr>
      </w:pPr>
      <w:r>
        <w:rPr>
          <w:rFonts w:hint="eastAsia"/>
          <w:sz w:val="48"/>
          <w:szCs w:val="48"/>
        </w:rPr>
        <w:t>划定方案</w:t>
      </w:r>
    </w:p>
    <w:p w14:paraId="0915593B">
      <w:pPr>
        <w:ind w:firstLine="0" w:firstLineChars="0"/>
        <w:jc w:val="center"/>
        <w:rPr>
          <w:sz w:val="28"/>
          <w:szCs w:val="24"/>
        </w:rPr>
      </w:pPr>
    </w:p>
    <w:p w14:paraId="130CEB14">
      <w:pPr>
        <w:ind w:firstLine="0" w:firstLineChars="0"/>
        <w:jc w:val="center"/>
        <w:rPr>
          <w:sz w:val="28"/>
          <w:szCs w:val="24"/>
        </w:rPr>
      </w:pPr>
    </w:p>
    <w:p w14:paraId="71A30C0B">
      <w:pPr>
        <w:ind w:firstLine="0" w:firstLineChars="0"/>
        <w:jc w:val="center"/>
        <w:rPr>
          <w:rFonts w:ascii="华文中宋" w:eastAsia="华文中宋" w:cs="Times New Roman"/>
          <w:b/>
          <w:kern w:val="0"/>
          <w:sz w:val="44"/>
          <w:szCs w:val="44"/>
        </w:rPr>
      </w:pPr>
      <w:r>
        <w:rPr>
          <w:rFonts w:hint="eastAsia" w:ascii="华文中宋" w:eastAsia="华文中宋" w:cs="Times New Roman"/>
          <w:b/>
          <w:kern w:val="0"/>
          <w:sz w:val="44"/>
          <w:szCs w:val="44"/>
        </w:rPr>
        <w:t>（征求意见稿）</w:t>
      </w:r>
    </w:p>
    <w:p w14:paraId="17120187">
      <w:pPr>
        <w:ind w:firstLine="560"/>
        <w:rPr>
          <w:sz w:val="28"/>
          <w:szCs w:val="24"/>
        </w:rPr>
      </w:pPr>
    </w:p>
    <w:p w14:paraId="28D15184">
      <w:pPr>
        <w:ind w:firstLine="560"/>
        <w:rPr>
          <w:sz w:val="28"/>
          <w:szCs w:val="24"/>
        </w:rPr>
      </w:pPr>
    </w:p>
    <w:p w14:paraId="0130F4A5">
      <w:pPr>
        <w:ind w:firstLine="560"/>
        <w:rPr>
          <w:sz w:val="28"/>
          <w:szCs w:val="24"/>
        </w:rPr>
      </w:pPr>
    </w:p>
    <w:p w14:paraId="4E26208D">
      <w:pPr>
        <w:ind w:firstLine="560"/>
        <w:rPr>
          <w:sz w:val="28"/>
          <w:szCs w:val="24"/>
        </w:rPr>
      </w:pPr>
    </w:p>
    <w:p w14:paraId="27BBAD6C">
      <w:pPr>
        <w:ind w:firstLine="560"/>
        <w:rPr>
          <w:sz w:val="28"/>
          <w:szCs w:val="24"/>
        </w:rPr>
      </w:pPr>
    </w:p>
    <w:p w14:paraId="65F8D243">
      <w:pPr>
        <w:ind w:firstLine="560"/>
        <w:rPr>
          <w:sz w:val="28"/>
          <w:szCs w:val="24"/>
        </w:rPr>
      </w:pPr>
    </w:p>
    <w:p w14:paraId="15A73FDD">
      <w:pPr>
        <w:ind w:firstLine="560"/>
        <w:rPr>
          <w:sz w:val="28"/>
          <w:szCs w:val="24"/>
        </w:rPr>
      </w:pPr>
    </w:p>
    <w:p w14:paraId="4C49CDDD">
      <w:pPr>
        <w:ind w:firstLine="560"/>
        <w:rPr>
          <w:sz w:val="28"/>
          <w:szCs w:val="24"/>
        </w:rPr>
      </w:pPr>
    </w:p>
    <w:p w14:paraId="466B6330">
      <w:pPr>
        <w:ind w:firstLine="560"/>
        <w:rPr>
          <w:sz w:val="28"/>
          <w:szCs w:val="24"/>
        </w:rPr>
      </w:pPr>
    </w:p>
    <w:p w14:paraId="20C9025B">
      <w:pPr>
        <w:ind w:firstLine="560"/>
        <w:rPr>
          <w:sz w:val="28"/>
          <w:szCs w:val="24"/>
        </w:rPr>
      </w:pPr>
    </w:p>
    <w:p w14:paraId="5A6C0F56">
      <w:pPr>
        <w:ind w:firstLine="560"/>
        <w:rPr>
          <w:sz w:val="28"/>
          <w:szCs w:val="24"/>
        </w:rPr>
      </w:pPr>
    </w:p>
    <w:p w14:paraId="7E952B82">
      <w:pPr>
        <w:ind w:firstLine="0" w:firstLineChars="0"/>
        <w:jc w:val="center"/>
        <w:rPr>
          <w:b/>
          <w:bCs/>
          <w:sz w:val="28"/>
          <w:szCs w:val="24"/>
        </w:rPr>
      </w:pPr>
      <w:r>
        <w:rPr>
          <w:rFonts w:hint="eastAsia"/>
          <w:b/>
          <w:bCs/>
          <w:sz w:val="28"/>
          <w:szCs w:val="24"/>
        </w:rPr>
        <w:t>福清市人民政府</w:t>
      </w:r>
    </w:p>
    <w:p w14:paraId="3BB30F31">
      <w:pPr>
        <w:ind w:firstLine="0" w:firstLineChars="0"/>
        <w:jc w:val="center"/>
        <w:rPr>
          <w:sz w:val="28"/>
          <w:szCs w:val="24"/>
        </w:rPr>
        <w:sectPr>
          <w:footerReference r:id="rId7" w:type="first"/>
          <w:footerReference r:id="rId5" w:type="default"/>
          <w:footerReference r:id="rId6" w:type="even"/>
          <w:pgSz w:w="11906" w:h="16838"/>
          <w:pgMar w:top="1440" w:right="1800" w:bottom="1440" w:left="1800" w:header="851" w:footer="992" w:gutter="0"/>
          <w:pgNumType w:start="1" w:chapStyle="1"/>
          <w:cols w:space="425" w:num="1"/>
          <w:docGrid w:type="lines" w:linePitch="312" w:charSpace="0"/>
        </w:sectPr>
      </w:pPr>
      <w:r>
        <w:rPr>
          <w:rFonts w:hint="eastAsia"/>
          <w:b/>
          <w:bCs/>
          <w:sz w:val="28"/>
          <w:szCs w:val="24"/>
        </w:rPr>
        <w:t>2</w:t>
      </w:r>
      <w:r>
        <w:rPr>
          <w:b/>
          <w:bCs/>
          <w:sz w:val="28"/>
          <w:szCs w:val="24"/>
        </w:rPr>
        <w:t>025</w:t>
      </w:r>
      <w:r>
        <w:rPr>
          <w:rFonts w:hint="eastAsia"/>
          <w:b/>
          <w:bCs/>
          <w:sz w:val="28"/>
          <w:szCs w:val="24"/>
        </w:rPr>
        <w:t>年3月</w:t>
      </w:r>
    </w:p>
    <w:p w14:paraId="5F5A931B">
      <w:pPr>
        <w:pStyle w:val="2"/>
      </w:pPr>
      <w:r>
        <w:rPr>
          <w:rFonts w:hint="eastAsia"/>
        </w:rPr>
        <w:t>前言</w:t>
      </w:r>
    </w:p>
    <w:p w14:paraId="30CA5783">
      <w:r>
        <w:rPr>
          <w:rFonts w:hint="eastAsia"/>
        </w:rPr>
        <w:t>为建立健全我市噪声污染防治管理体系，进一步改善和提高声环境质量，依据《中华人民共和国噪声污染防治法》等有关法律、标准和规范要求，结合我市实际，制定本方案。</w:t>
      </w:r>
    </w:p>
    <w:p w14:paraId="5D8C1B39">
      <w:pPr>
        <w:pStyle w:val="2"/>
      </w:pPr>
      <w:r>
        <w:rPr>
          <w:rFonts w:hint="eastAsia"/>
        </w:rPr>
        <w:t>适用范围</w:t>
      </w:r>
    </w:p>
    <w:p w14:paraId="62FD435B">
      <w:r>
        <w:rPr>
          <w:rFonts w:hint="eastAsia"/>
        </w:rPr>
        <w:t>本方案适用于《福清市国土空间总体规划（2021—2035年）》中明确的中心城区范围的区域，具体为：玉屏、龙山、龙江、音西、宏路、石竹、阳下等七个街道办事处行政管辖范围，面积约250.8平方公里。</w:t>
      </w:r>
    </w:p>
    <w:p w14:paraId="290DD83F">
      <w:pPr>
        <w:pStyle w:val="2"/>
      </w:pPr>
      <w:r>
        <w:rPr>
          <w:rFonts w:hint="eastAsia"/>
        </w:rPr>
        <w:t>划分依据</w:t>
      </w:r>
    </w:p>
    <w:p w14:paraId="132DA8BB">
      <w:pPr>
        <w:pStyle w:val="23"/>
        <w:numPr>
          <w:ilvl w:val="0"/>
          <w:numId w:val="3"/>
        </w:numPr>
        <w:ind w:firstLineChars="0"/>
        <w:rPr>
          <w:rFonts w:hint="eastAsia" w:ascii="宋体" w:hAnsi="宋体"/>
          <w:szCs w:val="24"/>
        </w:rPr>
      </w:pPr>
      <w:r>
        <w:rPr>
          <w:rFonts w:hint="eastAsia" w:ascii="宋体" w:hAnsi="宋体"/>
          <w:szCs w:val="24"/>
        </w:rPr>
        <w:t>《中华人民共和国噪声污染防治法》</w:t>
      </w:r>
    </w:p>
    <w:p w14:paraId="59AEB81E">
      <w:pPr>
        <w:pStyle w:val="23"/>
        <w:numPr>
          <w:ilvl w:val="0"/>
          <w:numId w:val="3"/>
        </w:numPr>
        <w:ind w:firstLineChars="0"/>
        <w:rPr>
          <w:rFonts w:hint="eastAsia" w:ascii="宋体" w:hAnsi="宋体"/>
          <w:szCs w:val="24"/>
        </w:rPr>
      </w:pPr>
      <w:r>
        <w:rPr>
          <w:rFonts w:hint="eastAsia" w:ascii="宋体" w:hAnsi="宋体"/>
          <w:szCs w:val="24"/>
        </w:rPr>
        <w:t>《“十四五”噪声污染防治行动计划》（环大气〔2023〕1号）</w:t>
      </w:r>
    </w:p>
    <w:p w14:paraId="1EDA3ADB">
      <w:pPr>
        <w:pStyle w:val="23"/>
        <w:numPr>
          <w:ilvl w:val="0"/>
          <w:numId w:val="3"/>
        </w:numPr>
        <w:ind w:firstLineChars="0"/>
        <w:rPr>
          <w:rFonts w:hint="eastAsia" w:ascii="宋体" w:hAnsi="宋体"/>
          <w:szCs w:val="24"/>
        </w:rPr>
      </w:pPr>
      <w:r>
        <w:rPr>
          <w:rFonts w:hint="eastAsia" w:ascii="宋体" w:hAnsi="宋体"/>
          <w:szCs w:val="24"/>
        </w:rPr>
        <w:t>《声环境质量标准》（GB</w:t>
      </w:r>
      <w:r>
        <w:rPr>
          <w:rFonts w:ascii="宋体" w:hAnsi="宋体"/>
          <w:szCs w:val="24"/>
        </w:rPr>
        <w:t>3096-2008</w:t>
      </w:r>
      <w:r>
        <w:rPr>
          <w:rFonts w:hint="eastAsia" w:ascii="宋体" w:hAnsi="宋体"/>
          <w:szCs w:val="24"/>
        </w:rPr>
        <w:t>）</w:t>
      </w:r>
    </w:p>
    <w:p w14:paraId="3510A2E0">
      <w:pPr>
        <w:pStyle w:val="23"/>
        <w:numPr>
          <w:ilvl w:val="0"/>
          <w:numId w:val="3"/>
        </w:numPr>
        <w:ind w:firstLineChars="0"/>
        <w:rPr>
          <w:rFonts w:hint="eastAsia" w:ascii="宋体" w:hAnsi="宋体"/>
          <w:szCs w:val="24"/>
        </w:rPr>
      </w:pPr>
      <w:r>
        <w:rPr>
          <w:rFonts w:hint="eastAsia" w:ascii="宋体" w:hAnsi="宋体"/>
          <w:szCs w:val="24"/>
        </w:rPr>
        <w:t>《声环境功能区划分技术规范》（GB/T15190</w:t>
      </w:r>
      <w:r>
        <w:rPr>
          <w:rFonts w:ascii="宋体" w:hAnsi="宋体"/>
          <w:szCs w:val="24"/>
        </w:rPr>
        <w:t>-2014</w:t>
      </w:r>
      <w:r>
        <w:rPr>
          <w:rFonts w:hint="eastAsia" w:ascii="宋体" w:hAnsi="宋体"/>
          <w:szCs w:val="24"/>
        </w:rPr>
        <w:t>）</w:t>
      </w:r>
    </w:p>
    <w:p w14:paraId="5A453182">
      <w:pPr>
        <w:pStyle w:val="23"/>
        <w:numPr>
          <w:ilvl w:val="0"/>
          <w:numId w:val="3"/>
        </w:numPr>
        <w:ind w:firstLineChars="0"/>
        <w:rPr>
          <w:rFonts w:hint="eastAsia" w:ascii="宋体" w:hAnsi="宋体"/>
          <w:szCs w:val="24"/>
        </w:rPr>
      </w:pPr>
      <w:r>
        <w:rPr>
          <w:rFonts w:hint="eastAsia" w:ascii="宋体" w:hAnsi="宋体"/>
          <w:szCs w:val="24"/>
        </w:rPr>
        <w:t>《第三次全国国土调查技术规程》（TD/T1055</w:t>
      </w:r>
      <w:r>
        <w:rPr>
          <w:rFonts w:ascii="宋体" w:hAnsi="宋体"/>
          <w:szCs w:val="24"/>
        </w:rPr>
        <w:t>-2019</w:t>
      </w:r>
      <w:r>
        <w:rPr>
          <w:rFonts w:hint="eastAsia" w:ascii="宋体" w:hAnsi="宋体"/>
          <w:szCs w:val="24"/>
        </w:rPr>
        <w:t>）</w:t>
      </w:r>
    </w:p>
    <w:p w14:paraId="2B8922AB">
      <w:pPr>
        <w:pStyle w:val="23"/>
        <w:numPr>
          <w:ilvl w:val="0"/>
          <w:numId w:val="3"/>
        </w:numPr>
        <w:ind w:firstLineChars="0"/>
        <w:rPr>
          <w:rFonts w:hint="eastAsia" w:ascii="宋体" w:hAnsi="宋体"/>
          <w:szCs w:val="24"/>
        </w:rPr>
      </w:pPr>
      <w:r>
        <w:rPr>
          <w:rFonts w:hint="eastAsia" w:ascii="宋体" w:hAnsi="宋体"/>
          <w:szCs w:val="24"/>
        </w:rPr>
        <w:t>《土地利用现状分类》（GB/T21010</w:t>
      </w:r>
      <w:r>
        <w:rPr>
          <w:rFonts w:ascii="宋体" w:hAnsi="宋体"/>
          <w:szCs w:val="24"/>
        </w:rPr>
        <w:t>-2017</w:t>
      </w:r>
      <w:r>
        <w:rPr>
          <w:rFonts w:hint="eastAsia" w:ascii="宋体" w:hAnsi="宋体"/>
          <w:szCs w:val="24"/>
        </w:rPr>
        <w:t>）</w:t>
      </w:r>
    </w:p>
    <w:p w14:paraId="4703B6D0">
      <w:pPr>
        <w:pStyle w:val="23"/>
        <w:numPr>
          <w:ilvl w:val="0"/>
          <w:numId w:val="3"/>
        </w:numPr>
        <w:ind w:firstLineChars="0"/>
        <w:rPr>
          <w:rFonts w:hint="eastAsia" w:ascii="宋体" w:hAnsi="宋体"/>
          <w:szCs w:val="24"/>
        </w:rPr>
      </w:pPr>
      <w:r>
        <w:rPr>
          <w:rFonts w:hint="eastAsia" w:ascii="宋体" w:hAnsi="宋体"/>
          <w:szCs w:val="24"/>
        </w:rPr>
        <w:t>《福州市噪声敏感建筑物集中区域划定工作指南（试行）》</w:t>
      </w:r>
    </w:p>
    <w:p w14:paraId="74892858">
      <w:pPr>
        <w:pStyle w:val="2"/>
      </w:pPr>
      <w:r>
        <w:rPr>
          <w:rFonts w:hint="eastAsia"/>
        </w:rPr>
        <w:t>划分原则</w:t>
      </w:r>
    </w:p>
    <w:p w14:paraId="4CDDAF8E">
      <w:r>
        <w:rPr>
          <w:rFonts w:hint="eastAsia"/>
        </w:rPr>
        <w:t>按照《中华人民共和国噪声污染防治法》第十四条的规定，噪声敏感区域是指用于居住、科学研究、医疗卫生、文化教育、机关团体办公、社会福利等的建筑物为主的区域。本报告划分原则如下：</w:t>
      </w:r>
    </w:p>
    <w:p w14:paraId="6FA4B087">
      <w:pPr>
        <w:rPr>
          <w:rFonts w:hint="eastAsia" w:ascii="宋体" w:hAnsi="宋体"/>
        </w:rPr>
      </w:pPr>
      <w:r>
        <w:rPr>
          <w:rFonts w:hint="eastAsia" w:ascii="宋体" w:hAnsi="宋体"/>
        </w:rPr>
        <w:t>（1）现状优先。以用地、建筑物分类和分布现状为优先依据，结合国土空间规划和年度国土调查成果等确定噪声敏感建筑物集中区域。</w:t>
      </w:r>
    </w:p>
    <w:p w14:paraId="1C1511FF">
      <w:pPr>
        <w:rPr>
          <w:rFonts w:hint="eastAsia" w:ascii="宋体" w:hAnsi="宋体"/>
        </w:rPr>
      </w:pPr>
      <w:r>
        <w:rPr>
          <w:rFonts w:hint="eastAsia" w:ascii="宋体" w:hAnsi="宋体"/>
        </w:rPr>
        <w:t>（2）边界清晰。充分利用行政区边界、交通线路、地形边界等划分噪声敏感建筑物集中区域边界。</w:t>
      </w:r>
    </w:p>
    <w:p w14:paraId="6F602D4A">
      <w:pPr>
        <w:rPr>
          <w:rFonts w:hint="eastAsia" w:ascii="宋体" w:hAnsi="宋体"/>
        </w:rPr>
      </w:pPr>
      <w:r>
        <w:rPr>
          <w:rFonts w:hint="eastAsia" w:ascii="宋体" w:hAnsi="宋体"/>
        </w:rPr>
        <w:t>（3）便于管理。噪声敏感建筑物集中区域划定应</w:t>
      </w:r>
      <w:bookmarkStart w:id="0" w:name="_Hlk188433321"/>
      <w:bookmarkStart w:id="1" w:name="_Hlk188435079"/>
      <w:r>
        <w:rPr>
          <w:rFonts w:hint="eastAsia" w:ascii="宋体" w:hAnsi="宋体"/>
        </w:rPr>
        <w:t>便于城市噪声污染防治管理</w:t>
      </w:r>
      <w:bookmarkEnd w:id="0"/>
      <w:r>
        <w:rPr>
          <w:rFonts w:hint="eastAsia" w:ascii="宋体" w:hAnsi="宋体"/>
        </w:rPr>
        <w:t>。</w:t>
      </w:r>
    </w:p>
    <w:bookmarkEnd w:id="1"/>
    <w:p w14:paraId="57B65EED">
      <w:pPr>
        <w:rPr>
          <w:rFonts w:hint="eastAsia" w:ascii="宋体" w:hAnsi="宋体"/>
        </w:rPr>
      </w:pPr>
      <w:r>
        <w:rPr>
          <w:rFonts w:hint="eastAsia" w:ascii="宋体" w:hAnsi="宋体"/>
        </w:rPr>
        <w:t>（4）适时调整。根据区域城建开发、建筑物实际使用功能调整等情况，适时进行噪声敏感建筑物集中区域调整。</w:t>
      </w:r>
    </w:p>
    <w:p w14:paraId="0A648B6F">
      <w:pPr>
        <w:pStyle w:val="2"/>
      </w:pPr>
      <w:r>
        <w:rPr>
          <w:rFonts w:hint="eastAsia"/>
        </w:rPr>
        <w:t>划分结果</w:t>
      </w:r>
    </w:p>
    <w:p w14:paraId="4E45D2ED">
      <w:r>
        <w:rPr>
          <w:rFonts w:hint="eastAsia"/>
        </w:rPr>
        <w:t>按照《福州市噪声敏感建筑物集中区域划</w:t>
      </w:r>
      <w:bookmarkStart w:id="2" w:name="OLE_LINK1"/>
      <w:r>
        <w:rPr>
          <w:rFonts w:hint="eastAsia"/>
        </w:rPr>
        <w:t>定工作指南</w:t>
      </w:r>
      <w:bookmarkEnd w:id="2"/>
      <w:r>
        <w:rPr>
          <w:rFonts w:hint="eastAsia"/>
        </w:rPr>
        <w:t>（试行）》，福清市共划定噪声敏感建筑物集中区域25个，划定总面积合计约9.32km</w:t>
      </w:r>
      <w:r>
        <w:rPr>
          <w:rFonts w:hint="eastAsia"/>
          <w:vertAlign w:val="superscript"/>
        </w:rPr>
        <w:t>2</w:t>
      </w:r>
      <w:r>
        <w:rPr>
          <w:rFonts w:hint="eastAsia"/>
        </w:rPr>
        <w:t>，噪声敏感建筑物集中区域划定结果见附表、附图。</w:t>
      </w:r>
    </w:p>
    <w:p w14:paraId="67B9B160">
      <w:pPr>
        <w:pStyle w:val="2"/>
        <w:ind w:left="425" w:hanging="425"/>
      </w:pPr>
      <w:r>
        <w:rPr>
          <w:rFonts w:hint="eastAsia"/>
        </w:rPr>
        <w:t>划分说明</w:t>
      </w:r>
    </w:p>
    <w:p w14:paraId="59D6A390">
      <w:pPr>
        <w:rPr>
          <w:rFonts w:hint="eastAsia" w:ascii="宋体" w:hAnsi="宋体"/>
        </w:rPr>
      </w:pPr>
      <w:r>
        <w:rPr>
          <w:rFonts w:hint="eastAsia" w:ascii="宋体" w:hAnsi="宋体"/>
        </w:rPr>
        <w:t>根据《福州市噪声敏感建筑物集中区域划定工作指南（试行）》，以下对划定方案中的特殊情况进行说明。</w:t>
      </w:r>
    </w:p>
    <w:p w14:paraId="1F09EB67">
      <w:pPr>
        <w:ind w:firstLine="482"/>
        <w:rPr>
          <w:rFonts w:hint="eastAsia" w:ascii="宋体" w:hAnsi="宋体"/>
          <w:b/>
          <w:bCs/>
        </w:rPr>
      </w:pPr>
      <w:r>
        <w:rPr>
          <w:rFonts w:hint="eastAsia" w:ascii="宋体" w:hAnsi="宋体"/>
          <w:b/>
          <w:bCs/>
        </w:rPr>
        <w:t>（1）以现状为准确定噪声敏感建筑物集中区域</w:t>
      </w:r>
    </w:p>
    <w:p w14:paraId="5259A011">
      <w:pPr>
        <w:rPr>
          <w:rFonts w:hint="eastAsia" w:cs="Times New Roman"/>
        </w:rPr>
      </w:pPr>
      <w:r>
        <w:rPr>
          <w:rFonts w:cs="Times New Roman"/>
        </w:rPr>
        <w:t>部分区域用地性质与现状实际建筑物性质不符，经调查确定为噪声敏感建筑物的，划分为噪声敏感建筑物集中区域。如JZQ0</w:t>
      </w:r>
      <w:r>
        <w:rPr>
          <w:rFonts w:hint="eastAsia" w:cs="Times New Roman"/>
        </w:rPr>
        <w:t>03的国资小镇、</w:t>
      </w:r>
      <w:r>
        <w:rPr>
          <w:rFonts w:hint="eastAsia"/>
        </w:rPr>
        <w:t>JZQ007的汇通银行总部大楼</w:t>
      </w:r>
      <w:r>
        <w:rPr>
          <w:rFonts w:hint="eastAsia" w:cs="Times New Roman"/>
        </w:rPr>
        <w:t>以办公为主，</w:t>
      </w:r>
      <w:r>
        <w:rPr>
          <w:rFonts w:hint="eastAsia"/>
        </w:rPr>
        <w:t>且其周边建筑物多为住宅，因此将其一并划分为噪声敏感建筑物集中区域；</w:t>
      </w:r>
      <w:bookmarkStart w:id="3" w:name="OLE_LINK2"/>
      <w:r>
        <w:rPr>
          <w:rFonts w:hint="eastAsia"/>
        </w:rPr>
        <w:t>JZQ011的金辉壹号院地块现状为住宅楼，将其划分为噪声敏感建筑物集中区域</w:t>
      </w:r>
      <w:bookmarkEnd w:id="3"/>
      <w:r>
        <w:rPr>
          <w:rFonts w:hint="eastAsia"/>
        </w:rPr>
        <w:t>；</w:t>
      </w:r>
    </w:p>
    <w:tbl>
      <w:tblPr>
        <w:tblStyle w:val="18"/>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6"/>
        <w:gridCol w:w="4235"/>
      </w:tblGrid>
      <w:tr w14:paraId="253E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6" w:type="dxa"/>
            <w:tcMar>
              <w:left w:w="0" w:type="dxa"/>
              <w:right w:w="0" w:type="dxa"/>
            </w:tcMar>
            <w:vAlign w:val="center"/>
          </w:tcPr>
          <w:p w14:paraId="321EA30A">
            <w:pPr>
              <w:spacing w:line="240" w:lineRule="auto"/>
              <w:ind w:firstLine="0" w:firstLineChars="0"/>
              <w:jc w:val="center"/>
              <w:rPr>
                <w:rFonts w:cs="Times New Roman"/>
                <w:sz w:val="21"/>
                <w:szCs w:val="21"/>
                <w:highlight w:val="yellow"/>
              </w:rPr>
            </w:pPr>
            <w:r>
              <w:drawing>
                <wp:inline distT="0" distB="0" distL="0" distR="0">
                  <wp:extent cx="2581910" cy="1852930"/>
                  <wp:effectExtent l="0" t="0" r="8890" b="0"/>
                  <wp:docPr id="597334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34792" name="图片 1"/>
                          <pic:cNvPicPr>
                            <a:picLocks noChangeAspect="1"/>
                          </pic:cNvPicPr>
                        </pic:nvPicPr>
                        <pic:blipFill>
                          <a:blip r:embed="rId10"/>
                          <a:stretch>
                            <a:fillRect/>
                          </a:stretch>
                        </pic:blipFill>
                        <pic:spPr>
                          <a:xfrm>
                            <a:off x="0" y="0"/>
                            <a:ext cx="2581910" cy="1852930"/>
                          </a:xfrm>
                          <a:prstGeom prst="rect">
                            <a:avLst/>
                          </a:prstGeom>
                        </pic:spPr>
                      </pic:pic>
                    </a:graphicData>
                  </a:graphic>
                </wp:inline>
              </w:drawing>
            </w:r>
          </w:p>
        </w:tc>
        <w:tc>
          <w:tcPr>
            <w:tcW w:w="4235" w:type="dxa"/>
            <w:tcMar>
              <w:left w:w="0" w:type="dxa"/>
              <w:right w:w="0" w:type="dxa"/>
            </w:tcMar>
            <w:vAlign w:val="center"/>
          </w:tcPr>
          <w:p w14:paraId="5C618BD3">
            <w:pPr>
              <w:spacing w:line="240" w:lineRule="auto"/>
              <w:ind w:firstLine="0" w:firstLineChars="0"/>
              <w:jc w:val="center"/>
              <w:rPr>
                <w:rFonts w:cs="Times New Roman"/>
                <w:sz w:val="21"/>
                <w:szCs w:val="21"/>
                <w:highlight w:val="yellow"/>
              </w:rPr>
            </w:pPr>
            <w:r>
              <w:drawing>
                <wp:inline distT="0" distB="0" distL="0" distR="0">
                  <wp:extent cx="2939415" cy="1837690"/>
                  <wp:effectExtent l="0" t="0" r="0" b="0"/>
                  <wp:docPr id="1131374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74061" name="图片 1"/>
                          <pic:cNvPicPr>
                            <a:picLocks noChangeAspect="1"/>
                          </pic:cNvPicPr>
                        </pic:nvPicPr>
                        <pic:blipFill>
                          <a:blip r:embed="rId11"/>
                          <a:stretch>
                            <a:fillRect/>
                          </a:stretch>
                        </pic:blipFill>
                        <pic:spPr>
                          <a:xfrm>
                            <a:off x="0" y="0"/>
                            <a:ext cx="2941931" cy="1839751"/>
                          </a:xfrm>
                          <a:prstGeom prst="rect">
                            <a:avLst/>
                          </a:prstGeom>
                        </pic:spPr>
                      </pic:pic>
                    </a:graphicData>
                  </a:graphic>
                </wp:inline>
              </w:drawing>
            </w:r>
          </w:p>
        </w:tc>
      </w:tr>
      <w:tr w14:paraId="55C7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311" w:type="dxa"/>
            <w:gridSpan w:val="2"/>
            <w:tcMar>
              <w:left w:w="0" w:type="dxa"/>
              <w:right w:w="0" w:type="dxa"/>
            </w:tcMar>
            <w:vAlign w:val="center"/>
          </w:tcPr>
          <w:p w14:paraId="50332964">
            <w:pPr>
              <w:spacing w:line="240" w:lineRule="auto"/>
              <w:ind w:firstLine="0" w:firstLineChars="0"/>
              <w:rPr>
                <w:rFonts w:cs="Times New Roman"/>
                <w:sz w:val="21"/>
                <w:szCs w:val="21"/>
              </w:rPr>
            </w:pPr>
            <w:r>
              <w:rPr>
                <w:rFonts w:hint="eastAsia" w:cs="Times New Roman"/>
                <w:sz w:val="21"/>
                <w:szCs w:val="21"/>
              </w:rPr>
              <w:t>JZQ003国资小镇、JZQ007汇通银行总部大楼以办公为主，且周边建筑物多为住宅，将其一并划分为噪声敏感建筑物集中区域。</w:t>
            </w:r>
            <w:bookmarkStart w:id="4" w:name="_GoBack"/>
            <w:bookmarkEnd w:id="4"/>
          </w:p>
        </w:tc>
      </w:tr>
      <w:tr w14:paraId="1150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311" w:type="dxa"/>
            <w:gridSpan w:val="2"/>
            <w:tcMar>
              <w:left w:w="0" w:type="dxa"/>
              <w:right w:w="0" w:type="dxa"/>
            </w:tcMar>
            <w:vAlign w:val="center"/>
          </w:tcPr>
          <w:p w14:paraId="396C7853">
            <w:pPr>
              <w:spacing w:line="240" w:lineRule="auto"/>
              <w:ind w:firstLine="0" w:firstLineChars="0"/>
              <w:jc w:val="center"/>
              <w:rPr>
                <w:rFonts w:hint="eastAsia" w:cs="Times New Roman"/>
                <w:sz w:val="21"/>
                <w:szCs w:val="21"/>
              </w:rPr>
            </w:pPr>
            <w:r>
              <w:drawing>
                <wp:inline distT="0" distB="0" distL="0" distR="0">
                  <wp:extent cx="5271135" cy="2667000"/>
                  <wp:effectExtent l="0" t="0" r="5715" b="0"/>
                  <wp:docPr id="2054986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86323" name="图片 1"/>
                          <pic:cNvPicPr>
                            <a:picLocks noChangeAspect="1"/>
                          </pic:cNvPicPr>
                        </pic:nvPicPr>
                        <pic:blipFill>
                          <a:blip r:embed="rId12"/>
                          <a:stretch>
                            <a:fillRect/>
                          </a:stretch>
                        </pic:blipFill>
                        <pic:spPr>
                          <a:xfrm>
                            <a:off x="0" y="0"/>
                            <a:ext cx="5271135" cy="2667000"/>
                          </a:xfrm>
                          <a:prstGeom prst="rect">
                            <a:avLst/>
                          </a:prstGeom>
                        </pic:spPr>
                      </pic:pic>
                    </a:graphicData>
                  </a:graphic>
                </wp:inline>
              </w:drawing>
            </w:r>
          </w:p>
        </w:tc>
      </w:tr>
      <w:tr w14:paraId="2580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311" w:type="dxa"/>
            <w:gridSpan w:val="2"/>
            <w:tcMar>
              <w:left w:w="0" w:type="dxa"/>
              <w:right w:w="0" w:type="dxa"/>
            </w:tcMar>
            <w:vAlign w:val="center"/>
          </w:tcPr>
          <w:p w14:paraId="208B9284">
            <w:pPr>
              <w:spacing w:line="240" w:lineRule="auto"/>
              <w:ind w:firstLine="0" w:firstLineChars="0"/>
            </w:pPr>
            <w:r>
              <w:rPr>
                <w:rFonts w:hint="eastAsia" w:cs="Times New Roman"/>
                <w:sz w:val="21"/>
                <w:szCs w:val="21"/>
              </w:rPr>
              <w:t>JZQ011金辉壹号院地块现状为住宅楼，将其划分为噪声敏感建筑物集中区域。</w:t>
            </w:r>
          </w:p>
        </w:tc>
      </w:tr>
    </w:tbl>
    <w:p w14:paraId="090DC0DB">
      <w:pPr>
        <w:ind w:firstLine="482"/>
        <w:rPr>
          <w:rFonts w:hint="eastAsia"/>
          <w:b/>
        </w:rPr>
      </w:pPr>
      <w:r>
        <w:rPr>
          <w:rFonts w:hint="eastAsia"/>
          <w:b/>
        </w:rPr>
        <w:t>（2）划分面积小于0.1平方千米的噪声敏感建筑物集中区域</w:t>
      </w:r>
    </w:p>
    <w:p w14:paraId="252AF7C5">
      <w:r>
        <w:rPr>
          <w:rFonts w:hint="eastAsia"/>
        </w:rPr>
        <w:t>本次福清市噪声敏感建筑物集中区域划分，存在1个面积小于0.1 平方千米的集中区域，即JZQ021市政府区域。该区域功能主要涵盖办公及教育用途，因此将其划分为噪声敏感建筑物集中区域。</w:t>
      </w:r>
    </w:p>
    <w:tbl>
      <w:tblPr>
        <w:tblStyle w:val="18"/>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1"/>
      </w:tblGrid>
      <w:tr w14:paraId="3CD1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311" w:type="dxa"/>
            <w:tcMar>
              <w:left w:w="0" w:type="dxa"/>
              <w:right w:w="0" w:type="dxa"/>
            </w:tcMar>
            <w:vAlign w:val="center"/>
          </w:tcPr>
          <w:p w14:paraId="36E9A7A8">
            <w:pPr>
              <w:spacing w:line="240" w:lineRule="auto"/>
              <w:ind w:firstLine="0" w:firstLineChars="0"/>
              <w:jc w:val="center"/>
              <w:rPr>
                <w:rFonts w:hint="eastAsia" w:cs="Times New Roman"/>
                <w:sz w:val="21"/>
                <w:szCs w:val="21"/>
              </w:rPr>
            </w:pPr>
            <w:r>
              <w:drawing>
                <wp:inline distT="0" distB="0" distL="0" distR="0">
                  <wp:extent cx="5271135" cy="3163570"/>
                  <wp:effectExtent l="0" t="0" r="5715" b="0"/>
                  <wp:docPr id="525067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67818" name="图片 1"/>
                          <pic:cNvPicPr>
                            <a:picLocks noChangeAspect="1"/>
                          </pic:cNvPicPr>
                        </pic:nvPicPr>
                        <pic:blipFill>
                          <a:blip r:embed="rId13"/>
                          <a:stretch>
                            <a:fillRect/>
                          </a:stretch>
                        </pic:blipFill>
                        <pic:spPr>
                          <a:xfrm>
                            <a:off x="0" y="0"/>
                            <a:ext cx="5271135" cy="3163570"/>
                          </a:xfrm>
                          <a:prstGeom prst="rect">
                            <a:avLst/>
                          </a:prstGeom>
                        </pic:spPr>
                      </pic:pic>
                    </a:graphicData>
                  </a:graphic>
                </wp:inline>
              </w:drawing>
            </w:r>
          </w:p>
        </w:tc>
      </w:tr>
      <w:tr w14:paraId="76ED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311" w:type="dxa"/>
            <w:tcMar>
              <w:left w:w="0" w:type="dxa"/>
              <w:right w:w="0" w:type="dxa"/>
            </w:tcMar>
            <w:vAlign w:val="center"/>
          </w:tcPr>
          <w:p w14:paraId="551738DF">
            <w:pPr>
              <w:spacing w:line="240" w:lineRule="auto"/>
              <w:ind w:firstLine="0" w:firstLineChars="0"/>
            </w:pPr>
            <w:r>
              <w:rPr>
                <w:rFonts w:hint="eastAsia" w:cs="Times New Roman"/>
                <w:sz w:val="21"/>
                <w:szCs w:val="21"/>
              </w:rPr>
              <w:t>JZQ021以办公、教育为主，将其划分为噪声敏感建筑物集中区域。</w:t>
            </w:r>
          </w:p>
        </w:tc>
      </w:tr>
    </w:tbl>
    <w:p w14:paraId="016C4271">
      <w:pPr>
        <w:pStyle w:val="2"/>
      </w:pPr>
      <w:r>
        <w:rPr>
          <w:rFonts w:hint="eastAsia"/>
        </w:rPr>
        <w:t>管理规定</w:t>
      </w:r>
    </w:p>
    <w:p w14:paraId="313D87C6">
      <w:r>
        <w:rPr>
          <w:rFonts w:hint="eastAsia"/>
        </w:rPr>
        <w:t>（1）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第八十八条的规定执行。</w:t>
      </w:r>
    </w:p>
    <w:p w14:paraId="208E7C8B">
      <w:r>
        <w:rPr>
          <w:rFonts w:hint="eastAsia"/>
        </w:rPr>
        <w:t>（2）噪声敏感建筑物集中区域的噪声污染防治职责分工按照《福州市人民政府办公厅关于进一步明确〈中华人民共和国噪声污染防治法〉部分条款部门职责分工的通知》执行。</w:t>
      </w:r>
    </w:p>
    <w:p w14:paraId="154C95A9">
      <w:r>
        <w:rPr>
          <w:rFonts w:hint="eastAsia"/>
        </w:rPr>
        <w:t>（3）若因建筑物属性、用地性质或规划发生根本变化，可实施动态修编，原则上不超过5年调整一次，调整程序参照划分方法执行。</w:t>
      </w:r>
    </w:p>
    <w:p w14:paraId="36163638">
      <w:r>
        <w:rPr>
          <w:rFonts w:hint="eastAsia"/>
        </w:rPr>
        <w:t>（4）本方案未尽事宜，根据有关法律法规和规章等相关规定执行。</w:t>
      </w:r>
    </w:p>
    <w:p w14:paraId="0D2ADEEC">
      <w:pPr>
        <w:sectPr>
          <w:footerReference r:id="rId8" w:type="default"/>
          <w:pgSz w:w="11906" w:h="16838"/>
          <w:pgMar w:top="1440" w:right="1800" w:bottom="1440" w:left="1800" w:header="851" w:footer="992" w:gutter="0"/>
          <w:pgNumType w:start="1"/>
          <w:cols w:space="425" w:num="1"/>
          <w:docGrid w:type="lines" w:linePitch="312" w:charSpace="0"/>
        </w:sectPr>
      </w:pPr>
    </w:p>
    <w:p w14:paraId="40B6B3FD">
      <w:pPr>
        <w:pStyle w:val="2"/>
        <w:ind w:left="425" w:hanging="425"/>
      </w:pPr>
      <w:r>
        <w:rPr>
          <w:rFonts w:hint="eastAsia"/>
        </w:rPr>
        <w:t>附表</w:t>
      </w:r>
    </w:p>
    <w:p w14:paraId="3C23C9DA">
      <w:pPr>
        <w:ind w:firstLine="0" w:firstLineChars="0"/>
        <w:jc w:val="center"/>
        <w:rPr>
          <w:b/>
          <w:bCs/>
        </w:rPr>
      </w:pPr>
      <w:r>
        <w:rPr>
          <w:rFonts w:hint="eastAsia"/>
          <w:b/>
          <w:bCs/>
        </w:rPr>
        <w:t xml:space="preserve">附表1 </w:t>
      </w:r>
      <w:r>
        <w:rPr>
          <w:b/>
          <w:bCs/>
        </w:rPr>
        <w:t xml:space="preserve"> </w:t>
      </w:r>
      <w:r>
        <w:rPr>
          <w:rFonts w:hint="eastAsia"/>
          <w:b/>
          <w:bCs/>
        </w:rPr>
        <w:t>福州市福清市噪声敏感建筑物集中区域划定成果统计表</w:t>
      </w:r>
    </w:p>
    <w:tbl>
      <w:tblPr>
        <w:tblStyle w:val="1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686"/>
        <w:gridCol w:w="9747"/>
        <w:gridCol w:w="1558"/>
      </w:tblGrid>
      <w:tr w14:paraId="7D18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44037AF9">
            <w:pPr>
              <w:spacing w:line="240" w:lineRule="auto"/>
              <w:ind w:firstLine="0" w:firstLineChars="0"/>
              <w:jc w:val="center"/>
              <w:rPr>
                <w:rFonts w:cs="Times New Roman"/>
                <w:b/>
                <w:bCs/>
                <w:sz w:val="21"/>
                <w:szCs w:val="21"/>
              </w:rPr>
            </w:pPr>
            <w:r>
              <w:rPr>
                <w:rFonts w:cs="Times New Roman"/>
                <w:b/>
                <w:bCs/>
                <w:sz w:val="21"/>
                <w:szCs w:val="21"/>
              </w:rPr>
              <w:t>集中区域编号</w:t>
            </w:r>
          </w:p>
        </w:tc>
        <w:tc>
          <w:tcPr>
            <w:tcW w:w="1686" w:type="dxa"/>
            <w:shd w:val="clear" w:color="auto" w:fill="auto"/>
            <w:noWrap/>
            <w:vAlign w:val="center"/>
          </w:tcPr>
          <w:p w14:paraId="549186EF">
            <w:pPr>
              <w:spacing w:line="240" w:lineRule="auto"/>
              <w:ind w:firstLine="0" w:firstLineChars="0"/>
              <w:jc w:val="center"/>
              <w:rPr>
                <w:rFonts w:cs="Times New Roman"/>
                <w:b/>
                <w:bCs/>
                <w:sz w:val="21"/>
                <w:szCs w:val="21"/>
              </w:rPr>
            </w:pPr>
            <w:r>
              <w:rPr>
                <w:rFonts w:cs="Times New Roman"/>
                <w:b/>
                <w:bCs/>
                <w:sz w:val="21"/>
                <w:szCs w:val="21"/>
              </w:rPr>
              <w:t>集中区域名称</w:t>
            </w:r>
          </w:p>
        </w:tc>
        <w:tc>
          <w:tcPr>
            <w:tcW w:w="9747" w:type="dxa"/>
            <w:shd w:val="clear" w:color="auto" w:fill="auto"/>
            <w:noWrap/>
            <w:vAlign w:val="center"/>
          </w:tcPr>
          <w:p w14:paraId="6DF26EEA">
            <w:pPr>
              <w:spacing w:line="240" w:lineRule="auto"/>
              <w:ind w:firstLine="0" w:firstLineChars="0"/>
              <w:jc w:val="center"/>
              <w:rPr>
                <w:rFonts w:cs="Times New Roman"/>
                <w:b/>
                <w:bCs/>
                <w:sz w:val="21"/>
                <w:szCs w:val="21"/>
              </w:rPr>
            </w:pPr>
            <w:r>
              <w:rPr>
                <w:rFonts w:cs="Times New Roman"/>
                <w:b/>
                <w:bCs/>
                <w:sz w:val="21"/>
                <w:szCs w:val="21"/>
              </w:rPr>
              <w:t>集中区域边界</w:t>
            </w:r>
          </w:p>
        </w:tc>
        <w:tc>
          <w:tcPr>
            <w:tcW w:w="1558" w:type="dxa"/>
            <w:shd w:val="clear" w:color="auto" w:fill="auto"/>
            <w:noWrap/>
            <w:vAlign w:val="center"/>
          </w:tcPr>
          <w:p w14:paraId="0895FD06">
            <w:pPr>
              <w:spacing w:line="240" w:lineRule="auto"/>
              <w:ind w:firstLine="0" w:firstLineChars="0"/>
              <w:jc w:val="center"/>
              <w:rPr>
                <w:rFonts w:cs="Times New Roman"/>
                <w:b/>
                <w:bCs/>
                <w:sz w:val="21"/>
                <w:szCs w:val="21"/>
              </w:rPr>
            </w:pPr>
            <w:r>
              <w:rPr>
                <w:rFonts w:cs="Times New Roman"/>
                <w:b/>
                <w:bCs/>
                <w:sz w:val="21"/>
                <w:szCs w:val="21"/>
              </w:rPr>
              <w:t>集中区域面积</w:t>
            </w:r>
            <w:r>
              <w:rPr>
                <w:rFonts w:cs="Times New Roman"/>
                <w:b/>
                <w:bCs/>
                <w:sz w:val="21"/>
                <w:szCs w:val="21"/>
              </w:rPr>
              <w:br w:type="textWrapping"/>
            </w:r>
            <w:r>
              <w:rPr>
                <w:rFonts w:cs="Times New Roman"/>
                <w:b/>
                <w:bCs/>
                <w:sz w:val="21"/>
                <w:szCs w:val="21"/>
              </w:rPr>
              <w:t>（km</w:t>
            </w:r>
            <w:r>
              <w:rPr>
                <w:rFonts w:cs="Times New Roman"/>
                <w:b/>
                <w:bCs/>
                <w:sz w:val="21"/>
                <w:szCs w:val="21"/>
                <w:vertAlign w:val="superscript"/>
              </w:rPr>
              <w:t>2</w:t>
            </w:r>
            <w:r>
              <w:rPr>
                <w:rFonts w:cs="Times New Roman"/>
                <w:b/>
                <w:bCs/>
                <w:sz w:val="21"/>
                <w:szCs w:val="21"/>
              </w:rPr>
              <w:t>）</w:t>
            </w:r>
          </w:p>
        </w:tc>
      </w:tr>
      <w:tr w14:paraId="1B5C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0D7B304">
            <w:pPr>
              <w:spacing w:line="240" w:lineRule="auto"/>
              <w:ind w:firstLine="0" w:firstLineChars="0"/>
              <w:jc w:val="center"/>
              <w:rPr>
                <w:rFonts w:cs="Times New Roman"/>
                <w:sz w:val="21"/>
                <w:szCs w:val="21"/>
              </w:rPr>
            </w:pPr>
            <w:r>
              <w:rPr>
                <w:rFonts w:cs="Times New Roman"/>
                <w:sz w:val="21"/>
                <w:szCs w:val="20"/>
                <w:lang w:bidi="ar"/>
              </w:rPr>
              <w:t>JZQ001</w:t>
            </w:r>
          </w:p>
        </w:tc>
        <w:tc>
          <w:tcPr>
            <w:tcW w:w="1686" w:type="dxa"/>
            <w:shd w:val="clear" w:color="auto" w:fill="auto"/>
            <w:noWrap/>
            <w:vAlign w:val="center"/>
          </w:tcPr>
          <w:p w14:paraId="5DFB5E1E">
            <w:pPr>
              <w:spacing w:line="240" w:lineRule="auto"/>
              <w:ind w:firstLine="0" w:firstLineChars="0"/>
              <w:jc w:val="center"/>
              <w:rPr>
                <w:rFonts w:cs="Times New Roman"/>
                <w:sz w:val="21"/>
                <w:szCs w:val="21"/>
              </w:rPr>
            </w:pPr>
            <w:r>
              <w:rPr>
                <w:rFonts w:cs="Times New Roman"/>
                <w:sz w:val="21"/>
                <w:szCs w:val="20"/>
                <w:lang w:bidi="ar"/>
              </w:rPr>
              <w:t>石竹街道区域</w:t>
            </w:r>
          </w:p>
        </w:tc>
        <w:tc>
          <w:tcPr>
            <w:tcW w:w="9747" w:type="dxa"/>
            <w:shd w:val="clear" w:color="auto" w:fill="auto"/>
            <w:noWrap/>
            <w:vAlign w:val="center"/>
          </w:tcPr>
          <w:p w14:paraId="0F56918C">
            <w:pPr>
              <w:spacing w:line="240" w:lineRule="auto"/>
              <w:ind w:firstLine="0" w:firstLineChars="0"/>
              <w:rPr>
                <w:rFonts w:cs="Times New Roman"/>
                <w:sz w:val="21"/>
                <w:szCs w:val="21"/>
              </w:rPr>
            </w:pPr>
            <w:r>
              <w:rPr>
                <w:rFonts w:cs="Times New Roman"/>
                <w:sz w:val="21"/>
                <w:szCs w:val="20"/>
                <w:lang w:bidi="ar"/>
              </w:rPr>
              <w:t>G104国道→清昌大道→福政路（不含茂华青云颂）→华榕世纪城北侧边界→星汇龙城一期北侧边界→福耀集团南区东侧、南侧边界→善福街→福耀集团工业村一区北侧边界</w:t>
            </w:r>
          </w:p>
        </w:tc>
        <w:tc>
          <w:tcPr>
            <w:tcW w:w="1558" w:type="dxa"/>
            <w:shd w:val="clear" w:color="auto" w:fill="auto"/>
            <w:noWrap/>
            <w:vAlign w:val="center"/>
          </w:tcPr>
          <w:p w14:paraId="071A69E0">
            <w:pPr>
              <w:spacing w:line="240" w:lineRule="auto"/>
              <w:ind w:firstLine="0" w:firstLineChars="0"/>
              <w:jc w:val="center"/>
              <w:rPr>
                <w:rFonts w:cs="Times New Roman"/>
                <w:sz w:val="21"/>
                <w:szCs w:val="21"/>
              </w:rPr>
            </w:pPr>
            <w:r>
              <w:rPr>
                <w:rFonts w:cs="Times New Roman"/>
                <w:sz w:val="21"/>
                <w:szCs w:val="20"/>
                <w:lang w:bidi="ar"/>
              </w:rPr>
              <w:t>0.95</w:t>
            </w:r>
          </w:p>
        </w:tc>
      </w:tr>
      <w:tr w14:paraId="0903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437B0030">
            <w:pPr>
              <w:spacing w:line="240" w:lineRule="auto"/>
              <w:ind w:firstLine="0" w:firstLineChars="0"/>
              <w:jc w:val="center"/>
              <w:rPr>
                <w:rFonts w:cs="Times New Roman"/>
                <w:sz w:val="21"/>
                <w:szCs w:val="21"/>
              </w:rPr>
            </w:pPr>
            <w:r>
              <w:rPr>
                <w:rFonts w:cs="Times New Roman"/>
                <w:sz w:val="21"/>
                <w:szCs w:val="20"/>
                <w:lang w:bidi="ar"/>
              </w:rPr>
              <w:t>JZQ002</w:t>
            </w:r>
          </w:p>
        </w:tc>
        <w:tc>
          <w:tcPr>
            <w:tcW w:w="1686" w:type="dxa"/>
            <w:shd w:val="clear" w:color="auto" w:fill="auto"/>
            <w:noWrap/>
            <w:vAlign w:val="center"/>
          </w:tcPr>
          <w:p w14:paraId="60C2FB9D">
            <w:pPr>
              <w:spacing w:line="240" w:lineRule="auto"/>
              <w:ind w:firstLine="0" w:firstLineChars="0"/>
              <w:jc w:val="center"/>
              <w:rPr>
                <w:rFonts w:cs="Times New Roman"/>
                <w:sz w:val="21"/>
                <w:szCs w:val="21"/>
              </w:rPr>
            </w:pPr>
            <w:r>
              <w:rPr>
                <w:rFonts w:cs="Times New Roman"/>
                <w:sz w:val="21"/>
                <w:szCs w:val="20"/>
                <w:lang w:bidi="ar"/>
              </w:rPr>
              <w:t>宏路中学区域</w:t>
            </w:r>
          </w:p>
        </w:tc>
        <w:tc>
          <w:tcPr>
            <w:tcW w:w="9747" w:type="dxa"/>
            <w:shd w:val="clear" w:color="auto" w:fill="auto"/>
            <w:noWrap/>
            <w:vAlign w:val="center"/>
          </w:tcPr>
          <w:p w14:paraId="333BAF7F">
            <w:pPr>
              <w:spacing w:line="240" w:lineRule="auto"/>
              <w:ind w:firstLine="0" w:firstLineChars="0"/>
              <w:rPr>
                <w:rFonts w:cs="Times New Roman"/>
                <w:sz w:val="21"/>
                <w:szCs w:val="21"/>
              </w:rPr>
            </w:pPr>
            <w:r>
              <w:rPr>
                <w:rFonts w:cs="Times New Roman"/>
                <w:sz w:val="21"/>
                <w:szCs w:val="20"/>
                <w:lang w:bidi="ar"/>
              </w:rPr>
              <w:t>宏路中学西侧、南侧边界→清昌大道→福融路→冠捷河西公寓边界→飞龙国际北侧边界→金辉华府一期东北侧边界→清宏路→福玉路→宏路中学北侧边界</w:t>
            </w:r>
          </w:p>
        </w:tc>
        <w:tc>
          <w:tcPr>
            <w:tcW w:w="1558" w:type="dxa"/>
            <w:shd w:val="clear" w:color="auto" w:fill="auto"/>
            <w:noWrap/>
            <w:vAlign w:val="center"/>
          </w:tcPr>
          <w:p w14:paraId="13C85F79">
            <w:pPr>
              <w:spacing w:line="240" w:lineRule="auto"/>
              <w:ind w:firstLine="0" w:firstLineChars="0"/>
              <w:jc w:val="center"/>
              <w:rPr>
                <w:rFonts w:cs="Times New Roman"/>
                <w:sz w:val="21"/>
                <w:szCs w:val="21"/>
              </w:rPr>
            </w:pPr>
            <w:r>
              <w:rPr>
                <w:rFonts w:cs="Times New Roman"/>
                <w:sz w:val="21"/>
                <w:szCs w:val="20"/>
                <w:lang w:bidi="ar"/>
              </w:rPr>
              <w:t>0.30</w:t>
            </w:r>
          </w:p>
        </w:tc>
      </w:tr>
      <w:tr w14:paraId="7B10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642A408A">
            <w:pPr>
              <w:spacing w:line="240" w:lineRule="auto"/>
              <w:ind w:firstLine="0" w:firstLineChars="0"/>
              <w:jc w:val="center"/>
              <w:rPr>
                <w:rFonts w:cs="Times New Roman"/>
                <w:sz w:val="21"/>
                <w:szCs w:val="21"/>
              </w:rPr>
            </w:pPr>
            <w:r>
              <w:rPr>
                <w:rFonts w:cs="Times New Roman"/>
                <w:sz w:val="21"/>
                <w:szCs w:val="20"/>
                <w:lang w:bidi="ar"/>
              </w:rPr>
              <w:t>JZQ003</w:t>
            </w:r>
          </w:p>
        </w:tc>
        <w:tc>
          <w:tcPr>
            <w:tcW w:w="1686" w:type="dxa"/>
            <w:shd w:val="clear" w:color="auto" w:fill="auto"/>
            <w:noWrap/>
            <w:vAlign w:val="center"/>
          </w:tcPr>
          <w:p w14:paraId="43FAEA4A">
            <w:pPr>
              <w:spacing w:line="240" w:lineRule="auto"/>
              <w:ind w:firstLine="0" w:firstLineChars="0"/>
              <w:jc w:val="center"/>
              <w:rPr>
                <w:rFonts w:cs="Times New Roman"/>
                <w:sz w:val="21"/>
                <w:szCs w:val="21"/>
              </w:rPr>
            </w:pPr>
            <w:r>
              <w:rPr>
                <w:rFonts w:cs="Times New Roman"/>
                <w:sz w:val="21"/>
                <w:szCs w:val="20"/>
                <w:lang w:bidi="ar"/>
              </w:rPr>
              <w:t>市委党校区域</w:t>
            </w:r>
          </w:p>
        </w:tc>
        <w:tc>
          <w:tcPr>
            <w:tcW w:w="9747" w:type="dxa"/>
            <w:shd w:val="clear" w:color="auto" w:fill="auto"/>
            <w:noWrap/>
            <w:vAlign w:val="center"/>
          </w:tcPr>
          <w:p w14:paraId="0BFAF1E7">
            <w:pPr>
              <w:spacing w:line="240" w:lineRule="auto"/>
              <w:ind w:firstLine="0" w:firstLineChars="0"/>
              <w:rPr>
                <w:rFonts w:cs="Times New Roman"/>
                <w:sz w:val="21"/>
                <w:szCs w:val="21"/>
              </w:rPr>
            </w:pPr>
            <w:r>
              <w:rPr>
                <w:rFonts w:cs="Times New Roman"/>
                <w:sz w:val="21"/>
                <w:szCs w:val="20"/>
                <w:lang w:bidi="ar"/>
              </w:rPr>
              <w:t>国资小镇西南侧边界→纬二路→福百路→创业大道</w:t>
            </w:r>
          </w:p>
        </w:tc>
        <w:tc>
          <w:tcPr>
            <w:tcW w:w="1558" w:type="dxa"/>
            <w:shd w:val="clear" w:color="auto" w:fill="auto"/>
            <w:noWrap/>
            <w:vAlign w:val="center"/>
          </w:tcPr>
          <w:p w14:paraId="351ED64D">
            <w:pPr>
              <w:spacing w:line="240" w:lineRule="auto"/>
              <w:ind w:firstLine="0" w:firstLineChars="0"/>
              <w:jc w:val="center"/>
              <w:rPr>
                <w:rFonts w:cs="Times New Roman"/>
                <w:sz w:val="21"/>
                <w:szCs w:val="21"/>
              </w:rPr>
            </w:pPr>
            <w:r>
              <w:rPr>
                <w:rFonts w:cs="Times New Roman"/>
                <w:sz w:val="21"/>
                <w:szCs w:val="20"/>
                <w:lang w:bidi="ar"/>
              </w:rPr>
              <w:t>0.41</w:t>
            </w:r>
          </w:p>
        </w:tc>
      </w:tr>
      <w:tr w14:paraId="0D8D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5E80EFC">
            <w:pPr>
              <w:spacing w:line="240" w:lineRule="auto"/>
              <w:ind w:firstLine="0" w:firstLineChars="0"/>
              <w:jc w:val="center"/>
              <w:rPr>
                <w:rFonts w:cs="Times New Roman"/>
                <w:sz w:val="21"/>
                <w:szCs w:val="21"/>
              </w:rPr>
            </w:pPr>
            <w:r>
              <w:rPr>
                <w:rFonts w:cs="Times New Roman"/>
                <w:sz w:val="21"/>
                <w:szCs w:val="20"/>
                <w:lang w:bidi="ar"/>
              </w:rPr>
              <w:t>JZQ004</w:t>
            </w:r>
          </w:p>
        </w:tc>
        <w:tc>
          <w:tcPr>
            <w:tcW w:w="1686" w:type="dxa"/>
            <w:shd w:val="clear" w:color="auto" w:fill="auto"/>
            <w:noWrap/>
            <w:vAlign w:val="center"/>
          </w:tcPr>
          <w:p w14:paraId="2293A5C0">
            <w:pPr>
              <w:spacing w:line="240" w:lineRule="auto"/>
              <w:ind w:firstLine="0" w:firstLineChars="0"/>
              <w:jc w:val="center"/>
              <w:rPr>
                <w:rFonts w:cs="Times New Roman"/>
                <w:sz w:val="21"/>
                <w:szCs w:val="21"/>
              </w:rPr>
            </w:pPr>
            <w:r>
              <w:rPr>
                <w:rFonts w:cs="Times New Roman"/>
                <w:sz w:val="21"/>
                <w:szCs w:val="20"/>
                <w:lang w:bidi="ar"/>
              </w:rPr>
              <w:t>北前亭区域</w:t>
            </w:r>
          </w:p>
        </w:tc>
        <w:tc>
          <w:tcPr>
            <w:tcW w:w="9747" w:type="dxa"/>
            <w:shd w:val="clear" w:color="auto" w:fill="auto"/>
            <w:noWrap/>
            <w:vAlign w:val="center"/>
          </w:tcPr>
          <w:p w14:paraId="154A862D">
            <w:pPr>
              <w:spacing w:line="240" w:lineRule="auto"/>
              <w:ind w:firstLine="0" w:firstLineChars="0"/>
              <w:rPr>
                <w:rFonts w:cs="Times New Roman"/>
                <w:sz w:val="21"/>
                <w:szCs w:val="21"/>
              </w:rPr>
            </w:pPr>
            <w:r>
              <w:rPr>
                <w:rFonts w:cs="Times New Roman"/>
                <w:sz w:val="21"/>
                <w:szCs w:val="20"/>
                <w:lang w:bidi="ar"/>
              </w:rPr>
              <w:t>和光尘樾西侧边界→中央铭著西侧边界→清展街→蓝天花园西侧边界→冠捷电子前亭宿舍西侧边界→清宏路→福人路→清荣大道</w:t>
            </w:r>
          </w:p>
        </w:tc>
        <w:tc>
          <w:tcPr>
            <w:tcW w:w="1558" w:type="dxa"/>
            <w:shd w:val="clear" w:color="auto" w:fill="auto"/>
            <w:noWrap/>
            <w:vAlign w:val="center"/>
          </w:tcPr>
          <w:p w14:paraId="670A3480">
            <w:pPr>
              <w:spacing w:line="240" w:lineRule="auto"/>
              <w:ind w:firstLine="0" w:firstLineChars="0"/>
              <w:jc w:val="center"/>
              <w:rPr>
                <w:rFonts w:cs="Times New Roman"/>
                <w:sz w:val="21"/>
                <w:szCs w:val="21"/>
              </w:rPr>
            </w:pPr>
            <w:r>
              <w:rPr>
                <w:rFonts w:cs="Times New Roman"/>
                <w:sz w:val="21"/>
                <w:szCs w:val="20"/>
                <w:lang w:bidi="ar"/>
              </w:rPr>
              <w:t>0.38</w:t>
            </w:r>
          </w:p>
        </w:tc>
      </w:tr>
      <w:tr w14:paraId="54AC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779D7A5D">
            <w:pPr>
              <w:spacing w:line="240" w:lineRule="auto"/>
              <w:ind w:firstLine="0" w:firstLineChars="0"/>
              <w:jc w:val="center"/>
              <w:rPr>
                <w:rFonts w:cs="Times New Roman"/>
                <w:sz w:val="21"/>
                <w:szCs w:val="21"/>
              </w:rPr>
            </w:pPr>
            <w:r>
              <w:rPr>
                <w:rFonts w:cs="Times New Roman"/>
                <w:sz w:val="21"/>
                <w:szCs w:val="20"/>
                <w:lang w:bidi="ar"/>
              </w:rPr>
              <w:t>JZQ005</w:t>
            </w:r>
          </w:p>
        </w:tc>
        <w:tc>
          <w:tcPr>
            <w:tcW w:w="1686" w:type="dxa"/>
            <w:shd w:val="clear" w:color="auto" w:fill="auto"/>
            <w:noWrap/>
            <w:vAlign w:val="center"/>
          </w:tcPr>
          <w:p w14:paraId="6F6C2AAF">
            <w:pPr>
              <w:spacing w:line="240" w:lineRule="auto"/>
              <w:ind w:firstLine="0" w:firstLineChars="0"/>
              <w:jc w:val="center"/>
              <w:rPr>
                <w:rFonts w:cs="Times New Roman"/>
                <w:sz w:val="21"/>
                <w:szCs w:val="21"/>
              </w:rPr>
            </w:pPr>
            <w:r>
              <w:rPr>
                <w:rFonts w:cs="Times New Roman"/>
                <w:sz w:val="21"/>
                <w:szCs w:val="20"/>
                <w:lang w:bidi="ar"/>
              </w:rPr>
              <w:t>融侨观邸区域</w:t>
            </w:r>
          </w:p>
        </w:tc>
        <w:tc>
          <w:tcPr>
            <w:tcW w:w="9747" w:type="dxa"/>
            <w:shd w:val="clear" w:color="auto" w:fill="auto"/>
            <w:noWrap/>
            <w:vAlign w:val="center"/>
          </w:tcPr>
          <w:p w14:paraId="23AE60CE">
            <w:pPr>
              <w:spacing w:line="240" w:lineRule="auto"/>
              <w:ind w:firstLine="0" w:firstLineChars="0"/>
              <w:rPr>
                <w:rFonts w:cs="Times New Roman"/>
                <w:sz w:val="21"/>
                <w:szCs w:val="21"/>
              </w:rPr>
            </w:pPr>
            <w:r>
              <w:rPr>
                <w:rFonts w:cs="Times New Roman"/>
                <w:sz w:val="21"/>
                <w:szCs w:val="20"/>
                <w:lang w:bidi="ar"/>
              </w:rPr>
              <w:t>融侨观邸西侧边界→清昌大道（不含喜来登酒店）→福人路→金辉城市广场北侧边界→北前亭路→融侨观邸北侧边界</w:t>
            </w:r>
          </w:p>
        </w:tc>
        <w:tc>
          <w:tcPr>
            <w:tcW w:w="1558" w:type="dxa"/>
            <w:shd w:val="clear" w:color="auto" w:fill="auto"/>
            <w:noWrap/>
            <w:vAlign w:val="center"/>
          </w:tcPr>
          <w:p w14:paraId="73C48198">
            <w:pPr>
              <w:spacing w:line="240" w:lineRule="auto"/>
              <w:ind w:firstLine="0" w:firstLineChars="0"/>
              <w:jc w:val="center"/>
              <w:rPr>
                <w:rFonts w:cs="Times New Roman"/>
                <w:sz w:val="21"/>
                <w:szCs w:val="21"/>
              </w:rPr>
            </w:pPr>
            <w:r>
              <w:rPr>
                <w:rFonts w:cs="Times New Roman"/>
                <w:sz w:val="21"/>
                <w:szCs w:val="20"/>
                <w:lang w:bidi="ar"/>
              </w:rPr>
              <w:t>0.17</w:t>
            </w:r>
          </w:p>
        </w:tc>
      </w:tr>
      <w:tr w14:paraId="38CA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7D43BF87">
            <w:pPr>
              <w:spacing w:line="240" w:lineRule="auto"/>
              <w:ind w:firstLine="0" w:firstLineChars="0"/>
              <w:jc w:val="center"/>
              <w:rPr>
                <w:rFonts w:cs="Times New Roman"/>
                <w:sz w:val="21"/>
                <w:szCs w:val="21"/>
              </w:rPr>
            </w:pPr>
            <w:r>
              <w:rPr>
                <w:rFonts w:cs="Times New Roman"/>
                <w:sz w:val="21"/>
                <w:szCs w:val="20"/>
                <w:lang w:bidi="ar"/>
              </w:rPr>
              <w:t>JZQ006</w:t>
            </w:r>
          </w:p>
        </w:tc>
        <w:tc>
          <w:tcPr>
            <w:tcW w:w="1686" w:type="dxa"/>
            <w:shd w:val="clear" w:color="auto" w:fill="auto"/>
            <w:noWrap/>
            <w:vAlign w:val="center"/>
          </w:tcPr>
          <w:p w14:paraId="2B17A045">
            <w:pPr>
              <w:spacing w:line="240" w:lineRule="auto"/>
              <w:ind w:firstLine="0" w:firstLineChars="0"/>
              <w:jc w:val="center"/>
              <w:rPr>
                <w:rFonts w:cs="Times New Roman"/>
                <w:sz w:val="21"/>
                <w:szCs w:val="21"/>
              </w:rPr>
            </w:pPr>
            <w:r>
              <w:rPr>
                <w:rFonts w:cs="Times New Roman"/>
                <w:sz w:val="21"/>
                <w:szCs w:val="20"/>
                <w:lang w:bidi="ar"/>
              </w:rPr>
              <w:t>市医院区域</w:t>
            </w:r>
          </w:p>
        </w:tc>
        <w:tc>
          <w:tcPr>
            <w:tcW w:w="9747" w:type="dxa"/>
            <w:shd w:val="clear" w:color="auto" w:fill="auto"/>
            <w:noWrap/>
            <w:vAlign w:val="center"/>
          </w:tcPr>
          <w:p w14:paraId="446C4537">
            <w:pPr>
              <w:spacing w:line="240" w:lineRule="auto"/>
              <w:ind w:firstLine="0" w:firstLineChars="0"/>
              <w:rPr>
                <w:rFonts w:cs="Times New Roman"/>
                <w:sz w:val="21"/>
                <w:szCs w:val="21"/>
              </w:rPr>
            </w:pPr>
            <w:r>
              <w:rPr>
                <w:rFonts w:cs="Times New Roman"/>
                <w:sz w:val="21"/>
                <w:szCs w:val="20"/>
                <w:lang w:bidi="ar"/>
              </w:rPr>
              <w:t>福人路→清泰街→康达路→统仁医院南侧边界→统仁医院东北侧边界→永福路</w:t>
            </w:r>
          </w:p>
        </w:tc>
        <w:tc>
          <w:tcPr>
            <w:tcW w:w="1558" w:type="dxa"/>
            <w:shd w:val="clear" w:color="auto" w:fill="auto"/>
            <w:noWrap/>
            <w:vAlign w:val="center"/>
          </w:tcPr>
          <w:p w14:paraId="08A83A22">
            <w:pPr>
              <w:spacing w:line="240" w:lineRule="auto"/>
              <w:ind w:firstLine="0" w:firstLineChars="0"/>
              <w:jc w:val="center"/>
              <w:rPr>
                <w:rFonts w:cs="Times New Roman"/>
                <w:sz w:val="21"/>
                <w:szCs w:val="21"/>
              </w:rPr>
            </w:pPr>
            <w:r>
              <w:rPr>
                <w:rFonts w:cs="Times New Roman"/>
                <w:sz w:val="21"/>
                <w:szCs w:val="20"/>
                <w:lang w:bidi="ar"/>
              </w:rPr>
              <w:t>0.20</w:t>
            </w:r>
          </w:p>
        </w:tc>
      </w:tr>
      <w:tr w14:paraId="423D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58373080">
            <w:pPr>
              <w:spacing w:line="240" w:lineRule="auto"/>
              <w:ind w:firstLine="0" w:firstLineChars="0"/>
              <w:jc w:val="center"/>
              <w:rPr>
                <w:rFonts w:cs="Times New Roman"/>
                <w:sz w:val="21"/>
                <w:szCs w:val="21"/>
              </w:rPr>
            </w:pPr>
            <w:r>
              <w:rPr>
                <w:rFonts w:cs="Times New Roman"/>
                <w:sz w:val="21"/>
                <w:szCs w:val="20"/>
                <w:lang w:bidi="ar"/>
              </w:rPr>
              <w:t>JZQ007</w:t>
            </w:r>
          </w:p>
        </w:tc>
        <w:tc>
          <w:tcPr>
            <w:tcW w:w="1686" w:type="dxa"/>
            <w:shd w:val="clear" w:color="auto" w:fill="auto"/>
            <w:noWrap/>
            <w:vAlign w:val="center"/>
          </w:tcPr>
          <w:p w14:paraId="584C768A">
            <w:pPr>
              <w:spacing w:line="240" w:lineRule="auto"/>
              <w:ind w:firstLine="0" w:firstLineChars="0"/>
              <w:jc w:val="center"/>
              <w:rPr>
                <w:rFonts w:cs="Times New Roman"/>
                <w:sz w:val="21"/>
                <w:szCs w:val="21"/>
              </w:rPr>
            </w:pPr>
            <w:r>
              <w:rPr>
                <w:rFonts w:cs="Times New Roman"/>
                <w:sz w:val="21"/>
                <w:szCs w:val="20"/>
                <w:lang w:bidi="ar"/>
              </w:rPr>
              <w:t>三华职业学校区域</w:t>
            </w:r>
          </w:p>
        </w:tc>
        <w:tc>
          <w:tcPr>
            <w:tcW w:w="9747" w:type="dxa"/>
            <w:shd w:val="clear" w:color="auto" w:fill="auto"/>
            <w:noWrap/>
            <w:vAlign w:val="center"/>
          </w:tcPr>
          <w:p w14:paraId="086C7663">
            <w:pPr>
              <w:spacing w:line="240" w:lineRule="auto"/>
              <w:ind w:firstLine="0" w:firstLineChars="0"/>
              <w:rPr>
                <w:rFonts w:cs="Times New Roman"/>
                <w:sz w:val="21"/>
                <w:szCs w:val="21"/>
              </w:rPr>
            </w:pPr>
            <w:r>
              <w:rPr>
                <w:rFonts w:cs="Times New Roman"/>
                <w:sz w:val="21"/>
                <w:szCs w:val="20"/>
                <w:lang w:bidi="ar"/>
              </w:rPr>
              <w:t>福人路→清昌大道（不含万达广场）→福和路→清展街</w:t>
            </w:r>
          </w:p>
        </w:tc>
        <w:tc>
          <w:tcPr>
            <w:tcW w:w="1558" w:type="dxa"/>
            <w:shd w:val="clear" w:color="auto" w:fill="auto"/>
            <w:noWrap/>
            <w:vAlign w:val="center"/>
          </w:tcPr>
          <w:p w14:paraId="440656CE">
            <w:pPr>
              <w:spacing w:line="240" w:lineRule="auto"/>
              <w:ind w:firstLine="0" w:firstLineChars="0"/>
              <w:jc w:val="center"/>
              <w:rPr>
                <w:rFonts w:cs="Times New Roman"/>
                <w:sz w:val="21"/>
                <w:szCs w:val="21"/>
              </w:rPr>
            </w:pPr>
            <w:r>
              <w:rPr>
                <w:rFonts w:cs="Times New Roman"/>
                <w:sz w:val="21"/>
                <w:szCs w:val="20"/>
                <w:lang w:bidi="ar"/>
              </w:rPr>
              <w:t>0.57</w:t>
            </w:r>
          </w:p>
        </w:tc>
      </w:tr>
      <w:tr w14:paraId="1235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A795DDF">
            <w:pPr>
              <w:spacing w:line="240" w:lineRule="auto"/>
              <w:ind w:firstLine="0" w:firstLineChars="0"/>
              <w:jc w:val="center"/>
              <w:rPr>
                <w:rFonts w:cs="Times New Roman"/>
                <w:sz w:val="21"/>
                <w:szCs w:val="21"/>
              </w:rPr>
            </w:pPr>
            <w:r>
              <w:rPr>
                <w:rFonts w:cs="Times New Roman"/>
                <w:sz w:val="21"/>
                <w:szCs w:val="20"/>
                <w:lang w:bidi="ar"/>
              </w:rPr>
              <w:t>JZQ008</w:t>
            </w:r>
          </w:p>
        </w:tc>
        <w:tc>
          <w:tcPr>
            <w:tcW w:w="1686" w:type="dxa"/>
            <w:shd w:val="clear" w:color="auto" w:fill="auto"/>
            <w:noWrap/>
            <w:vAlign w:val="center"/>
          </w:tcPr>
          <w:p w14:paraId="5D12FBCB">
            <w:pPr>
              <w:spacing w:line="240" w:lineRule="auto"/>
              <w:ind w:firstLine="0" w:firstLineChars="0"/>
              <w:jc w:val="center"/>
              <w:rPr>
                <w:rFonts w:cs="Times New Roman"/>
                <w:sz w:val="21"/>
                <w:szCs w:val="21"/>
              </w:rPr>
            </w:pPr>
            <w:r>
              <w:rPr>
                <w:rFonts w:cs="Times New Roman"/>
                <w:sz w:val="21"/>
                <w:szCs w:val="20"/>
                <w:lang w:bidi="ar"/>
              </w:rPr>
              <w:t>融侨城区域</w:t>
            </w:r>
          </w:p>
        </w:tc>
        <w:tc>
          <w:tcPr>
            <w:tcW w:w="9747" w:type="dxa"/>
            <w:shd w:val="clear" w:color="auto" w:fill="auto"/>
            <w:noWrap/>
            <w:vAlign w:val="center"/>
          </w:tcPr>
          <w:p w14:paraId="3C527509">
            <w:pPr>
              <w:spacing w:line="240" w:lineRule="auto"/>
              <w:ind w:firstLine="0" w:firstLineChars="0"/>
              <w:rPr>
                <w:rFonts w:cs="Times New Roman"/>
                <w:sz w:val="21"/>
                <w:szCs w:val="21"/>
              </w:rPr>
            </w:pPr>
            <w:r>
              <w:rPr>
                <w:rFonts w:cs="Times New Roman"/>
                <w:sz w:val="21"/>
                <w:szCs w:val="20"/>
                <w:lang w:bidi="ar"/>
              </w:rPr>
              <w:t>福人路→清盛大道→福和路→清昌大道</w:t>
            </w:r>
          </w:p>
        </w:tc>
        <w:tc>
          <w:tcPr>
            <w:tcW w:w="1558" w:type="dxa"/>
            <w:shd w:val="clear" w:color="auto" w:fill="auto"/>
            <w:noWrap/>
            <w:vAlign w:val="center"/>
          </w:tcPr>
          <w:p w14:paraId="4260AF63">
            <w:pPr>
              <w:spacing w:line="240" w:lineRule="auto"/>
              <w:ind w:firstLine="0" w:firstLineChars="0"/>
              <w:jc w:val="center"/>
              <w:rPr>
                <w:rFonts w:cs="Times New Roman"/>
                <w:sz w:val="21"/>
                <w:szCs w:val="21"/>
              </w:rPr>
            </w:pPr>
            <w:r>
              <w:rPr>
                <w:rFonts w:cs="Times New Roman"/>
                <w:sz w:val="21"/>
                <w:szCs w:val="20"/>
                <w:lang w:bidi="ar"/>
              </w:rPr>
              <w:t>0.41</w:t>
            </w:r>
          </w:p>
        </w:tc>
      </w:tr>
      <w:tr w14:paraId="520C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224A93C0">
            <w:pPr>
              <w:spacing w:line="240" w:lineRule="auto"/>
              <w:ind w:firstLine="0" w:firstLineChars="0"/>
              <w:jc w:val="center"/>
              <w:rPr>
                <w:rFonts w:cs="Times New Roman"/>
                <w:sz w:val="21"/>
                <w:szCs w:val="21"/>
              </w:rPr>
            </w:pPr>
            <w:r>
              <w:rPr>
                <w:rFonts w:cs="Times New Roman"/>
                <w:sz w:val="21"/>
                <w:szCs w:val="20"/>
                <w:lang w:bidi="ar"/>
              </w:rPr>
              <w:t>JZQ009</w:t>
            </w:r>
          </w:p>
        </w:tc>
        <w:tc>
          <w:tcPr>
            <w:tcW w:w="1686" w:type="dxa"/>
            <w:shd w:val="clear" w:color="auto" w:fill="auto"/>
            <w:noWrap/>
            <w:vAlign w:val="center"/>
          </w:tcPr>
          <w:p w14:paraId="2212E360">
            <w:pPr>
              <w:spacing w:line="240" w:lineRule="auto"/>
              <w:ind w:firstLine="0" w:firstLineChars="0"/>
              <w:jc w:val="center"/>
              <w:rPr>
                <w:rFonts w:cs="Times New Roman"/>
                <w:sz w:val="21"/>
                <w:szCs w:val="21"/>
              </w:rPr>
            </w:pPr>
            <w:r>
              <w:rPr>
                <w:rFonts w:cs="Times New Roman"/>
                <w:sz w:val="21"/>
                <w:szCs w:val="20"/>
                <w:lang w:bidi="ar"/>
              </w:rPr>
              <w:t>侨乡博物馆区域</w:t>
            </w:r>
          </w:p>
        </w:tc>
        <w:tc>
          <w:tcPr>
            <w:tcW w:w="9747" w:type="dxa"/>
            <w:shd w:val="clear" w:color="auto" w:fill="auto"/>
            <w:noWrap/>
            <w:vAlign w:val="center"/>
          </w:tcPr>
          <w:p w14:paraId="49A99D4F">
            <w:pPr>
              <w:spacing w:line="240" w:lineRule="auto"/>
              <w:ind w:firstLine="0" w:firstLineChars="0"/>
              <w:rPr>
                <w:rFonts w:cs="Times New Roman"/>
                <w:sz w:val="21"/>
                <w:szCs w:val="21"/>
              </w:rPr>
            </w:pPr>
            <w:r>
              <w:rPr>
                <w:rFonts w:cs="Times New Roman"/>
                <w:sz w:val="21"/>
                <w:szCs w:val="20"/>
                <w:lang w:bidi="ar"/>
              </w:rPr>
              <w:t>福和路（不含福和万达广场）→清涛街→福百路→清荣大道</w:t>
            </w:r>
          </w:p>
        </w:tc>
        <w:tc>
          <w:tcPr>
            <w:tcW w:w="1558" w:type="dxa"/>
            <w:shd w:val="clear" w:color="auto" w:fill="auto"/>
            <w:noWrap/>
            <w:vAlign w:val="center"/>
          </w:tcPr>
          <w:p w14:paraId="0B04CBD3">
            <w:pPr>
              <w:spacing w:line="240" w:lineRule="auto"/>
              <w:ind w:firstLine="0" w:firstLineChars="0"/>
              <w:jc w:val="center"/>
              <w:rPr>
                <w:rFonts w:cs="Times New Roman"/>
                <w:sz w:val="21"/>
                <w:szCs w:val="21"/>
              </w:rPr>
            </w:pPr>
            <w:r>
              <w:rPr>
                <w:rFonts w:cs="Times New Roman"/>
                <w:sz w:val="21"/>
                <w:szCs w:val="20"/>
                <w:lang w:bidi="ar"/>
              </w:rPr>
              <w:t>0.35</w:t>
            </w:r>
          </w:p>
        </w:tc>
      </w:tr>
      <w:tr w14:paraId="4282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498098C">
            <w:pPr>
              <w:spacing w:line="240" w:lineRule="auto"/>
              <w:ind w:firstLine="0" w:firstLineChars="0"/>
              <w:jc w:val="center"/>
              <w:rPr>
                <w:rFonts w:cs="Times New Roman"/>
                <w:sz w:val="21"/>
                <w:szCs w:val="21"/>
              </w:rPr>
            </w:pPr>
            <w:r>
              <w:rPr>
                <w:rFonts w:cs="Times New Roman"/>
                <w:sz w:val="21"/>
                <w:szCs w:val="20"/>
                <w:lang w:bidi="ar"/>
              </w:rPr>
              <w:t>JZQ010</w:t>
            </w:r>
          </w:p>
        </w:tc>
        <w:tc>
          <w:tcPr>
            <w:tcW w:w="1686" w:type="dxa"/>
            <w:shd w:val="clear" w:color="auto" w:fill="auto"/>
            <w:noWrap/>
            <w:vAlign w:val="center"/>
          </w:tcPr>
          <w:p w14:paraId="47B31CC5">
            <w:pPr>
              <w:spacing w:line="240" w:lineRule="auto"/>
              <w:ind w:firstLine="0" w:firstLineChars="0"/>
              <w:jc w:val="center"/>
              <w:rPr>
                <w:rFonts w:cs="Times New Roman"/>
                <w:sz w:val="21"/>
                <w:szCs w:val="21"/>
              </w:rPr>
            </w:pPr>
            <w:r>
              <w:rPr>
                <w:rFonts w:cs="Times New Roman"/>
                <w:sz w:val="21"/>
                <w:szCs w:val="20"/>
                <w:lang w:bidi="ar"/>
              </w:rPr>
              <w:t>富年花园区域</w:t>
            </w:r>
          </w:p>
        </w:tc>
        <w:tc>
          <w:tcPr>
            <w:tcW w:w="9747" w:type="dxa"/>
            <w:shd w:val="clear" w:color="auto" w:fill="auto"/>
            <w:noWrap/>
            <w:vAlign w:val="center"/>
          </w:tcPr>
          <w:p w14:paraId="3D639466">
            <w:pPr>
              <w:spacing w:line="240" w:lineRule="auto"/>
              <w:ind w:firstLine="0" w:firstLineChars="0"/>
              <w:rPr>
                <w:rFonts w:cs="Times New Roman"/>
                <w:sz w:val="21"/>
                <w:szCs w:val="21"/>
              </w:rPr>
            </w:pPr>
            <w:r>
              <w:rPr>
                <w:rFonts w:cs="Times New Roman"/>
                <w:sz w:val="21"/>
                <w:szCs w:val="20"/>
                <w:lang w:bidi="ar"/>
              </w:rPr>
              <w:t>福百路→清荣大道→福业路→惠民花园北侧边界→惠民花园西侧边界→瑶峰公寓西侧边界→永福路</w:t>
            </w:r>
          </w:p>
        </w:tc>
        <w:tc>
          <w:tcPr>
            <w:tcW w:w="1558" w:type="dxa"/>
            <w:shd w:val="clear" w:color="auto" w:fill="auto"/>
            <w:noWrap/>
            <w:vAlign w:val="center"/>
          </w:tcPr>
          <w:p w14:paraId="3040D6EF">
            <w:pPr>
              <w:spacing w:line="240" w:lineRule="auto"/>
              <w:ind w:firstLine="0" w:firstLineChars="0"/>
              <w:jc w:val="center"/>
              <w:rPr>
                <w:rFonts w:cs="Times New Roman"/>
                <w:sz w:val="21"/>
                <w:szCs w:val="21"/>
              </w:rPr>
            </w:pPr>
            <w:r>
              <w:rPr>
                <w:rFonts w:cs="Times New Roman"/>
                <w:sz w:val="21"/>
                <w:szCs w:val="20"/>
                <w:lang w:bidi="ar"/>
              </w:rPr>
              <w:t>0.34</w:t>
            </w:r>
          </w:p>
        </w:tc>
      </w:tr>
      <w:tr w14:paraId="2678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2085CCF7">
            <w:pPr>
              <w:spacing w:line="240" w:lineRule="auto"/>
              <w:ind w:firstLine="0" w:firstLineChars="0"/>
              <w:jc w:val="center"/>
              <w:rPr>
                <w:rFonts w:cs="Times New Roman"/>
                <w:sz w:val="21"/>
                <w:szCs w:val="21"/>
              </w:rPr>
            </w:pPr>
            <w:r>
              <w:rPr>
                <w:rFonts w:cs="Times New Roman"/>
                <w:sz w:val="21"/>
                <w:szCs w:val="20"/>
                <w:lang w:bidi="ar"/>
              </w:rPr>
              <w:t>JZQ011</w:t>
            </w:r>
          </w:p>
        </w:tc>
        <w:tc>
          <w:tcPr>
            <w:tcW w:w="1686" w:type="dxa"/>
            <w:shd w:val="clear" w:color="auto" w:fill="auto"/>
            <w:noWrap/>
            <w:vAlign w:val="center"/>
          </w:tcPr>
          <w:p w14:paraId="4814EAE2">
            <w:pPr>
              <w:spacing w:line="240" w:lineRule="auto"/>
              <w:ind w:firstLine="0" w:firstLineChars="0"/>
              <w:jc w:val="center"/>
              <w:rPr>
                <w:rFonts w:cs="Times New Roman"/>
                <w:sz w:val="21"/>
                <w:szCs w:val="21"/>
              </w:rPr>
            </w:pPr>
            <w:r>
              <w:rPr>
                <w:rFonts w:cs="Times New Roman"/>
                <w:sz w:val="21"/>
                <w:szCs w:val="20"/>
                <w:lang w:bidi="ar"/>
              </w:rPr>
              <w:t>一中新校区区域</w:t>
            </w:r>
          </w:p>
        </w:tc>
        <w:tc>
          <w:tcPr>
            <w:tcW w:w="9747" w:type="dxa"/>
            <w:shd w:val="clear" w:color="auto" w:fill="auto"/>
            <w:noWrap/>
            <w:vAlign w:val="center"/>
          </w:tcPr>
          <w:p w14:paraId="6583C10F">
            <w:pPr>
              <w:spacing w:line="240" w:lineRule="auto"/>
              <w:ind w:firstLine="0" w:firstLineChars="0"/>
              <w:rPr>
                <w:rFonts w:cs="Times New Roman"/>
                <w:sz w:val="21"/>
                <w:szCs w:val="21"/>
              </w:rPr>
            </w:pPr>
            <w:r>
              <w:rPr>
                <w:rFonts w:cs="Times New Roman"/>
                <w:sz w:val="21"/>
                <w:szCs w:val="20"/>
                <w:lang w:bidi="ar"/>
              </w:rPr>
              <w:t>福百路→清昌大道→福业路→清荣大道</w:t>
            </w:r>
          </w:p>
        </w:tc>
        <w:tc>
          <w:tcPr>
            <w:tcW w:w="1558" w:type="dxa"/>
            <w:shd w:val="clear" w:color="auto" w:fill="auto"/>
            <w:noWrap/>
            <w:vAlign w:val="center"/>
          </w:tcPr>
          <w:p w14:paraId="0A9237F1">
            <w:pPr>
              <w:spacing w:line="240" w:lineRule="auto"/>
              <w:ind w:firstLine="0" w:firstLineChars="0"/>
              <w:jc w:val="center"/>
              <w:rPr>
                <w:rFonts w:cs="Times New Roman"/>
                <w:sz w:val="21"/>
                <w:szCs w:val="21"/>
              </w:rPr>
            </w:pPr>
            <w:r>
              <w:rPr>
                <w:rFonts w:cs="Times New Roman"/>
                <w:sz w:val="21"/>
                <w:szCs w:val="20"/>
                <w:lang w:bidi="ar"/>
              </w:rPr>
              <w:t>0.98</w:t>
            </w:r>
          </w:p>
        </w:tc>
      </w:tr>
      <w:tr w14:paraId="43E3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01F8E893">
            <w:pPr>
              <w:spacing w:line="240" w:lineRule="auto"/>
              <w:ind w:firstLine="0" w:firstLineChars="0"/>
              <w:jc w:val="center"/>
              <w:rPr>
                <w:rFonts w:cs="Times New Roman"/>
                <w:sz w:val="21"/>
                <w:szCs w:val="21"/>
              </w:rPr>
            </w:pPr>
            <w:r>
              <w:rPr>
                <w:rFonts w:cs="Times New Roman"/>
                <w:sz w:val="21"/>
                <w:szCs w:val="20"/>
                <w:lang w:bidi="ar"/>
              </w:rPr>
              <w:t>JZQ012</w:t>
            </w:r>
          </w:p>
        </w:tc>
        <w:tc>
          <w:tcPr>
            <w:tcW w:w="1686" w:type="dxa"/>
            <w:shd w:val="clear" w:color="auto" w:fill="auto"/>
            <w:noWrap/>
            <w:vAlign w:val="center"/>
          </w:tcPr>
          <w:p w14:paraId="44FEFF82">
            <w:pPr>
              <w:spacing w:line="240" w:lineRule="auto"/>
              <w:ind w:firstLine="0" w:firstLineChars="0"/>
              <w:jc w:val="center"/>
              <w:rPr>
                <w:rFonts w:cs="Times New Roman"/>
                <w:sz w:val="21"/>
                <w:szCs w:val="21"/>
              </w:rPr>
            </w:pPr>
            <w:r>
              <w:rPr>
                <w:rFonts w:cs="Times New Roman"/>
                <w:sz w:val="21"/>
                <w:szCs w:val="20"/>
                <w:lang w:bidi="ar"/>
              </w:rPr>
              <w:t>滨江小学区域</w:t>
            </w:r>
          </w:p>
        </w:tc>
        <w:tc>
          <w:tcPr>
            <w:tcW w:w="9747" w:type="dxa"/>
            <w:shd w:val="clear" w:color="auto" w:fill="auto"/>
            <w:noWrap/>
            <w:vAlign w:val="center"/>
          </w:tcPr>
          <w:p w14:paraId="059CE93C">
            <w:pPr>
              <w:spacing w:line="240" w:lineRule="auto"/>
              <w:ind w:firstLine="0" w:firstLineChars="0"/>
              <w:rPr>
                <w:rFonts w:cs="Times New Roman"/>
                <w:sz w:val="21"/>
                <w:szCs w:val="21"/>
              </w:rPr>
            </w:pPr>
            <w:r>
              <w:rPr>
                <w:rFonts w:cs="Times New Roman"/>
                <w:sz w:val="21"/>
                <w:szCs w:val="20"/>
                <w:lang w:bidi="ar"/>
              </w:rPr>
              <w:t>永乐路→规划三路→清盛大道→福业路→清昌大道</w:t>
            </w:r>
          </w:p>
        </w:tc>
        <w:tc>
          <w:tcPr>
            <w:tcW w:w="1558" w:type="dxa"/>
            <w:shd w:val="clear" w:color="auto" w:fill="auto"/>
            <w:noWrap/>
            <w:vAlign w:val="center"/>
          </w:tcPr>
          <w:p w14:paraId="6FAC6674">
            <w:pPr>
              <w:spacing w:line="240" w:lineRule="auto"/>
              <w:ind w:firstLine="0" w:firstLineChars="0"/>
              <w:jc w:val="center"/>
              <w:rPr>
                <w:rFonts w:cs="Times New Roman"/>
                <w:sz w:val="21"/>
                <w:szCs w:val="21"/>
              </w:rPr>
            </w:pPr>
            <w:r>
              <w:rPr>
                <w:rFonts w:cs="Times New Roman"/>
                <w:sz w:val="21"/>
                <w:szCs w:val="20"/>
                <w:lang w:bidi="ar"/>
              </w:rPr>
              <w:t>0.29</w:t>
            </w:r>
          </w:p>
        </w:tc>
      </w:tr>
      <w:tr w14:paraId="1AE2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0779505F">
            <w:pPr>
              <w:spacing w:line="240" w:lineRule="auto"/>
              <w:ind w:firstLine="0" w:firstLineChars="0"/>
              <w:jc w:val="center"/>
              <w:rPr>
                <w:rFonts w:cs="Times New Roman"/>
                <w:sz w:val="21"/>
                <w:szCs w:val="21"/>
              </w:rPr>
            </w:pPr>
            <w:r>
              <w:rPr>
                <w:rFonts w:cs="Times New Roman"/>
                <w:sz w:val="21"/>
                <w:szCs w:val="20"/>
                <w:lang w:bidi="ar"/>
              </w:rPr>
              <w:t>JZQ013</w:t>
            </w:r>
          </w:p>
        </w:tc>
        <w:tc>
          <w:tcPr>
            <w:tcW w:w="1686" w:type="dxa"/>
            <w:shd w:val="clear" w:color="auto" w:fill="auto"/>
            <w:noWrap/>
            <w:vAlign w:val="center"/>
          </w:tcPr>
          <w:p w14:paraId="540D0681">
            <w:pPr>
              <w:spacing w:line="240" w:lineRule="auto"/>
              <w:ind w:firstLine="0" w:firstLineChars="0"/>
              <w:jc w:val="center"/>
              <w:rPr>
                <w:rFonts w:cs="Times New Roman"/>
                <w:sz w:val="21"/>
                <w:szCs w:val="21"/>
              </w:rPr>
            </w:pPr>
            <w:r>
              <w:rPr>
                <w:rFonts w:cs="Times New Roman"/>
                <w:sz w:val="21"/>
                <w:szCs w:val="20"/>
                <w:lang w:bidi="ar"/>
              </w:rPr>
              <w:t>香汇融江区域</w:t>
            </w:r>
          </w:p>
        </w:tc>
        <w:tc>
          <w:tcPr>
            <w:tcW w:w="9747" w:type="dxa"/>
            <w:shd w:val="clear" w:color="auto" w:fill="auto"/>
            <w:noWrap/>
            <w:vAlign w:val="center"/>
          </w:tcPr>
          <w:p w14:paraId="12BF7355">
            <w:pPr>
              <w:spacing w:line="240" w:lineRule="auto"/>
              <w:ind w:firstLine="0" w:firstLineChars="0"/>
              <w:rPr>
                <w:rFonts w:cs="Times New Roman"/>
                <w:sz w:val="21"/>
                <w:szCs w:val="21"/>
              </w:rPr>
            </w:pPr>
            <w:r>
              <w:rPr>
                <w:rFonts w:cs="Times New Roman"/>
                <w:sz w:val="21"/>
                <w:szCs w:val="20"/>
                <w:lang w:bidi="ar"/>
              </w:rPr>
              <w:t>中庚香汇融江小区边界</w:t>
            </w:r>
          </w:p>
        </w:tc>
        <w:tc>
          <w:tcPr>
            <w:tcW w:w="1558" w:type="dxa"/>
            <w:shd w:val="clear" w:color="auto" w:fill="auto"/>
            <w:noWrap/>
            <w:vAlign w:val="center"/>
          </w:tcPr>
          <w:p w14:paraId="55B85001">
            <w:pPr>
              <w:spacing w:line="240" w:lineRule="auto"/>
              <w:ind w:firstLine="0" w:firstLineChars="0"/>
              <w:jc w:val="center"/>
              <w:rPr>
                <w:rFonts w:cs="Times New Roman"/>
                <w:sz w:val="21"/>
                <w:szCs w:val="21"/>
              </w:rPr>
            </w:pPr>
            <w:r>
              <w:rPr>
                <w:rFonts w:cs="Times New Roman"/>
                <w:sz w:val="21"/>
                <w:szCs w:val="20"/>
                <w:lang w:bidi="ar"/>
              </w:rPr>
              <w:t>0.18</w:t>
            </w:r>
          </w:p>
        </w:tc>
      </w:tr>
      <w:tr w14:paraId="1A02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70B94859">
            <w:pPr>
              <w:spacing w:line="240" w:lineRule="auto"/>
              <w:ind w:firstLine="0" w:firstLineChars="0"/>
              <w:jc w:val="center"/>
              <w:rPr>
                <w:rFonts w:cs="Times New Roman"/>
                <w:sz w:val="21"/>
                <w:szCs w:val="21"/>
              </w:rPr>
            </w:pPr>
            <w:r>
              <w:rPr>
                <w:rFonts w:cs="Times New Roman"/>
                <w:sz w:val="21"/>
                <w:szCs w:val="20"/>
                <w:lang w:bidi="ar"/>
              </w:rPr>
              <w:t>JZQ014</w:t>
            </w:r>
          </w:p>
        </w:tc>
        <w:tc>
          <w:tcPr>
            <w:tcW w:w="1686" w:type="dxa"/>
            <w:shd w:val="clear" w:color="auto" w:fill="auto"/>
            <w:noWrap/>
            <w:vAlign w:val="center"/>
          </w:tcPr>
          <w:p w14:paraId="0F197B17">
            <w:pPr>
              <w:spacing w:line="240" w:lineRule="auto"/>
              <w:ind w:firstLine="0" w:firstLineChars="0"/>
              <w:jc w:val="center"/>
              <w:rPr>
                <w:rFonts w:cs="Times New Roman"/>
                <w:sz w:val="21"/>
                <w:szCs w:val="21"/>
              </w:rPr>
            </w:pPr>
            <w:r>
              <w:rPr>
                <w:rFonts w:cs="Times New Roman"/>
                <w:sz w:val="21"/>
                <w:szCs w:val="20"/>
                <w:lang w:bidi="ar"/>
              </w:rPr>
              <w:t>文光小学区域</w:t>
            </w:r>
          </w:p>
        </w:tc>
        <w:tc>
          <w:tcPr>
            <w:tcW w:w="9747" w:type="dxa"/>
            <w:shd w:val="clear" w:color="auto" w:fill="auto"/>
            <w:noWrap/>
            <w:vAlign w:val="center"/>
          </w:tcPr>
          <w:p w14:paraId="5F93E577">
            <w:pPr>
              <w:spacing w:line="240" w:lineRule="auto"/>
              <w:ind w:firstLine="0" w:firstLineChars="0"/>
              <w:rPr>
                <w:rFonts w:cs="Times New Roman"/>
                <w:sz w:val="21"/>
                <w:szCs w:val="21"/>
              </w:rPr>
            </w:pPr>
            <w:r>
              <w:rPr>
                <w:rFonts w:cs="Times New Roman"/>
                <w:sz w:val="21"/>
                <w:szCs w:val="20"/>
                <w:lang w:bidi="ar"/>
              </w:rPr>
              <w:t>福唐路→永福路→福俱路→繁星里小区北侧→繁星里小区西侧→融侨望云北侧</w:t>
            </w:r>
          </w:p>
        </w:tc>
        <w:tc>
          <w:tcPr>
            <w:tcW w:w="1558" w:type="dxa"/>
            <w:shd w:val="clear" w:color="auto" w:fill="auto"/>
            <w:noWrap/>
            <w:vAlign w:val="center"/>
          </w:tcPr>
          <w:p w14:paraId="47D6E457">
            <w:pPr>
              <w:spacing w:line="240" w:lineRule="auto"/>
              <w:ind w:firstLine="0" w:firstLineChars="0"/>
              <w:jc w:val="center"/>
              <w:rPr>
                <w:rFonts w:cs="Times New Roman"/>
                <w:sz w:val="21"/>
                <w:szCs w:val="21"/>
              </w:rPr>
            </w:pPr>
            <w:r>
              <w:rPr>
                <w:rFonts w:cs="Times New Roman"/>
                <w:sz w:val="21"/>
                <w:szCs w:val="20"/>
                <w:lang w:bidi="ar"/>
              </w:rPr>
              <w:t>0.20</w:t>
            </w:r>
          </w:p>
        </w:tc>
      </w:tr>
      <w:tr w14:paraId="5D1C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761358C5">
            <w:pPr>
              <w:spacing w:line="240" w:lineRule="auto"/>
              <w:ind w:firstLine="0" w:firstLineChars="0"/>
              <w:jc w:val="center"/>
              <w:rPr>
                <w:rFonts w:cs="Times New Roman"/>
                <w:sz w:val="21"/>
                <w:szCs w:val="21"/>
              </w:rPr>
            </w:pPr>
            <w:r>
              <w:rPr>
                <w:rFonts w:cs="Times New Roman"/>
                <w:sz w:val="21"/>
                <w:szCs w:val="20"/>
                <w:lang w:bidi="ar"/>
              </w:rPr>
              <w:t>JZQ015</w:t>
            </w:r>
          </w:p>
        </w:tc>
        <w:tc>
          <w:tcPr>
            <w:tcW w:w="1686" w:type="dxa"/>
            <w:shd w:val="clear" w:color="auto" w:fill="auto"/>
            <w:noWrap/>
            <w:vAlign w:val="center"/>
          </w:tcPr>
          <w:p w14:paraId="5F418782">
            <w:pPr>
              <w:spacing w:line="240" w:lineRule="auto"/>
              <w:ind w:firstLine="0" w:firstLineChars="0"/>
              <w:jc w:val="center"/>
              <w:rPr>
                <w:rFonts w:cs="Times New Roman"/>
                <w:sz w:val="21"/>
                <w:szCs w:val="21"/>
              </w:rPr>
            </w:pPr>
            <w:r>
              <w:rPr>
                <w:rFonts w:cs="Times New Roman"/>
                <w:sz w:val="21"/>
                <w:szCs w:val="20"/>
                <w:lang w:bidi="ar"/>
              </w:rPr>
              <w:t>清辉小区区域</w:t>
            </w:r>
          </w:p>
        </w:tc>
        <w:tc>
          <w:tcPr>
            <w:tcW w:w="9747" w:type="dxa"/>
            <w:shd w:val="clear" w:color="auto" w:fill="auto"/>
            <w:noWrap/>
            <w:vAlign w:val="center"/>
          </w:tcPr>
          <w:p w14:paraId="6FF86F80">
            <w:pPr>
              <w:spacing w:line="240" w:lineRule="auto"/>
              <w:ind w:firstLine="0" w:firstLineChars="0"/>
              <w:rPr>
                <w:rFonts w:cs="Times New Roman"/>
                <w:sz w:val="21"/>
                <w:szCs w:val="21"/>
              </w:rPr>
            </w:pPr>
            <w:r>
              <w:rPr>
                <w:rFonts w:cs="Times New Roman"/>
                <w:sz w:val="21"/>
                <w:szCs w:val="20"/>
                <w:lang w:bidi="ar"/>
              </w:rPr>
              <w:t>福业路→清昌大道→福俱路→清荣大道（不含福清公交）</w:t>
            </w:r>
          </w:p>
        </w:tc>
        <w:tc>
          <w:tcPr>
            <w:tcW w:w="1558" w:type="dxa"/>
            <w:shd w:val="clear" w:color="auto" w:fill="auto"/>
            <w:noWrap/>
            <w:vAlign w:val="center"/>
          </w:tcPr>
          <w:p w14:paraId="28DA6335">
            <w:pPr>
              <w:spacing w:line="240" w:lineRule="auto"/>
              <w:ind w:firstLine="0" w:firstLineChars="0"/>
              <w:jc w:val="center"/>
              <w:rPr>
                <w:rFonts w:cs="Times New Roman"/>
                <w:sz w:val="21"/>
                <w:szCs w:val="21"/>
              </w:rPr>
            </w:pPr>
            <w:r>
              <w:rPr>
                <w:rFonts w:cs="Times New Roman"/>
                <w:sz w:val="21"/>
                <w:szCs w:val="20"/>
                <w:lang w:bidi="ar"/>
              </w:rPr>
              <w:t>0.66</w:t>
            </w:r>
          </w:p>
        </w:tc>
      </w:tr>
      <w:tr w14:paraId="5712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27FEDB4">
            <w:pPr>
              <w:spacing w:line="240" w:lineRule="auto"/>
              <w:ind w:firstLine="0" w:firstLineChars="0"/>
              <w:jc w:val="center"/>
              <w:rPr>
                <w:rFonts w:cs="Times New Roman"/>
                <w:sz w:val="21"/>
                <w:szCs w:val="21"/>
              </w:rPr>
            </w:pPr>
            <w:r>
              <w:rPr>
                <w:rFonts w:cs="Times New Roman"/>
                <w:sz w:val="21"/>
                <w:szCs w:val="20"/>
                <w:lang w:bidi="ar"/>
              </w:rPr>
              <w:t>JZQ016</w:t>
            </w:r>
          </w:p>
        </w:tc>
        <w:tc>
          <w:tcPr>
            <w:tcW w:w="1686" w:type="dxa"/>
            <w:shd w:val="clear" w:color="auto" w:fill="auto"/>
            <w:noWrap/>
            <w:vAlign w:val="center"/>
          </w:tcPr>
          <w:p w14:paraId="70CEE196">
            <w:pPr>
              <w:spacing w:line="240" w:lineRule="auto"/>
              <w:ind w:firstLine="0" w:firstLineChars="0"/>
              <w:jc w:val="center"/>
              <w:rPr>
                <w:rFonts w:cs="Times New Roman"/>
                <w:sz w:val="21"/>
                <w:szCs w:val="21"/>
              </w:rPr>
            </w:pPr>
            <w:r>
              <w:rPr>
                <w:rFonts w:cs="Times New Roman"/>
                <w:sz w:val="21"/>
                <w:szCs w:val="20"/>
                <w:lang w:bidi="ar"/>
              </w:rPr>
              <w:t>融侨国际公馆区域</w:t>
            </w:r>
          </w:p>
        </w:tc>
        <w:tc>
          <w:tcPr>
            <w:tcW w:w="9747" w:type="dxa"/>
            <w:shd w:val="clear" w:color="auto" w:fill="auto"/>
            <w:noWrap/>
            <w:vAlign w:val="center"/>
          </w:tcPr>
          <w:p w14:paraId="4BB13778">
            <w:pPr>
              <w:spacing w:line="240" w:lineRule="auto"/>
              <w:ind w:firstLine="0" w:firstLineChars="0"/>
              <w:rPr>
                <w:rFonts w:cs="Times New Roman"/>
                <w:sz w:val="21"/>
                <w:szCs w:val="21"/>
              </w:rPr>
            </w:pPr>
            <w:r>
              <w:rPr>
                <w:rFonts w:cs="Times New Roman"/>
                <w:sz w:val="21"/>
                <w:szCs w:val="20"/>
                <w:lang w:bidi="ar"/>
              </w:rPr>
              <w:t>福业路→清盛大道→福俱路→清昌大道（不含商展中心、中环广场）</w:t>
            </w:r>
          </w:p>
        </w:tc>
        <w:tc>
          <w:tcPr>
            <w:tcW w:w="1558" w:type="dxa"/>
            <w:shd w:val="clear" w:color="auto" w:fill="auto"/>
            <w:noWrap/>
            <w:vAlign w:val="center"/>
          </w:tcPr>
          <w:p w14:paraId="68A9D9B9">
            <w:pPr>
              <w:spacing w:line="240" w:lineRule="auto"/>
              <w:ind w:firstLine="0" w:firstLineChars="0"/>
              <w:jc w:val="center"/>
              <w:rPr>
                <w:rFonts w:cs="Times New Roman"/>
                <w:sz w:val="21"/>
                <w:szCs w:val="21"/>
              </w:rPr>
            </w:pPr>
            <w:r>
              <w:rPr>
                <w:rFonts w:cs="Times New Roman"/>
                <w:sz w:val="21"/>
                <w:szCs w:val="20"/>
                <w:lang w:bidi="ar"/>
              </w:rPr>
              <w:t>0.16</w:t>
            </w:r>
          </w:p>
        </w:tc>
      </w:tr>
      <w:tr w14:paraId="397A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79F77177">
            <w:pPr>
              <w:spacing w:line="240" w:lineRule="auto"/>
              <w:ind w:firstLine="0" w:firstLineChars="0"/>
              <w:jc w:val="center"/>
              <w:rPr>
                <w:rFonts w:cs="Times New Roman"/>
                <w:sz w:val="21"/>
                <w:szCs w:val="21"/>
              </w:rPr>
            </w:pPr>
            <w:r>
              <w:rPr>
                <w:rFonts w:cs="Times New Roman"/>
                <w:sz w:val="21"/>
                <w:szCs w:val="20"/>
                <w:lang w:bidi="ar"/>
              </w:rPr>
              <w:t>JZQ017</w:t>
            </w:r>
          </w:p>
        </w:tc>
        <w:tc>
          <w:tcPr>
            <w:tcW w:w="1686" w:type="dxa"/>
            <w:shd w:val="clear" w:color="auto" w:fill="auto"/>
            <w:noWrap/>
            <w:vAlign w:val="center"/>
          </w:tcPr>
          <w:p w14:paraId="24C8DEEA">
            <w:pPr>
              <w:spacing w:line="240" w:lineRule="auto"/>
              <w:ind w:firstLine="0" w:firstLineChars="0"/>
              <w:jc w:val="center"/>
              <w:rPr>
                <w:rFonts w:cs="Times New Roman"/>
                <w:sz w:val="21"/>
                <w:szCs w:val="21"/>
              </w:rPr>
            </w:pPr>
            <w:r>
              <w:rPr>
                <w:rFonts w:cs="Times New Roman"/>
                <w:sz w:val="21"/>
                <w:szCs w:val="20"/>
                <w:lang w:bidi="ar"/>
              </w:rPr>
              <w:t>虎溪公园区域</w:t>
            </w:r>
          </w:p>
        </w:tc>
        <w:tc>
          <w:tcPr>
            <w:tcW w:w="9747" w:type="dxa"/>
            <w:shd w:val="clear" w:color="auto" w:fill="auto"/>
            <w:noWrap/>
            <w:vAlign w:val="center"/>
          </w:tcPr>
          <w:p w14:paraId="491C7413">
            <w:pPr>
              <w:spacing w:line="240" w:lineRule="auto"/>
              <w:ind w:firstLine="0" w:firstLineChars="0"/>
              <w:rPr>
                <w:rFonts w:cs="Times New Roman"/>
                <w:sz w:val="21"/>
                <w:szCs w:val="21"/>
              </w:rPr>
            </w:pPr>
            <w:r>
              <w:rPr>
                <w:rFonts w:cs="Times New Roman"/>
                <w:sz w:val="21"/>
                <w:szCs w:val="20"/>
                <w:lang w:bidi="ar"/>
              </w:rPr>
              <w:t>虎溪→虎溪路→万翔花园南侧边界→香溪美地A区南侧边界→福腾路→双溪路→中恒首府二期东侧边界→清腾路→福腾路→清繁大道</w:t>
            </w:r>
          </w:p>
        </w:tc>
        <w:tc>
          <w:tcPr>
            <w:tcW w:w="1558" w:type="dxa"/>
            <w:shd w:val="clear" w:color="auto" w:fill="auto"/>
            <w:noWrap/>
            <w:vAlign w:val="center"/>
          </w:tcPr>
          <w:p w14:paraId="639DD82A">
            <w:pPr>
              <w:spacing w:line="240" w:lineRule="auto"/>
              <w:ind w:firstLine="0" w:firstLineChars="0"/>
              <w:jc w:val="center"/>
              <w:rPr>
                <w:rFonts w:cs="Times New Roman"/>
                <w:sz w:val="21"/>
                <w:szCs w:val="21"/>
              </w:rPr>
            </w:pPr>
            <w:r>
              <w:rPr>
                <w:rFonts w:cs="Times New Roman"/>
                <w:sz w:val="21"/>
                <w:szCs w:val="20"/>
                <w:lang w:bidi="ar"/>
              </w:rPr>
              <w:t>0.90</w:t>
            </w:r>
          </w:p>
        </w:tc>
      </w:tr>
      <w:tr w14:paraId="3FF7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14849FA">
            <w:pPr>
              <w:spacing w:line="240" w:lineRule="auto"/>
              <w:ind w:firstLine="0" w:firstLineChars="0"/>
              <w:jc w:val="center"/>
              <w:rPr>
                <w:rFonts w:cs="Times New Roman"/>
                <w:sz w:val="21"/>
                <w:szCs w:val="21"/>
              </w:rPr>
            </w:pPr>
            <w:r>
              <w:rPr>
                <w:rFonts w:cs="Times New Roman"/>
                <w:sz w:val="21"/>
                <w:szCs w:val="20"/>
                <w:lang w:bidi="ar"/>
              </w:rPr>
              <w:t>JZQ018</w:t>
            </w:r>
          </w:p>
        </w:tc>
        <w:tc>
          <w:tcPr>
            <w:tcW w:w="1686" w:type="dxa"/>
            <w:shd w:val="clear" w:color="auto" w:fill="auto"/>
            <w:noWrap/>
            <w:vAlign w:val="center"/>
          </w:tcPr>
          <w:p w14:paraId="3D4AD12A">
            <w:pPr>
              <w:spacing w:line="240" w:lineRule="auto"/>
              <w:ind w:firstLine="0" w:firstLineChars="0"/>
              <w:jc w:val="center"/>
              <w:rPr>
                <w:rFonts w:cs="Times New Roman"/>
                <w:sz w:val="21"/>
                <w:szCs w:val="21"/>
              </w:rPr>
            </w:pPr>
            <w:r>
              <w:rPr>
                <w:rFonts w:cs="Times New Roman"/>
                <w:sz w:val="21"/>
                <w:szCs w:val="20"/>
                <w:lang w:bidi="ar"/>
              </w:rPr>
              <w:t>融湾美墅区域</w:t>
            </w:r>
          </w:p>
        </w:tc>
        <w:tc>
          <w:tcPr>
            <w:tcW w:w="9747" w:type="dxa"/>
            <w:shd w:val="clear" w:color="auto" w:fill="auto"/>
            <w:noWrap/>
            <w:vAlign w:val="center"/>
          </w:tcPr>
          <w:p w14:paraId="7A470DD3">
            <w:pPr>
              <w:spacing w:line="240" w:lineRule="auto"/>
              <w:ind w:firstLine="0" w:firstLineChars="0"/>
              <w:rPr>
                <w:rFonts w:cs="Times New Roman"/>
                <w:sz w:val="21"/>
                <w:szCs w:val="21"/>
              </w:rPr>
            </w:pPr>
            <w:r>
              <w:rPr>
                <w:rFonts w:cs="Times New Roman"/>
                <w:sz w:val="21"/>
                <w:szCs w:val="20"/>
                <w:lang w:bidi="ar"/>
              </w:rPr>
              <w:t>清繁大道→融湾美墅东南侧边界→融侨新城法郡东南侧边界→融侨新城法郡北侧边界→洪宽大道</w:t>
            </w:r>
          </w:p>
        </w:tc>
        <w:tc>
          <w:tcPr>
            <w:tcW w:w="1558" w:type="dxa"/>
            <w:shd w:val="clear" w:color="auto" w:fill="auto"/>
            <w:noWrap/>
            <w:vAlign w:val="center"/>
          </w:tcPr>
          <w:p w14:paraId="12EA4221">
            <w:pPr>
              <w:spacing w:line="240" w:lineRule="auto"/>
              <w:ind w:firstLine="0" w:firstLineChars="0"/>
              <w:jc w:val="center"/>
              <w:rPr>
                <w:rFonts w:cs="Times New Roman"/>
                <w:sz w:val="21"/>
                <w:szCs w:val="21"/>
              </w:rPr>
            </w:pPr>
            <w:r>
              <w:rPr>
                <w:rFonts w:cs="Times New Roman"/>
                <w:sz w:val="21"/>
                <w:szCs w:val="20"/>
                <w:lang w:bidi="ar"/>
              </w:rPr>
              <w:t>0.15</w:t>
            </w:r>
          </w:p>
        </w:tc>
      </w:tr>
      <w:tr w14:paraId="6FC3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1A542267">
            <w:pPr>
              <w:spacing w:line="240" w:lineRule="auto"/>
              <w:ind w:firstLine="0" w:firstLineChars="0"/>
              <w:jc w:val="center"/>
              <w:rPr>
                <w:rFonts w:cs="Times New Roman"/>
                <w:sz w:val="21"/>
                <w:szCs w:val="21"/>
              </w:rPr>
            </w:pPr>
            <w:r>
              <w:rPr>
                <w:rFonts w:cs="Times New Roman"/>
                <w:sz w:val="21"/>
                <w:szCs w:val="20"/>
                <w:lang w:bidi="ar"/>
              </w:rPr>
              <w:t>JZQ019</w:t>
            </w:r>
          </w:p>
        </w:tc>
        <w:tc>
          <w:tcPr>
            <w:tcW w:w="1686" w:type="dxa"/>
            <w:shd w:val="clear" w:color="auto" w:fill="auto"/>
            <w:noWrap/>
            <w:vAlign w:val="center"/>
          </w:tcPr>
          <w:p w14:paraId="28B899F8">
            <w:pPr>
              <w:spacing w:line="240" w:lineRule="auto"/>
              <w:ind w:firstLine="0" w:firstLineChars="0"/>
              <w:jc w:val="center"/>
              <w:rPr>
                <w:rFonts w:cs="Times New Roman"/>
                <w:sz w:val="21"/>
                <w:szCs w:val="21"/>
              </w:rPr>
            </w:pPr>
            <w:r>
              <w:rPr>
                <w:rFonts w:cs="Times New Roman"/>
                <w:sz w:val="21"/>
                <w:szCs w:val="20"/>
                <w:lang w:bidi="ar"/>
              </w:rPr>
              <w:t>玉屏山区域</w:t>
            </w:r>
          </w:p>
        </w:tc>
        <w:tc>
          <w:tcPr>
            <w:tcW w:w="9747" w:type="dxa"/>
            <w:shd w:val="clear" w:color="auto" w:fill="auto"/>
            <w:noWrap/>
            <w:vAlign w:val="center"/>
          </w:tcPr>
          <w:p w14:paraId="4CF77CAF">
            <w:pPr>
              <w:spacing w:line="240" w:lineRule="auto"/>
              <w:ind w:firstLine="0" w:firstLineChars="0"/>
              <w:rPr>
                <w:rFonts w:cs="Times New Roman"/>
                <w:sz w:val="21"/>
                <w:szCs w:val="21"/>
              </w:rPr>
            </w:pPr>
            <w:r>
              <w:rPr>
                <w:rFonts w:cs="Times New Roman"/>
                <w:sz w:val="21"/>
                <w:szCs w:val="20"/>
                <w:lang w:bidi="ar"/>
              </w:rPr>
              <w:t>玉屏御景花园西南侧边界→玉井路→市刑警大队东侧边界→玉井小区北侧边界→丰联丽都北侧边界→玉屏山东南侧山体边界</w:t>
            </w:r>
          </w:p>
        </w:tc>
        <w:tc>
          <w:tcPr>
            <w:tcW w:w="1558" w:type="dxa"/>
            <w:shd w:val="clear" w:color="auto" w:fill="auto"/>
            <w:noWrap/>
            <w:vAlign w:val="center"/>
          </w:tcPr>
          <w:p w14:paraId="4D772B40">
            <w:pPr>
              <w:spacing w:line="240" w:lineRule="auto"/>
              <w:ind w:firstLine="0" w:firstLineChars="0"/>
              <w:jc w:val="center"/>
              <w:rPr>
                <w:rFonts w:cs="Times New Roman"/>
                <w:sz w:val="21"/>
                <w:szCs w:val="21"/>
              </w:rPr>
            </w:pPr>
            <w:r>
              <w:rPr>
                <w:rFonts w:cs="Times New Roman"/>
                <w:sz w:val="21"/>
                <w:szCs w:val="20"/>
                <w:lang w:bidi="ar"/>
              </w:rPr>
              <w:t>0.35</w:t>
            </w:r>
          </w:p>
        </w:tc>
      </w:tr>
      <w:tr w14:paraId="4A28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2C18D3D4">
            <w:pPr>
              <w:spacing w:line="240" w:lineRule="auto"/>
              <w:ind w:firstLine="0" w:firstLineChars="0"/>
              <w:jc w:val="center"/>
              <w:rPr>
                <w:rFonts w:cs="Times New Roman"/>
                <w:sz w:val="21"/>
                <w:szCs w:val="21"/>
              </w:rPr>
            </w:pPr>
            <w:r>
              <w:rPr>
                <w:rFonts w:cs="Times New Roman"/>
                <w:sz w:val="21"/>
                <w:szCs w:val="20"/>
                <w:lang w:bidi="ar"/>
              </w:rPr>
              <w:t>JZQ020</w:t>
            </w:r>
          </w:p>
        </w:tc>
        <w:tc>
          <w:tcPr>
            <w:tcW w:w="1686" w:type="dxa"/>
            <w:shd w:val="clear" w:color="auto" w:fill="auto"/>
            <w:noWrap/>
            <w:vAlign w:val="center"/>
          </w:tcPr>
          <w:p w14:paraId="4F8328C8">
            <w:pPr>
              <w:spacing w:line="240" w:lineRule="auto"/>
              <w:ind w:firstLine="0" w:firstLineChars="0"/>
              <w:jc w:val="center"/>
              <w:rPr>
                <w:rFonts w:cs="Times New Roman"/>
                <w:sz w:val="21"/>
                <w:szCs w:val="21"/>
              </w:rPr>
            </w:pPr>
            <w:r>
              <w:rPr>
                <w:rFonts w:cs="Times New Roman"/>
                <w:sz w:val="21"/>
                <w:szCs w:val="20"/>
                <w:lang w:bidi="ar"/>
              </w:rPr>
              <w:t>玫瑰园区域</w:t>
            </w:r>
          </w:p>
        </w:tc>
        <w:tc>
          <w:tcPr>
            <w:tcW w:w="9747" w:type="dxa"/>
            <w:shd w:val="clear" w:color="auto" w:fill="auto"/>
            <w:noWrap/>
            <w:vAlign w:val="center"/>
          </w:tcPr>
          <w:p w14:paraId="75C06668">
            <w:pPr>
              <w:spacing w:line="240" w:lineRule="auto"/>
              <w:ind w:firstLine="0" w:firstLineChars="0"/>
              <w:rPr>
                <w:rFonts w:cs="Times New Roman"/>
                <w:sz w:val="21"/>
                <w:szCs w:val="21"/>
              </w:rPr>
            </w:pPr>
            <w:r>
              <w:rPr>
                <w:rFonts w:cs="Times New Roman"/>
                <w:sz w:val="21"/>
                <w:szCs w:val="20"/>
                <w:lang w:bidi="ar"/>
              </w:rPr>
              <w:t>清荣花园南侧边界→龙山公园西北侧山体边界→凯景悦蓝山二期东侧边界→石井街</w:t>
            </w:r>
          </w:p>
        </w:tc>
        <w:tc>
          <w:tcPr>
            <w:tcW w:w="1558" w:type="dxa"/>
            <w:shd w:val="clear" w:color="auto" w:fill="auto"/>
            <w:noWrap/>
            <w:vAlign w:val="center"/>
          </w:tcPr>
          <w:p w14:paraId="7125973E">
            <w:pPr>
              <w:spacing w:line="240" w:lineRule="auto"/>
              <w:ind w:firstLine="0" w:firstLineChars="0"/>
              <w:jc w:val="center"/>
              <w:rPr>
                <w:rFonts w:cs="Times New Roman"/>
                <w:sz w:val="21"/>
                <w:szCs w:val="21"/>
              </w:rPr>
            </w:pPr>
            <w:r>
              <w:rPr>
                <w:rFonts w:cs="Times New Roman"/>
                <w:sz w:val="21"/>
                <w:szCs w:val="20"/>
                <w:lang w:bidi="ar"/>
              </w:rPr>
              <w:t>0.21</w:t>
            </w:r>
          </w:p>
        </w:tc>
      </w:tr>
      <w:tr w14:paraId="64A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00B7E845">
            <w:pPr>
              <w:spacing w:line="240" w:lineRule="auto"/>
              <w:ind w:firstLine="0" w:firstLineChars="0"/>
              <w:jc w:val="center"/>
              <w:rPr>
                <w:rFonts w:cs="Times New Roman"/>
                <w:sz w:val="21"/>
                <w:szCs w:val="21"/>
              </w:rPr>
            </w:pPr>
            <w:r>
              <w:rPr>
                <w:rFonts w:cs="Times New Roman"/>
                <w:sz w:val="21"/>
                <w:szCs w:val="20"/>
                <w:lang w:bidi="ar"/>
              </w:rPr>
              <w:t>JZQ021</w:t>
            </w:r>
          </w:p>
        </w:tc>
        <w:tc>
          <w:tcPr>
            <w:tcW w:w="1686" w:type="dxa"/>
            <w:shd w:val="clear" w:color="auto" w:fill="auto"/>
            <w:noWrap/>
            <w:vAlign w:val="center"/>
          </w:tcPr>
          <w:p w14:paraId="2A5656D1">
            <w:pPr>
              <w:spacing w:line="240" w:lineRule="auto"/>
              <w:ind w:firstLine="0" w:firstLineChars="0"/>
              <w:jc w:val="center"/>
              <w:rPr>
                <w:rFonts w:cs="Times New Roman"/>
                <w:sz w:val="21"/>
                <w:szCs w:val="21"/>
              </w:rPr>
            </w:pPr>
            <w:r>
              <w:rPr>
                <w:rFonts w:cs="Times New Roman"/>
                <w:sz w:val="21"/>
                <w:szCs w:val="20"/>
                <w:lang w:bidi="ar"/>
              </w:rPr>
              <w:t>市政府区域</w:t>
            </w:r>
          </w:p>
        </w:tc>
        <w:tc>
          <w:tcPr>
            <w:tcW w:w="9747" w:type="dxa"/>
            <w:shd w:val="clear" w:color="auto" w:fill="auto"/>
            <w:noWrap/>
            <w:vAlign w:val="center"/>
          </w:tcPr>
          <w:p w14:paraId="4D4D48CC">
            <w:pPr>
              <w:spacing w:line="240" w:lineRule="auto"/>
              <w:ind w:firstLine="0" w:firstLineChars="0"/>
              <w:rPr>
                <w:rFonts w:cs="Times New Roman"/>
                <w:sz w:val="21"/>
                <w:szCs w:val="21"/>
              </w:rPr>
            </w:pPr>
            <w:r>
              <w:rPr>
                <w:rFonts w:cs="Times New Roman"/>
                <w:sz w:val="21"/>
                <w:szCs w:val="20"/>
                <w:lang w:bidi="ar"/>
              </w:rPr>
              <w:t>市人民政府边界、城关小学边界</w:t>
            </w:r>
          </w:p>
        </w:tc>
        <w:tc>
          <w:tcPr>
            <w:tcW w:w="1558" w:type="dxa"/>
            <w:shd w:val="clear" w:color="auto" w:fill="auto"/>
            <w:noWrap/>
            <w:vAlign w:val="center"/>
          </w:tcPr>
          <w:p w14:paraId="28EE9A48">
            <w:pPr>
              <w:spacing w:line="240" w:lineRule="auto"/>
              <w:ind w:firstLine="0" w:firstLineChars="0"/>
              <w:jc w:val="center"/>
              <w:rPr>
                <w:rFonts w:cs="Times New Roman"/>
                <w:sz w:val="21"/>
                <w:szCs w:val="21"/>
              </w:rPr>
            </w:pPr>
            <w:r>
              <w:rPr>
                <w:rFonts w:cs="Times New Roman"/>
                <w:sz w:val="21"/>
                <w:szCs w:val="20"/>
                <w:lang w:bidi="ar"/>
              </w:rPr>
              <w:t>0.05</w:t>
            </w:r>
          </w:p>
        </w:tc>
      </w:tr>
      <w:tr w14:paraId="00BD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23EAA17F">
            <w:pPr>
              <w:spacing w:line="240" w:lineRule="auto"/>
              <w:ind w:firstLine="0" w:firstLineChars="0"/>
              <w:jc w:val="center"/>
              <w:rPr>
                <w:rFonts w:cs="Times New Roman"/>
                <w:sz w:val="21"/>
                <w:szCs w:val="21"/>
              </w:rPr>
            </w:pPr>
            <w:r>
              <w:rPr>
                <w:rFonts w:cs="Times New Roman"/>
                <w:sz w:val="21"/>
                <w:szCs w:val="20"/>
                <w:lang w:bidi="ar"/>
              </w:rPr>
              <w:t>JZQ022</w:t>
            </w:r>
          </w:p>
        </w:tc>
        <w:tc>
          <w:tcPr>
            <w:tcW w:w="1686" w:type="dxa"/>
            <w:shd w:val="clear" w:color="auto" w:fill="auto"/>
            <w:noWrap/>
            <w:vAlign w:val="center"/>
          </w:tcPr>
          <w:p w14:paraId="7B423B88">
            <w:pPr>
              <w:spacing w:line="240" w:lineRule="auto"/>
              <w:ind w:firstLine="0" w:firstLineChars="0"/>
              <w:jc w:val="center"/>
              <w:rPr>
                <w:rFonts w:cs="Times New Roman"/>
                <w:sz w:val="21"/>
                <w:szCs w:val="21"/>
              </w:rPr>
            </w:pPr>
            <w:r>
              <w:rPr>
                <w:rFonts w:cs="Times New Roman"/>
                <w:sz w:val="21"/>
                <w:szCs w:val="20"/>
                <w:lang w:bidi="ar"/>
              </w:rPr>
              <w:t>东方印象区域</w:t>
            </w:r>
          </w:p>
        </w:tc>
        <w:tc>
          <w:tcPr>
            <w:tcW w:w="9747" w:type="dxa"/>
            <w:shd w:val="clear" w:color="auto" w:fill="auto"/>
            <w:noWrap/>
            <w:vAlign w:val="center"/>
          </w:tcPr>
          <w:p w14:paraId="36F2CBAA">
            <w:pPr>
              <w:spacing w:line="240" w:lineRule="auto"/>
              <w:ind w:firstLine="0" w:firstLineChars="0"/>
              <w:rPr>
                <w:rFonts w:cs="Times New Roman"/>
                <w:sz w:val="21"/>
                <w:szCs w:val="21"/>
              </w:rPr>
            </w:pPr>
            <w:r>
              <w:rPr>
                <w:rFonts w:cs="Times New Roman"/>
                <w:sz w:val="21"/>
                <w:szCs w:val="20"/>
                <w:lang w:bidi="ar"/>
              </w:rPr>
              <w:t>玉峰路→永昌路→福东大道→芳亭路</w:t>
            </w:r>
          </w:p>
        </w:tc>
        <w:tc>
          <w:tcPr>
            <w:tcW w:w="1558" w:type="dxa"/>
            <w:shd w:val="clear" w:color="auto" w:fill="auto"/>
            <w:noWrap/>
            <w:vAlign w:val="center"/>
          </w:tcPr>
          <w:p w14:paraId="1B7C0AF5">
            <w:pPr>
              <w:spacing w:line="240" w:lineRule="auto"/>
              <w:ind w:firstLine="0" w:firstLineChars="0"/>
              <w:jc w:val="center"/>
              <w:rPr>
                <w:rFonts w:cs="Times New Roman"/>
                <w:sz w:val="21"/>
                <w:szCs w:val="21"/>
              </w:rPr>
            </w:pPr>
            <w:r>
              <w:rPr>
                <w:rFonts w:cs="Times New Roman"/>
                <w:sz w:val="21"/>
                <w:szCs w:val="20"/>
                <w:lang w:bidi="ar"/>
              </w:rPr>
              <w:t>0.21</w:t>
            </w:r>
          </w:p>
        </w:tc>
      </w:tr>
      <w:tr w14:paraId="0BA4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7112EB27">
            <w:pPr>
              <w:spacing w:line="240" w:lineRule="auto"/>
              <w:ind w:firstLine="0" w:firstLineChars="0"/>
              <w:jc w:val="center"/>
              <w:rPr>
                <w:rFonts w:cs="Times New Roman"/>
                <w:sz w:val="21"/>
                <w:szCs w:val="21"/>
              </w:rPr>
            </w:pPr>
            <w:r>
              <w:rPr>
                <w:rFonts w:cs="Times New Roman"/>
                <w:sz w:val="21"/>
                <w:szCs w:val="20"/>
                <w:lang w:bidi="ar"/>
              </w:rPr>
              <w:t>JZQ023</w:t>
            </w:r>
          </w:p>
        </w:tc>
        <w:tc>
          <w:tcPr>
            <w:tcW w:w="1686" w:type="dxa"/>
            <w:shd w:val="clear" w:color="auto" w:fill="auto"/>
            <w:noWrap/>
            <w:vAlign w:val="center"/>
          </w:tcPr>
          <w:p w14:paraId="7DD42BE7">
            <w:pPr>
              <w:spacing w:line="240" w:lineRule="auto"/>
              <w:ind w:firstLine="0" w:firstLineChars="0"/>
              <w:jc w:val="center"/>
              <w:rPr>
                <w:rFonts w:cs="Times New Roman"/>
                <w:sz w:val="21"/>
                <w:szCs w:val="21"/>
              </w:rPr>
            </w:pPr>
            <w:r>
              <w:rPr>
                <w:rFonts w:cs="Times New Roman"/>
                <w:sz w:val="21"/>
                <w:szCs w:val="20"/>
                <w:lang w:bidi="ar"/>
              </w:rPr>
              <w:t>北江滨区域</w:t>
            </w:r>
          </w:p>
        </w:tc>
        <w:tc>
          <w:tcPr>
            <w:tcW w:w="9747" w:type="dxa"/>
            <w:shd w:val="clear" w:color="auto" w:fill="auto"/>
            <w:noWrap/>
            <w:vAlign w:val="center"/>
          </w:tcPr>
          <w:p w14:paraId="4FA54882">
            <w:pPr>
              <w:spacing w:line="240" w:lineRule="auto"/>
              <w:ind w:firstLine="0" w:firstLineChars="0"/>
              <w:rPr>
                <w:rFonts w:cs="Times New Roman"/>
                <w:sz w:val="21"/>
                <w:szCs w:val="21"/>
              </w:rPr>
            </w:pPr>
            <w:r>
              <w:rPr>
                <w:rFonts w:cs="Times New Roman"/>
                <w:sz w:val="21"/>
                <w:szCs w:val="20"/>
                <w:lang w:bidi="ar"/>
              </w:rPr>
              <w:t>东塘路→永昌路→永东路→东侨路→北江滨路→芳亭东路→永东路→东新路→龙江→恒大城北侧边界</w:t>
            </w:r>
          </w:p>
        </w:tc>
        <w:tc>
          <w:tcPr>
            <w:tcW w:w="1558" w:type="dxa"/>
            <w:shd w:val="clear" w:color="auto" w:fill="auto"/>
            <w:noWrap/>
            <w:vAlign w:val="center"/>
          </w:tcPr>
          <w:p w14:paraId="12DB8C5B">
            <w:pPr>
              <w:spacing w:line="240" w:lineRule="auto"/>
              <w:ind w:firstLine="0" w:firstLineChars="0"/>
              <w:jc w:val="center"/>
              <w:rPr>
                <w:rFonts w:cs="Times New Roman"/>
                <w:sz w:val="21"/>
                <w:szCs w:val="21"/>
              </w:rPr>
            </w:pPr>
            <w:r>
              <w:rPr>
                <w:rFonts w:cs="Times New Roman"/>
                <w:sz w:val="21"/>
                <w:szCs w:val="20"/>
                <w:lang w:bidi="ar"/>
              </w:rPr>
              <w:t>0.54</w:t>
            </w:r>
          </w:p>
        </w:tc>
      </w:tr>
      <w:tr w14:paraId="733E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44AADEB">
            <w:pPr>
              <w:spacing w:line="240" w:lineRule="auto"/>
              <w:ind w:firstLine="0" w:firstLineChars="0"/>
              <w:jc w:val="center"/>
              <w:rPr>
                <w:rFonts w:cs="Times New Roman"/>
                <w:sz w:val="21"/>
                <w:szCs w:val="21"/>
              </w:rPr>
            </w:pPr>
            <w:r>
              <w:rPr>
                <w:rFonts w:cs="Times New Roman"/>
                <w:sz w:val="21"/>
                <w:szCs w:val="20"/>
                <w:lang w:bidi="ar"/>
              </w:rPr>
              <w:t>JZQ024</w:t>
            </w:r>
          </w:p>
        </w:tc>
        <w:tc>
          <w:tcPr>
            <w:tcW w:w="1686" w:type="dxa"/>
            <w:shd w:val="clear" w:color="auto" w:fill="auto"/>
            <w:noWrap/>
            <w:vAlign w:val="center"/>
          </w:tcPr>
          <w:p w14:paraId="2FFEDE4C">
            <w:pPr>
              <w:spacing w:line="240" w:lineRule="auto"/>
              <w:ind w:firstLine="0" w:firstLineChars="0"/>
              <w:jc w:val="center"/>
              <w:rPr>
                <w:rFonts w:cs="Times New Roman"/>
                <w:sz w:val="21"/>
                <w:szCs w:val="21"/>
              </w:rPr>
            </w:pPr>
            <w:r>
              <w:rPr>
                <w:rFonts w:cs="Times New Roman"/>
                <w:sz w:val="21"/>
                <w:szCs w:val="20"/>
                <w:lang w:bidi="ar"/>
              </w:rPr>
              <w:t>三福龙景区域</w:t>
            </w:r>
          </w:p>
        </w:tc>
        <w:tc>
          <w:tcPr>
            <w:tcW w:w="9747" w:type="dxa"/>
            <w:shd w:val="clear" w:color="auto" w:fill="auto"/>
            <w:noWrap/>
            <w:vAlign w:val="center"/>
          </w:tcPr>
          <w:p w14:paraId="5FA2DFDA">
            <w:pPr>
              <w:spacing w:line="240" w:lineRule="auto"/>
              <w:ind w:firstLine="0" w:firstLineChars="0"/>
              <w:rPr>
                <w:rFonts w:cs="Times New Roman"/>
                <w:sz w:val="21"/>
                <w:szCs w:val="21"/>
              </w:rPr>
            </w:pPr>
            <w:r>
              <w:rPr>
                <w:rFonts w:cs="Times New Roman"/>
                <w:sz w:val="21"/>
                <w:szCs w:val="20"/>
                <w:lang w:bidi="ar"/>
              </w:rPr>
              <w:t>东刘路→元华路→三福龙景商业广场西侧边界→三福龙景南侧边界→创邦工业大厦东南侧边界→元华路→南华路→山水大道</w:t>
            </w:r>
          </w:p>
        </w:tc>
        <w:tc>
          <w:tcPr>
            <w:tcW w:w="1558" w:type="dxa"/>
            <w:shd w:val="clear" w:color="auto" w:fill="auto"/>
            <w:noWrap/>
            <w:vAlign w:val="center"/>
          </w:tcPr>
          <w:p w14:paraId="06728AA9">
            <w:pPr>
              <w:spacing w:line="240" w:lineRule="auto"/>
              <w:ind w:firstLine="0" w:firstLineChars="0"/>
              <w:jc w:val="center"/>
              <w:rPr>
                <w:rFonts w:cs="Times New Roman"/>
                <w:sz w:val="21"/>
                <w:szCs w:val="21"/>
              </w:rPr>
            </w:pPr>
            <w:r>
              <w:rPr>
                <w:rFonts w:cs="Times New Roman"/>
                <w:sz w:val="21"/>
                <w:szCs w:val="20"/>
                <w:lang w:bidi="ar"/>
              </w:rPr>
              <w:t>0.20</w:t>
            </w:r>
          </w:p>
        </w:tc>
      </w:tr>
      <w:tr w14:paraId="0812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3" w:type="dxa"/>
            <w:shd w:val="clear" w:color="auto" w:fill="auto"/>
            <w:noWrap/>
            <w:vAlign w:val="center"/>
          </w:tcPr>
          <w:p w14:paraId="33877B1D">
            <w:pPr>
              <w:spacing w:line="240" w:lineRule="auto"/>
              <w:ind w:firstLine="0" w:firstLineChars="0"/>
              <w:jc w:val="center"/>
              <w:rPr>
                <w:rFonts w:cs="Times New Roman"/>
                <w:sz w:val="21"/>
                <w:szCs w:val="21"/>
              </w:rPr>
            </w:pPr>
            <w:r>
              <w:rPr>
                <w:rFonts w:cs="Times New Roman"/>
                <w:sz w:val="21"/>
                <w:szCs w:val="20"/>
                <w:lang w:bidi="ar"/>
              </w:rPr>
              <w:t>JZQ025</w:t>
            </w:r>
          </w:p>
        </w:tc>
        <w:tc>
          <w:tcPr>
            <w:tcW w:w="1686" w:type="dxa"/>
            <w:shd w:val="clear" w:color="auto" w:fill="auto"/>
            <w:noWrap/>
            <w:vAlign w:val="center"/>
          </w:tcPr>
          <w:p w14:paraId="6F8AE2DF">
            <w:pPr>
              <w:spacing w:line="240" w:lineRule="auto"/>
              <w:ind w:firstLine="0" w:firstLineChars="0"/>
              <w:jc w:val="center"/>
              <w:rPr>
                <w:rFonts w:cs="Times New Roman"/>
                <w:sz w:val="21"/>
                <w:szCs w:val="21"/>
              </w:rPr>
            </w:pPr>
            <w:r>
              <w:rPr>
                <w:rFonts w:cs="Times New Roman"/>
                <w:sz w:val="21"/>
                <w:szCs w:val="20"/>
                <w:lang w:bidi="ar"/>
              </w:rPr>
              <w:t>城关小学第二校区区域</w:t>
            </w:r>
          </w:p>
        </w:tc>
        <w:tc>
          <w:tcPr>
            <w:tcW w:w="9747" w:type="dxa"/>
            <w:shd w:val="clear" w:color="auto" w:fill="auto"/>
            <w:noWrap/>
            <w:vAlign w:val="center"/>
          </w:tcPr>
          <w:p w14:paraId="3E2E6EF6">
            <w:pPr>
              <w:spacing w:line="240" w:lineRule="auto"/>
              <w:ind w:firstLine="0" w:firstLineChars="0"/>
              <w:rPr>
                <w:rFonts w:cs="Times New Roman"/>
                <w:sz w:val="21"/>
                <w:szCs w:val="21"/>
              </w:rPr>
            </w:pPr>
            <w:r>
              <w:rPr>
                <w:rFonts w:cs="Times New Roman"/>
                <w:sz w:val="21"/>
                <w:szCs w:val="20"/>
                <w:lang w:bidi="ar"/>
              </w:rPr>
              <w:t>城关小学第二校区西侧边界→龙江→二中新校区南侧边界→二中新校区东侧边界→二中新校区北侧边界→小路→元华路</w:t>
            </w:r>
          </w:p>
        </w:tc>
        <w:tc>
          <w:tcPr>
            <w:tcW w:w="1558" w:type="dxa"/>
            <w:shd w:val="clear" w:color="auto" w:fill="auto"/>
            <w:noWrap/>
            <w:vAlign w:val="center"/>
          </w:tcPr>
          <w:p w14:paraId="1663A737">
            <w:pPr>
              <w:spacing w:line="240" w:lineRule="auto"/>
              <w:ind w:firstLine="0" w:firstLineChars="0"/>
              <w:jc w:val="center"/>
              <w:rPr>
                <w:rFonts w:cs="Times New Roman"/>
                <w:sz w:val="21"/>
                <w:szCs w:val="21"/>
              </w:rPr>
            </w:pPr>
            <w:r>
              <w:rPr>
                <w:rFonts w:cs="Times New Roman"/>
                <w:sz w:val="21"/>
                <w:szCs w:val="20"/>
                <w:lang w:bidi="ar"/>
              </w:rPr>
              <w:t>0.17</w:t>
            </w:r>
          </w:p>
        </w:tc>
      </w:tr>
    </w:tbl>
    <w:p w14:paraId="0181718B">
      <w:pPr>
        <w:ind w:firstLine="0" w:firstLineChars="0"/>
        <w:jc w:val="center"/>
      </w:pPr>
    </w:p>
    <w:p w14:paraId="5DED9545">
      <w:pPr>
        <w:ind w:firstLine="0" w:firstLineChars="0"/>
        <w:jc w:val="center"/>
        <w:sectPr>
          <w:pgSz w:w="16838" w:h="11906" w:orient="landscape"/>
          <w:pgMar w:top="1800" w:right="1440" w:bottom="1800" w:left="1440" w:header="851" w:footer="992" w:gutter="0"/>
          <w:cols w:space="425" w:num="1"/>
          <w:docGrid w:type="lines" w:linePitch="326" w:charSpace="0"/>
        </w:sectPr>
      </w:pPr>
    </w:p>
    <w:p w14:paraId="7E84659C">
      <w:pPr>
        <w:pStyle w:val="2"/>
      </w:pPr>
      <w:r>
        <w:rPr>
          <w:rFonts w:hint="eastAsia"/>
        </w:rPr>
        <w:t>附图</w:t>
      </w:r>
    </w:p>
    <w:p w14:paraId="383B0C68">
      <w:pPr>
        <w:jc w:val="center"/>
      </w:pPr>
      <w:r>
        <w:drawing>
          <wp:inline distT="0" distB="0" distL="0" distR="0">
            <wp:extent cx="9431655" cy="7543800"/>
            <wp:effectExtent l="0" t="0" r="0" b="0"/>
            <wp:docPr id="918847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4746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435383" cy="7546710"/>
                    </a:xfrm>
                    <a:prstGeom prst="rect">
                      <a:avLst/>
                    </a:prstGeom>
                    <a:noFill/>
                    <a:ln>
                      <a:noFill/>
                    </a:ln>
                  </pic:spPr>
                </pic:pic>
              </a:graphicData>
            </a:graphic>
          </wp:inline>
        </w:drawing>
      </w:r>
    </w:p>
    <w:p w14:paraId="4C57B9A3">
      <w:pPr>
        <w:jc w:val="center"/>
        <w:sectPr>
          <w:pgSz w:w="23811" w:h="16838" w:orient="landscape"/>
          <w:pgMar w:top="1800" w:right="1440" w:bottom="1800" w:left="1440" w:header="851" w:footer="992" w:gutter="0"/>
          <w:cols w:space="425" w:num="1"/>
          <w:docGrid w:type="lines" w:linePitch="326" w:charSpace="0"/>
        </w:sectPr>
      </w:pPr>
      <w:r>
        <w:drawing>
          <wp:inline distT="0" distB="0" distL="0" distR="0">
            <wp:extent cx="10509885" cy="8406130"/>
            <wp:effectExtent l="0" t="0" r="5715" b="0"/>
            <wp:docPr id="17193261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26155"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509885" cy="8406130"/>
                    </a:xfrm>
                    <a:prstGeom prst="rect">
                      <a:avLst/>
                    </a:prstGeom>
                    <a:noFill/>
                    <a:ln>
                      <a:noFill/>
                    </a:ln>
                  </pic:spPr>
                </pic:pic>
              </a:graphicData>
            </a:graphic>
          </wp:inline>
        </w:drawing>
      </w:r>
    </w:p>
    <w:p w14:paraId="5C798378">
      <w:pPr>
        <w:pStyle w:val="2"/>
      </w:pPr>
      <w:r>
        <w:rPr>
          <w:rFonts w:hint="eastAsia"/>
        </w:rPr>
        <w:t>附件</w:t>
      </w:r>
    </w:p>
    <w:p w14:paraId="3CB589F4">
      <w:pPr>
        <w:ind w:firstLine="0" w:firstLineChars="0"/>
        <w:sectPr>
          <w:pgSz w:w="11906" w:h="16838"/>
          <w:pgMar w:top="1440" w:right="1800" w:bottom="1440" w:left="1800" w:header="851" w:footer="992" w:gutter="0"/>
          <w:cols w:space="425" w:num="1"/>
          <w:docGrid w:type="lines" w:linePitch="312" w:charSpace="0"/>
        </w:sectPr>
      </w:pPr>
      <w:r>
        <w:drawing>
          <wp:inline distT="0" distB="0" distL="114300" distR="114300">
            <wp:extent cx="5273040" cy="7079615"/>
            <wp:effectExtent l="0" t="0" r="1016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5273040" cy="7079615"/>
                    </a:xfrm>
                    <a:prstGeom prst="rect">
                      <a:avLst/>
                    </a:prstGeom>
                    <a:noFill/>
                    <a:ln>
                      <a:noFill/>
                    </a:ln>
                  </pic:spPr>
                </pic:pic>
              </a:graphicData>
            </a:graphic>
          </wp:inline>
        </w:drawing>
      </w:r>
    </w:p>
    <w:p w14:paraId="1B7A3D0B">
      <w:pPr>
        <w:ind w:firstLine="0" w:firstLineChars="0"/>
        <w:jc w:val="center"/>
      </w:pPr>
      <w:r>
        <w:rPr>
          <w:rFonts w:hint="eastAsia"/>
        </w:rPr>
        <w:drawing>
          <wp:inline distT="0" distB="0" distL="114300" distR="114300">
            <wp:extent cx="11863070" cy="8377555"/>
            <wp:effectExtent l="0" t="0" r="5080" b="4445"/>
            <wp:docPr id="2" name="图片 2" descr="fca63d61da908842761efb58b982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ca63d61da908842761efb58b9828e4"/>
                    <pic:cNvPicPr>
                      <a:picLocks noChangeAspect="1"/>
                    </pic:cNvPicPr>
                  </pic:nvPicPr>
                  <pic:blipFill>
                    <a:blip r:embed="rId17"/>
                    <a:stretch>
                      <a:fillRect/>
                    </a:stretch>
                  </pic:blipFill>
                  <pic:spPr>
                    <a:xfrm>
                      <a:off x="0" y="0"/>
                      <a:ext cx="11863070" cy="8377555"/>
                    </a:xfrm>
                    <a:prstGeom prst="rect">
                      <a:avLst/>
                    </a:prstGeom>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A6951">
    <w:pPr>
      <w:pStyle w:val="12"/>
      <w:ind w:firstLine="360"/>
      <w:jc w:val="center"/>
    </w:pPr>
  </w:p>
  <w:p w14:paraId="6F17184C">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58592">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1A4E2">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4418910"/>
    </w:sdtPr>
    <w:sdtContent>
      <w:p w14:paraId="68372A07">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14:paraId="27542B9B">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504CC5"/>
    <w:multiLevelType w:val="multilevel"/>
    <w:tmpl w:val="4D504CC5"/>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tabs>
          <w:tab w:val="left" w:pos="567"/>
        </w:tabs>
        <w:ind w:left="567" w:hanging="567"/>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tabs>
          <w:tab w:val="left" w:pos="709"/>
        </w:tabs>
        <w:ind w:left="709" w:hanging="709"/>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lvlText w:val="%1.%2.%3.%4"/>
      <w:lvlJc w:val="left"/>
      <w:pPr>
        <w:tabs>
          <w:tab w:val="left" w:pos="851"/>
        </w:tabs>
        <w:ind w:left="851" w:hanging="851"/>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ind w:left="2551" w:hanging="850"/>
      </w:p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F4A0FEA"/>
    <w:multiLevelType w:val="multilevel"/>
    <w:tmpl w:val="4F4A0FEA"/>
    <w:lvl w:ilvl="0" w:tentative="0">
      <w:start w:val="1"/>
      <w:numFmt w:val="decimal"/>
      <w:isLgl/>
      <w:suff w:val="space"/>
      <w:lvlText w:val="%1"/>
      <w:lvlJc w:val="left"/>
      <w:pPr>
        <w:ind w:left="0" w:firstLine="0"/>
      </w:pPr>
      <w:rPr>
        <w:rFonts w:hint="eastAsia" w:eastAsia="黑体"/>
        <w:b/>
        <w:i w:val="0"/>
        <w:sz w:val="32"/>
      </w:rPr>
    </w:lvl>
    <w:lvl w:ilvl="1" w:tentative="0">
      <w:start w:val="1"/>
      <w:numFmt w:val="decimal"/>
      <w:suff w:val="space"/>
      <w:lvlText w:val="%1.%2"/>
      <w:lvlJc w:val="left"/>
      <w:pPr>
        <w:ind w:left="0" w:firstLine="0"/>
      </w:pPr>
      <w:rPr>
        <w:rFonts w:hint="eastAsia" w:eastAsia="黑体"/>
        <w:b/>
        <w:i w:val="0"/>
        <w:sz w:val="30"/>
      </w:rPr>
    </w:lvl>
    <w:lvl w:ilvl="2" w:tentative="0">
      <w:start w:val="1"/>
      <w:numFmt w:val="decimal"/>
      <w:suff w:val="space"/>
      <w:lvlText w:val="%1.%2.%3"/>
      <w:lvlJc w:val="left"/>
      <w:pPr>
        <w:ind w:left="0" w:firstLine="0"/>
      </w:pPr>
      <w:rPr>
        <w:rFonts w:hint="eastAsia" w:eastAsia="宋体"/>
        <w:b/>
        <w:i w:val="0"/>
        <w:sz w:val="28"/>
      </w:rPr>
    </w:lvl>
    <w:lvl w:ilvl="3" w:tentative="0">
      <w:start w:val="1"/>
      <w:numFmt w:val="decimal"/>
      <w:pStyle w:val="45"/>
      <w:suff w:val="space"/>
      <w:lvlText w:val="%1.%2.%3.%4"/>
      <w:lvlJc w:val="left"/>
      <w:pPr>
        <w:ind w:left="0" w:firstLine="0"/>
      </w:pPr>
      <w:rPr>
        <w:rFonts w:hint="eastAsia" w:eastAsia="宋体"/>
        <w:b/>
        <w:i w:val="0"/>
        <w:sz w:val="24"/>
      </w:rPr>
    </w:lvl>
    <w:lvl w:ilvl="4" w:tentative="0">
      <w:start w:val="1"/>
      <w:numFmt w:val="decimal"/>
      <w:suff w:val="space"/>
      <w:lvlText w:val=" ( %5 )"/>
      <w:lvlJc w:val="left"/>
      <w:pPr>
        <w:ind w:left="0" w:firstLine="0"/>
      </w:pPr>
      <w:rPr>
        <w:rFonts w:hint="eastAsia"/>
        <w:b/>
        <w:i w:val="0"/>
        <w:sz w:val="24"/>
      </w:rPr>
    </w:lvl>
    <w:lvl w:ilvl="5" w:tentative="0">
      <w:start w:val="1"/>
      <w:numFmt w:val="decimalEnclosedCircle"/>
      <w:suff w:val="space"/>
      <w:lvlText w:val="%6"/>
      <w:lvlJc w:val="left"/>
      <w:pPr>
        <w:ind w:left="0" w:firstLine="0"/>
      </w:pPr>
      <w:rPr>
        <w:rFonts w:hint="eastAsia"/>
      </w:rPr>
    </w:lvl>
    <w:lvl w:ilvl="6" w:tentative="0">
      <w:start w:val="1"/>
      <w:numFmt w:val="decimal"/>
      <w:lvlText w:val="%1.%2.%3.%4.%5.%6.%7"/>
      <w:lvlJc w:val="left"/>
      <w:pPr>
        <w:tabs>
          <w:tab w:val="left" w:pos="4315"/>
        </w:tabs>
        <w:ind w:left="4315" w:hanging="1276"/>
      </w:pPr>
      <w:rPr>
        <w:rFonts w:hint="eastAsia"/>
      </w:rPr>
    </w:lvl>
    <w:lvl w:ilvl="7" w:tentative="0">
      <w:start w:val="1"/>
      <w:numFmt w:val="decimal"/>
      <w:lvlText w:val="%1.%2.%3.%4.%5.%6.%7.%8"/>
      <w:lvlJc w:val="left"/>
      <w:pPr>
        <w:tabs>
          <w:tab w:val="left" w:pos="4882"/>
        </w:tabs>
        <w:ind w:left="4882" w:hanging="1418"/>
      </w:pPr>
      <w:rPr>
        <w:rFonts w:hint="eastAsia"/>
      </w:rPr>
    </w:lvl>
    <w:lvl w:ilvl="8" w:tentative="0">
      <w:start w:val="1"/>
      <w:numFmt w:val="decimal"/>
      <w:lvlText w:val="%1.%2.%3.%4.%5.%6.%7.%8.%9"/>
      <w:lvlJc w:val="left"/>
      <w:pPr>
        <w:tabs>
          <w:tab w:val="left" w:pos="5590"/>
        </w:tabs>
        <w:ind w:left="5590" w:hanging="1700"/>
      </w:pPr>
      <w:rPr>
        <w:rFonts w:hint="eastAsia"/>
      </w:rPr>
    </w:lvl>
  </w:abstractNum>
  <w:abstractNum w:abstractNumId="2">
    <w:nsid w:val="55F43DA3"/>
    <w:multiLevelType w:val="multilevel"/>
    <w:tmpl w:val="55F43DA3"/>
    <w:lvl w:ilvl="0" w:tentative="0">
      <w:start w:val="1"/>
      <w:numFmt w:val="decimal"/>
      <w:suff w:val="nothing"/>
      <w:lvlText w:val="（%1）"/>
      <w:lvlJc w:val="left"/>
      <w:pPr>
        <w:ind w:left="900" w:hanging="420"/>
      </w:pPr>
      <w:rPr>
        <w:rFonts w:hint="eastAsia"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nforcement="0"/>
  <w:defaultTabStop w:val="420"/>
  <w:drawingGridHorizontalSpacing w:val="120"/>
  <w:drawingGridVerticalSpacing w:val="163"/>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zMTVjNGJlNGY4OTZlOGQwYjZlMTcxMGI3ODhkNDkifQ=="/>
  </w:docVars>
  <w:rsids>
    <w:rsidRoot w:val="004D1588"/>
    <w:rsid w:val="00020951"/>
    <w:rsid w:val="000337E5"/>
    <w:rsid w:val="0004013B"/>
    <w:rsid w:val="000550CB"/>
    <w:rsid w:val="000569C6"/>
    <w:rsid w:val="000901F0"/>
    <w:rsid w:val="000A70DA"/>
    <w:rsid w:val="000F1CE3"/>
    <w:rsid w:val="00107292"/>
    <w:rsid w:val="0012113B"/>
    <w:rsid w:val="00123D80"/>
    <w:rsid w:val="00134AEB"/>
    <w:rsid w:val="001468C7"/>
    <w:rsid w:val="001715CE"/>
    <w:rsid w:val="00172D18"/>
    <w:rsid w:val="00173CF6"/>
    <w:rsid w:val="001A0CE3"/>
    <w:rsid w:val="001A3820"/>
    <w:rsid w:val="001B01D1"/>
    <w:rsid w:val="001D1302"/>
    <w:rsid w:val="001E03D0"/>
    <w:rsid w:val="001E191C"/>
    <w:rsid w:val="001E559A"/>
    <w:rsid w:val="001F0B6D"/>
    <w:rsid w:val="001F5763"/>
    <w:rsid w:val="00200624"/>
    <w:rsid w:val="00202E88"/>
    <w:rsid w:val="0020672B"/>
    <w:rsid w:val="00212B54"/>
    <w:rsid w:val="002240B3"/>
    <w:rsid w:val="0024104E"/>
    <w:rsid w:val="00241532"/>
    <w:rsid w:val="002471A1"/>
    <w:rsid w:val="002549A0"/>
    <w:rsid w:val="00270931"/>
    <w:rsid w:val="0027478D"/>
    <w:rsid w:val="002867E8"/>
    <w:rsid w:val="002A7124"/>
    <w:rsid w:val="002C2F70"/>
    <w:rsid w:val="002C4710"/>
    <w:rsid w:val="002D2437"/>
    <w:rsid w:val="002D3135"/>
    <w:rsid w:val="002D3D8C"/>
    <w:rsid w:val="002D7E8C"/>
    <w:rsid w:val="002E2C37"/>
    <w:rsid w:val="00306E7B"/>
    <w:rsid w:val="00310B99"/>
    <w:rsid w:val="003127B5"/>
    <w:rsid w:val="0032618D"/>
    <w:rsid w:val="00332329"/>
    <w:rsid w:val="00334515"/>
    <w:rsid w:val="00344691"/>
    <w:rsid w:val="00347DD6"/>
    <w:rsid w:val="00353947"/>
    <w:rsid w:val="00361D8E"/>
    <w:rsid w:val="00362258"/>
    <w:rsid w:val="00394365"/>
    <w:rsid w:val="00397E70"/>
    <w:rsid w:val="003A65BE"/>
    <w:rsid w:val="003B1922"/>
    <w:rsid w:val="003B4424"/>
    <w:rsid w:val="003D3A00"/>
    <w:rsid w:val="003E396D"/>
    <w:rsid w:val="00403F2C"/>
    <w:rsid w:val="00405CD2"/>
    <w:rsid w:val="00407EBC"/>
    <w:rsid w:val="00412EEB"/>
    <w:rsid w:val="004175D6"/>
    <w:rsid w:val="00430ABD"/>
    <w:rsid w:val="004319E4"/>
    <w:rsid w:val="00436A20"/>
    <w:rsid w:val="00491BE3"/>
    <w:rsid w:val="004A56C7"/>
    <w:rsid w:val="004B72C8"/>
    <w:rsid w:val="004D1588"/>
    <w:rsid w:val="004D4477"/>
    <w:rsid w:val="004D6778"/>
    <w:rsid w:val="004F6095"/>
    <w:rsid w:val="004F6103"/>
    <w:rsid w:val="005123A9"/>
    <w:rsid w:val="00524135"/>
    <w:rsid w:val="005263B0"/>
    <w:rsid w:val="005354F4"/>
    <w:rsid w:val="0054153D"/>
    <w:rsid w:val="00557575"/>
    <w:rsid w:val="00565792"/>
    <w:rsid w:val="0057016B"/>
    <w:rsid w:val="00573DE1"/>
    <w:rsid w:val="005818B3"/>
    <w:rsid w:val="005909A3"/>
    <w:rsid w:val="0059351E"/>
    <w:rsid w:val="005C5999"/>
    <w:rsid w:val="005D4077"/>
    <w:rsid w:val="00617DED"/>
    <w:rsid w:val="00631FE3"/>
    <w:rsid w:val="0063601C"/>
    <w:rsid w:val="00662E3C"/>
    <w:rsid w:val="00673C73"/>
    <w:rsid w:val="00686336"/>
    <w:rsid w:val="00686468"/>
    <w:rsid w:val="00692409"/>
    <w:rsid w:val="00696DAB"/>
    <w:rsid w:val="0069709F"/>
    <w:rsid w:val="006A0A3C"/>
    <w:rsid w:val="006A4936"/>
    <w:rsid w:val="00716013"/>
    <w:rsid w:val="00732E3D"/>
    <w:rsid w:val="00741B62"/>
    <w:rsid w:val="00745985"/>
    <w:rsid w:val="00746420"/>
    <w:rsid w:val="00747344"/>
    <w:rsid w:val="00750C34"/>
    <w:rsid w:val="00756269"/>
    <w:rsid w:val="00790C84"/>
    <w:rsid w:val="007C05A6"/>
    <w:rsid w:val="007C7BA9"/>
    <w:rsid w:val="007F52FE"/>
    <w:rsid w:val="00813841"/>
    <w:rsid w:val="008152AA"/>
    <w:rsid w:val="00854FFF"/>
    <w:rsid w:val="00856D65"/>
    <w:rsid w:val="008632E3"/>
    <w:rsid w:val="00882767"/>
    <w:rsid w:val="008852AD"/>
    <w:rsid w:val="008858B9"/>
    <w:rsid w:val="008A703E"/>
    <w:rsid w:val="008B4347"/>
    <w:rsid w:val="008D1AA0"/>
    <w:rsid w:val="008D618A"/>
    <w:rsid w:val="008E1796"/>
    <w:rsid w:val="008E464F"/>
    <w:rsid w:val="00900D67"/>
    <w:rsid w:val="009373EB"/>
    <w:rsid w:val="00953616"/>
    <w:rsid w:val="0097296F"/>
    <w:rsid w:val="00981809"/>
    <w:rsid w:val="00991698"/>
    <w:rsid w:val="009A0326"/>
    <w:rsid w:val="009B3BC8"/>
    <w:rsid w:val="009B665C"/>
    <w:rsid w:val="009D1E27"/>
    <w:rsid w:val="009E530B"/>
    <w:rsid w:val="00A01B33"/>
    <w:rsid w:val="00A02D9A"/>
    <w:rsid w:val="00A4691A"/>
    <w:rsid w:val="00A51C38"/>
    <w:rsid w:val="00A629FE"/>
    <w:rsid w:val="00A63295"/>
    <w:rsid w:val="00A864DD"/>
    <w:rsid w:val="00AA66BE"/>
    <w:rsid w:val="00AB63EE"/>
    <w:rsid w:val="00AC0430"/>
    <w:rsid w:val="00AC4EB7"/>
    <w:rsid w:val="00AD7C04"/>
    <w:rsid w:val="00AE2043"/>
    <w:rsid w:val="00AF3A03"/>
    <w:rsid w:val="00AF5BFE"/>
    <w:rsid w:val="00B01FBC"/>
    <w:rsid w:val="00B06803"/>
    <w:rsid w:val="00B07E53"/>
    <w:rsid w:val="00B10535"/>
    <w:rsid w:val="00B10A1D"/>
    <w:rsid w:val="00B14D8C"/>
    <w:rsid w:val="00B17208"/>
    <w:rsid w:val="00B220A8"/>
    <w:rsid w:val="00B336AD"/>
    <w:rsid w:val="00B50F64"/>
    <w:rsid w:val="00B5116B"/>
    <w:rsid w:val="00B772FC"/>
    <w:rsid w:val="00BA5FA5"/>
    <w:rsid w:val="00BB0FE1"/>
    <w:rsid w:val="00BF013C"/>
    <w:rsid w:val="00BF14EC"/>
    <w:rsid w:val="00BF2DC8"/>
    <w:rsid w:val="00C04229"/>
    <w:rsid w:val="00C134CC"/>
    <w:rsid w:val="00C22AA0"/>
    <w:rsid w:val="00C4175D"/>
    <w:rsid w:val="00C452DD"/>
    <w:rsid w:val="00C4786C"/>
    <w:rsid w:val="00C50F7C"/>
    <w:rsid w:val="00C6049C"/>
    <w:rsid w:val="00C605C7"/>
    <w:rsid w:val="00C6314B"/>
    <w:rsid w:val="00C737C7"/>
    <w:rsid w:val="00C773D2"/>
    <w:rsid w:val="00C870F6"/>
    <w:rsid w:val="00C9247B"/>
    <w:rsid w:val="00C96EF2"/>
    <w:rsid w:val="00CB3C40"/>
    <w:rsid w:val="00CC7D1F"/>
    <w:rsid w:val="00CD0555"/>
    <w:rsid w:val="00CE02D0"/>
    <w:rsid w:val="00CF54A9"/>
    <w:rsid w:val="00D03EE6"/>
    <w:rsid w:val="00D0698F"/>
    <w:rsid w:val="00D20A5A"/>
    <w:rsid w:val="00D241CC"/>
    <w:rsid w:val="00D30558"/>
    <w:rsid w:val="00D417A5"/>
    <w:rsid w:val="00D4462D"/>
    <w:rsid w:val="00D448D5"/>
    <w:rsid w:val="00D50847"/>
    <w:rsid w:val="00D65034"/>
    <w:rsid w:val="00D728A9"/>
    <w:rsid w:val="00D869BA"/>
    <w:rsid w:val="00DA1789"/>
    <w:rsid w:val="00DA2B8A"/>
    <w:rsid w:val="00DB4E69"/>
    <w:rsid w:val="00DD031D"/>
    <w:rsid w:val="00DD164B"/>
    <w:rsid w:val="00DE64BE"/>
    <w:rsid w:val="00DE73E1"/>
    <w:rsid w:val="00E158F5"/>
    <w:rsid w:val="00E31342"/>
    <w:rsid w:val="00E36A58"/>
    <w:rsid w:val="00E419B9"/>
    <w:rsid w:val="00E450CF"/>
    <w:rsid w:val="00E62C57"/>
    <w:rsid w:val="00E6436D"/>
    <w:rsid w:val="00E76CEE"/>
    <w:rsid w:val="00E87FC4"/>
    <w:rsid w:val="00EA4928"/>
    <w:rsid w:val="00EB53D2"/>
    <w:rsid w:val="00EB6273"/>
    <w:rsid w:val="00EC7DC6"/>
    <w:rsid w:val="00ED185F"/>
    <w:rsid w:val="00F22E83"/>
    <w:rsid w:val="00F2591E"/>
    <w:rsid w:val="00F423B9"/>
    <w:rsid w:val="00F44E7B"/>
    <w:rsid w:val="00F61BE6"/>
    <w:rsid w:val="00F86BFA"/>
    <w:rsid w:val="00F949E1"/>
    <w:rsid w:val="00FA40B3"/>
    <w:rsid w:val="00FC1A6E"/>
    <w:rsid w:val="00FC6705"/>
    <w:rsid w:val="00FD6843"/>
    <w:rsid w:val="00FE6502"/>
    <w:rsid w:val="00FF3A7B"/>
    <w:rsid w:val="0AF35798"/>
    <w:rsid w:val="0F770A59"/>
    <w:rsid w:val="12C70919"/>
    <w:rsid w:val="14D922C8"/>
    <w:rsid w:val="1DA97372"/>
    <w:rsid w:val="1DB53071"/>
    <w:rsid w:val="21131DEB"/>
    <w:rsid w:val="21905B79"/>
    <w:rsid w:val="231B2168"/>
    <w:rsid w:val="280D5D50"/>
    <w:rsid w:val="33E6071E"/>
    <w:rsid w:val="3D347747"/>
    <w:rsid w:val="3D5E2E48"/>
    <w:rsid w:val="41431821"/>
    <w:rsid w:val="44E20CE5"/>
    <w:rsid w:val="4A9107EE"/>
    <w:rsid w:val="532312DE"/>
    <w:rsid w:val="56EA2546"/>
    <w:rsid w:val="57CF4731"/>
    <w:rsid w:val="58482C7F"/>
    <w:rsid w:val="5A1D69CB"/>
    <w:rsid w:val="68B82914"/>
    <w:rsid w:val="6D7343D6"/>
    <w:rsid w:val="6EBE3702"/>
    <w:rsid w:val="71A36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qFormat="1"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8"/>
    <w:qFormat/>
    <w:uiPriority w:val="9"/>
    <w:pPr>
      <w:keepNext/>
      <w:keepLines/>
      <w:numPr>
        <w:ilvl w:val="0"/>
        <w:numId w:val="1"/>
      </w:numPr>
      <w:spacing w:before="180" w:after="180"/>
      <w:ind w:left="0" w:firstLine="0" w:firstLineChars="0"/>
      <w:outlineLvl w:val="0"/>
    </w:pPr>
    <w:rPr>
      <w:rFonts w:eastAsia="黑体"/>
      <w:b/>
      <w:bCs/>
      <w:kern w:val="44"/>
      <w:sz w:val="44"/>
      <w:szCs w:val="44"/>
    </w:rPr>
  </w:style>
  <w:style w:type="paragraph" w:styleId="3">
    <w:name w:val="heading 2"/>
    <w:basedOn w:val="1"/>
    <w:next w:val="1"/>
    <w:link w:val="28"/>
    <w:autoRedefine/>
    <w:unhideWhenUsed/>
    <w:qFormat/>
    <w:uiPriority w:val="9"/>
    <w:pPr>
      <w:keepNext/>
      <w:keepLines/>
      <w:numPr>
        <w:ilvl w:val="1"/>
        <w:numId w:val="1"/>
      </w:numPr>
      <w:spacing w:before="120" w:after="120"/>
      <w:ind w:left="0" w:firstLine="0" w:firstLineChars="0"/>
      <w:outlineLvl w:val="1"/>
    </w:pPr>
    <w:rPr>
      <w:rFonts w:eastAsia="楷体" w:cstheme="majorBidi"/>
      <w:b/>
      <w:bCs/>
      <w:sz w:val="32"/>
      <w:szCs w:val="32"/>
    </w:rPr>
  </w:style>
  <w:style w:type="paragraph" w:styleId="4">
    <w:name w:val="heading 3"/>
    <w:basedOn w:val="1"/>
    <w:next w:val="1"/>
    <w:link w:val="29"/>
    <w:autoRedefine/>
    <w:unhideWhenUsed/>
    <w:qFormat/>
    <w:uiPriority w:val="9"/>
    <w:pPr>
      <w:keepNext/>
      <w:keepLines/>
      <w:numPr>
        <w:ilvl w:val="2"/>
        <w:numId w:val="1"/>
      </w:numPr>
      <w:ind w:left="0" w:firstLine="0" w:firstLineChars="0"/>
      <w:outlineLvl w:val="2"/>
    </w:pPr>
    <w:rPr>
      <w:b/>
      <w:bCs/>
      <w:sz w:val="28"/>
      <w:szCs w:val="32"/>
    </w:rPr>
  </w:style>
  <w:style w:type="paragraph" w:styleId="5">
    <w:name w:val="heading 4"/>
    <w:basedOn w:val="1"/>
    <w:next w:val="1"/>
    <w:link w:val="30"/>
    <w:autoRedefine/>
    <w:unhideWhenUsed/>
    <w:qFormat/>
    <w:uiPriority w:val="9"/>
    <w:pPr>
      <w:keepNext/>
      <w:keepLines/>
      <w:numPr>
        <w:ilvl w:val="3"/>
        <w:numId w:val="1"/>
      </w:numPr>
      <w:spacing w:before="40" w:after="40"/>
      <w:ind w:left="0" w:firstLine="0" w:firstLineChars="0"/>
      <w:outlineLvl w:val="3"/>
    </w:pPr>
    <w:rPr>
      <w:rFonts w:cstheme="majorBidi"/>
      <w:b/>
      <w:bCs/>
      <w:szCs w:val="28"/>
    </w:rPr>
  </w:style>
  <w:style w:type="paragraph" w:styleId="6">
    <w:name w:val="heading 5"/>
    <w:basedOn w:val="1"/>
    <w:next w:val="1"/>
    <w:link w:val="31"/>
    <w:autoRedefine/>
    <w:unhideWhenUsed/>
    <w:qFormat/>
    <w:uiPriority w:val="9"/>
    <w:pPr>
      <w:keepNext/>
      <w:keepLines/>
      <w:numPr>
        <w:ilvl w:val="4"/>
        <w:numId w:val="1"/>
      </w:numPr>
      <w:adjustRightInd w:val="0"/>
      <w:ind w:left="0" w:firstLine="0" w:firstLineChars="0"/>
      <w:jc w:val="left"/>
      <w:outlineLvl w:val="4"/>
    </w:pPr>
    <w:rPr>
      <w:bCs/>
      <w:szCs w:val="28"/>
    </w:rPr>
  </w:style>
  <w:style w:type="paragraph" w:styleId="7">
    <w:name w:val="heading 6"/>
    <w:basedOn w:val="1"/>
    <w:next w:val="1"/>
    <w:link w:val="32"/>
    <w:autoRedefine/>
    <w:semiHidden/>
    <w:unhideWhenUsed/>
    <w:qFormat/>
    <w:uiPriority w:val="9"/>
    <w:pPr>
      <w:spacing w:before="2"/>
      <w:ind w:left="1060"/>
      <w:outlineLvl w:val="5"/>
    </w:pPr>
    <w:rPr>
      <w:rFonts w:ascii="宋体" w:hAnsi="宋体" w:cs="宋体"/>
      <w:b/>
      <w:bCs/>
      <w:szCs w:val="24"/>
      <w:lang w:val="zh-CN" w:bidi="zh-CN"/>
    </w:rPr>
  </w:style>
  <w:style w:type="paragraph" w:styleId="8">
    <w:name w:val="heading 7"/>
    <w:basedOn w:val="1"/>
    <w:next w:val="1"/>
    <w:autoRedefine/>
    <w:semiHidden/>
    <w:unhideWhenUsed/>
    <w:qFormat/>
    <w:uiPriority w:val="9"/>
    <w:pPr>
      <w:outlineLvl w:val="6"/>
    </w:pPr>
    <w:rPr>
      <w:rFonts w:ascii="宋体" w:hAnsi="宋体" w:cs="宋体"/>
      <w:b/>
      <w:bCs/>
      <w:szCs w:val="24"/>
    </w:rPr>
  </w:style>
  <w:style w:type="paragraph" w:styleId="9">
    <w:name w:val="heading 8"/>
    <w:basedOn w:val="1"/>
    <w:next w:val="1"/>
    <w:link w:val="39"/>
    <w:autoRedefine/>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link w:val="42"/>
    <w:unhideWhenUsed/>
    <w:qFormat/>
    <w:uiPriority w:val="35"/>
    <w:pPr>
      <w:ind w:firstLine="0" w:firstLineChars="0"/>
      <w:jc w:val="center"/>
    </w:pPr>
    <w:rPr>
      <w:rFonts w:eastAsia="黑体" w:asciiTheme="majorHAnsi" w:hAnsiTheme="majorHAnsi" w:cstheme="majorBidi"/>
      <w:sz w:val="20"/>
      <w:szCs w:val="20"/>
    </w:rPr>
  </w:style>
  <w:style w:type="paragraph" w:styleId="11">
    <w:name w:val="annotation text"/>
    <w:basedOn w:val="1"/>
    <w:link w:val="40"/>
    <w:semiHidden/>
    <w:unhideWhenUsed/>
    <w:qFormat/>
    <w:uiPriority w:val="99"/>
    <w:pPr>
      <w:jc w:val="left"/>
    </w:pPr>
  </w:style>
  <w:style w:type="paragraph" w:styleId="12">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3"/>
    <w:autoRedefine/>
    <w:unhideWhenUsed/>
    <w:qFormat/>
    <w:uiPriority w:val="99"/>
    <w:pPr>
      <w:pBdr>
        <w:bottom w:val="single" w:color="auto" w:sz="6" w:space="1"/>
      </w:pBdr>
      <w:tabs>
        <w:tab w:val="center" w:pos="4153"/>
        <w:tab w:val="right" w:pos="8306"/>
      </w:tabs>
      <w:snapToGrid w:val="0"/>
      <w:ind w:firstLine="360"/>
      <w:jc w:val="center"/>
    </w:pPr>
    <w:rPr>
      <w:sz w:val="18"/>
      <w:szCs w:val="18"/>
    </w:rPr>
  </w:style>
  <w:style w:type="paragraph" w:styleId="14">
    <w:name w:val="toc 1"/>
    <w:basedOn w:val="1"/>
    <w:next w:val="1"/>
    <w:autoRedefine/>
    <w:unhideWhenUsed/>
    <w:qFormat/>
    <w:uiPriority w:val="39"/>
  </w:style>
  <w:style w:type="paragraph" w:styleId="15">
    <w:name w:val="toc 2"/>
    <w:basedOn w:val="1"/>
    <w:next w:val="1"/>
    <w:autoRedefine/>
    <w:unhideWhenUsed/>
    <w:qFormat/>
    <w:uiPriority w:val="39"/>
    <w:pPr>
      <w:tabs>
        <w:tab w:val="left" w:pos="1680"/>
        <w:tab w:val="right" w:leader="dot" w:pos="9060"/>
      </w:tabs>
      <w:ind w:left="480" w:leftChars="200"/>
    </w:pPr>
  </w:style>
  <w:style w:type="paragraph" w:styleId="16">
    <w:name w:val="Title"/>
    <w:basedOn w:val="1"/>
    <w:next w:val="1"/>
    <w:link w:val="34"/>
    <w:autoRedefine/>
    <w:qFormat/>
    <w:uiPriority w:val="10"/>
    <w:pPr>
      <w:widowControl/>
      <w:ind w:firstLine="0" w:firstLineChars="0"/>
      <w:jc w:val="center"/>
    </w:pPr>
    <w:rPr>
      <w:rFonts w:ascii="华文中宋" w:eastAsia="华文中宋" w:cs="Times New Roman"/>
      <w:b/>
      <w:kern w:val="0"/>
      <w:sz w:val="44"/>
      <w:szCs w:val="4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semiHidden/>
    <w:unhideWhenUsed/>
    <w:qFormat/>
    <w:uiPriority w:val="99"/>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paragraph" w:styleId="23">
    <w:name w:val="List Paragraph"/>
    <w:basedOn w:val="1"/>
    <w:semiHidden/>
    <w:qFormat/>
    <w:uiPriority w:val="34"/>
    <w:pPr>
      <w:ind w:firstLine="420"/>
    </w:pPr>
  </w:style>
  <w:style w:type="character" w:customStyle="1" w:styleId="24">
    <w:name w:val="页脚 字符"/>
    <w:basedOn w:val="19"/>
    <w:link w:val="12"/>
    <w:qFormat/>
    <w:uiPriority w:val="99"/>
    <w:rPr>
      <w:rFonts w:ascii="Times New Roman" w:hAnsi="Times New Roman" w:eastAsia="宋体"/>
      <w:kern w:val="2"/>
      <w:sz w:val="18"/>
      <w:szCs w:val="18"/>
    </w:rPr>
  </w:style>
  <w:style w:type="paragraph" w:customStyle="1" w:styleId="25">
    <w:name w:val="tu"/>
    <w:basedOn w:val="1"/>
    <w:link w:val="26"/>
    <w:autoRedefine/>
    <w:qFormat/>
    <w:uiPriority w:val="94"/>
    <w:pPr>
      <w:keepNext/>
      <w:spacing w:line="240" w:lineRule="auto"/>
      <w:ind w:firstLine="0" w:firstLineChars="0"/>
      <w:jc w:val="center"/>
    </w:pPr>
    <w:rPr>
      <w:sz w:val="21"/>
    </w:rPr>
  </w:style>
  <w:style w:type="character" w:customStyle="1" w:styleId="26">
    <w:name w:val="tu 字符"/>
    <w:basedOn w:val="19"/>
    <w:link w:val="25"/>
    <w:qFormat/>
    <w:uiPriority w:val="94"/>
    <w:rPr>
      <w:rFonts w:ascii="Times New Roman" w:hAnsi="Times New Roman" w:eastAsia="宋体"/>
      <w:kern w:val="2"/>
      <w:sz w:val="21"/>
      <w:szCs w:val="22"/>
    </w:rPr>
  </w:style>
  <w:style w:type="paragraph" w:customStyle="1" w:styleId="27">
    <w:name w:val="B表格-莆田高新区"/>
    <w:basedOn w:val="2"/>
    <w:link w:val="44"/>
    <w:qFormat/>
    <w:uiPriority w:val="0"/>
    <w:pPr>
      <w:outlineLvl w:val="9"/>
    </w:pPr>
  </w:style>
  <w:style w:type="character" w:customStyle="1" w:styleId="28">
    <w:name w:val="标题 2 字符"/>
    <w:basedOn w:val="19"/>
    <w:link w:val="3"/>
    <w:autoRedefine/>
    <w:qFormat/>
    <w:uiPriority w:val="9"/>
    <w:rPr>
      <w:rFonts w:ascii="Times New Roman" w:hAnsi="Times New Roman" w:eastAsia="楷体" w:cstheme="majorBidi"/>
      <w:b/>
      <w:bCs/>
      <w:kern w:val="2"/>
      <w:sz w:val="32"/>
      <w:szCs w:val="32"/>
    </w:rPr>
  </w:style>
  <w:style w:type="character" w:customStyle="1" w:styleId="29">
    <w:name w:val="标题 3 字符"/>
    <w:basedOn w:val="19"/>
    <w:link w:val="4"/>
    <w:autoRedefine/>
    <w:qFormat/>
    <w:uiPriority w:val="9"/>
    <w:rPr>
      <w:rFonts w:ascii="Times New Roman" w:hAnsi="Times New Roman" w:eastAsia="宋体"/>
      <w:b/>
      <w:bCs/>
      <w:kern w:val="2"/>
      <w:sz w:val="28"/>
      <w:szCs w:val="32"/>
    </w:rPr>
  </w:style>
  <w:style w:type="character" w:customStyle="1" w:styleId="30">
    <w:name w:val="标题 4 字符"/>
    <w:basedOn w:val="19"/>
    <w:link w:val="5"/>
    <w:autoRedefine/>
    <w:qFormat/>
    <w:uiPriority w:val="9"/>
    <w:rPr>
      <w:rFonts w:ascii="Times New Roman" w:hAnsi="Times New Roman" w:eastAsia="宋体" w:cstheme="majorBidi"/>
      <w:b/>
      <w:bCs/>
      <w:kern w:val="2"/>
      <w:sz w:val="24"/>
      <w:szCs w:val="28"/>
    </w:rPr>
  </w:style>
  <w:style w:type="character" w:customStyle="1" w:styleId="31">
    <w:name w:val="标题 5 字符"/>
    <w:basedOn w:val="19"/>
    <w:link w:val="6"/>
    <w:autoRedefine/>
    <w:qFormat/>
    <w:uiPriority w:val="9"/>
    <w:rPr>
      <w:rFonts w:ascii="Times New Roman" w:hAnsi="Times New Roman" w:eastAsia="宋体"/>
      <w:bCs/>
      <w:kern w:val="2"/>
      <w:sz w:val="24"/>
      <w:szCs w:val="28"/>
    </w:rPr>
  </w:style>
  <w:style w:type="character" w:customStyle="1" w:styleId="32">
    <w:name w:val="标题 6 字符"/>
    <w:basedOn w:val="19"/>
    <w:link w:val="7"/>
    <w:autoRedefine/>
    <w:qFormat/>
    <w:uiPriority w:val="9"/>
    <w:rPr>
      <w:rFonts w:ascii="宋体" w:hAnsi="宋体" w:eastAsia="宋体" w:cs="宋体"/>
      <w:b/>
      <w:bCs/>
      <w:sz w:val="24"/>
      <w:szCs w:val="24"/>
      <w:lang w:val="zh-CN" w:bidi="zh-CN"/>
    </w:rPr>
  </w:style>
  <w:style w:type="character" w:customStyle="1" w:styleId="33">
    <w:name w:val="页眉 字符"/>
    <w:basedOn w:val="19"/>
    <w:link w:val="13"/>
    <w:autoRedefine/>
    <w:qFormat/>
    <w:uiPriority w:val="99"/>
    <w:rPr>
      <w:rFonts w:ascii="Times New Roman" w:hAnsi="Times New Roman" w:eastAsia="宋体"/>
      <w:kern w:val="2"/>
      <w:sz w:val="18"/>
      <w:szCs w:val="18"/>
    </w:rPr>
  </w:style>
  <w:style w:type="character" w:customStyle="1" w:styleId="34">
    <w:name w:val="标题 字符"/>
    <w:basedOn w:val="19"/>
    <w:link w:val="16"/>
    <w:autoRedefine/>
    <w:qFormat/>
    <w:uiPriority w:val="10"/>
    <w:rPr>
      <w:rFonts w:ascii="华文中宋" w:hAnsi="Times New Roman" w:eastAsia="华文中宋" w:cs="Times New Roman"/>
      <w:b/>
      <w:sz w:val="44"/>
      <w:szCs w:val="44"/>
    </w:rPr>
  </w:style>
  <w:style w:type="paragraph" w:customStyle="1" w:styleId="35">
    <w:name w:val="修订1"/>
    <w:autoRedefine/>
    <w: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7">
    <w:name w:val="修订2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8">
    <w:name w:val="标题 1 字符"/>
    <w:link w:val="2"/>
    <w:autoRedefine/>
    <w:qFormat/>
    <w:uiPriority w:val="9"/>
    <w:rPr>
      <w:rFonts w:ascii="Times New Roman" w:hAnsi="Times New Roman" w:eastAsia="黑体"/>
      <w:b/>
      <w:bCs/>
      <w:kern w:val="44"/>
      <w:sz w:val="44"/>
      <w:szCs w:val="44"/>
    </w:rPr>
  </w:style>
  <w:style w:type="character" w:customStyle="1" w:styleId="39">
    <w:name w:val="标题 8 字符"/>
    <w:basedOn w:val="19"/>
    <w:link w:val="9"/>
    <w:autoRedefine/>
    <w:semiHidden/>
    <w:qFormat/>
    <w:uiPriority w:val="0"/>
    <w:rPr>
      <w:rFonts w:asciiTheme="majorHAnsi" w:hAnsiTheme="majorHAnsi" w:eastAsiaTheme="majorEastAsia" w:cstheme="majorBidi"/>
    </w:rPr>
  </w:style>
  <w:style w:type="character" w:customStyle="1" w:styleId="40">
    <w:name w:val="批注文字 字符"/>
    <w:basedOn w:val="19"/>
    <w:link w:val="11"/>
    <w:semiHidden/>
    <w:qFormat/>
    <w:uiPriority w:val="99"/>
    <w:rPr>
      <w:rFonts w:ascii="Times New Roman" w:hAnsi="Times New Roman" w:eastAsia="宋体"/>
      <w:kern w:val="2"/>
      <w:sz w:val="24"/>
      <w:szCs w:val="22"/>
    </w:rPr>
  </w:style>
  <w:style w:type="paragraph" w:customStyle="1" w:styleId="41">
    <w:name w:val="B题注与下段同页"/>
    <w:basedOn w:val="10"/>
    <w:link w:val="43"/>
    <w:qFormat/>
    <w:uiPriority w:val="0"/>
    <w:pPr>
      <w:keepNext/>
    </w:pPr>
  </w:style>
  <w:style w:type="character" w:customStyle="1" w:styleId="42">
    <w:name w:val="题注 字符"/>
    <w:basedOn w:val="19"/>
    <w:link w:val="10"/>
    <w:qFormat/>
    <w:uiPriority w:val="35"/>
    <w:rPr>
      <w:rFonts w:eastAsia="黑体" w:asciiTheme="majorHAnsi" w:hAnsiTheme="majorHAnsi" w:cstheme="majorBidi"/>
      <w:kern w:val="2"/>
    </w:rPr>
  </w:style>
  <w:style w:type="character" w:customStyle="1" w:styleId="43">
    <w:name w:val="B题注与下段同页 字符"/>
    <w:basedOn w:val="42"/>
    <w:link w:val="41"/>
    <w:qFormat/>
    <w:uiPriority w:val="0"/>
    <w:rPr>
      <w:rFonts w:eastAsia="黑体" w:asciiTheme="majorHAnsi" w:hAnsiTheme="majorHAnsi" w:cstheme="majorBidi"/>
      <w:kern w:val="2"/>
    </w:rPr>
  </w:style>
  <w:style w:type="character" w:customStyle="1" w:styleId="44">
    <w:name w:val="B表格-莆田高新区 Char"/>
    <w:link w:val="27"/>
    <w:qFormat/>
    <w:uiPriority w:val="0"/>
    <w:rPr>
      <w:rFonts w:ascii="Times New Roman" w:hAnsi="Times New Roman" w:eastAsia="黑体"/>
      <w:b/>
      <w:bCs/>
      <w:kern w:val="44"/>
      <w:sz w:val="44"/>
      <w:szCs w:val="44"/>
    </w:rPr>
  </w:style>
  <w:style w:type="paragraph" w:customStyle="1" w:styleId="45">
    <w:name w:val="样式 标题 4标题 4（241）¶Î段H4h4 sub sub heading. (A.)款标题1.1.1.1条..."/>
    <w:basedOn w:val="5"/>
    <w:autoRedefine/>
    <w:qFormat/>
    <w:uiPriority w:val="0"/>
    <w:pPr>
      <w:numPr>
        <w:numId w:val="2"/>
      </w:numPr>
      <w:tabs>
        <w:tab w:val="left" w:pos="0"/>
        <w:tab w:val="clear" w:pos="851"/>
      </w:tabs>
      <w:adjustRightInd w:val="0"/>
      <w:spacing w:before="120" w:beforeLines="50" w:after="120" w:afterLines="50" w:line="240" w:lineRule="auto"/>
      <w:jc w:val="left"/>
    </w:pPr>
    <w:rPr>
      <w:rFonts w:eastAsia="黑体" w:cs="宋体"/>
      <w:b w:val="0"/>
      <w:sz w:val="28"/>
      <w:szCs w:val="20"/>
    </w:rPr>
  </w:style>
  <w:style w:type="character" w:customStyle="1" w:styleId="46">
    <w:name w:val="font11"/>
    <w:basedOn w:val="19"/>
    <w:qFormat/>
    <w:uiPriority w:val="0"/>
    <w:rPr>
      <w:rFonts w:hint="eastAsia" w:ascii="宋体" w:hAnsi="宋体" w:eastAsia="宋体" w:cs="宋体"/>
      <w:color w:val="000000"/>
      <w:sz w:val="21"/>
      <w:szCs w:val="21"/>
      <w:u w:val="none"/>
    </w:rPr>
  </w:style>
  <w:style w:type="character" w:customStyle="1" w:styleId="47">
    <w:name w:val="font31"/>
    <w:basedOn w:val="19"/>
    <w:qFormat/>
    <w:uiPriority w:val="0"/>
    <w:rPr>
      <w:rFonts w:hint="default" w:ascii="Times New Roman" w:hAnsi="Times New Roman" w:cs="Times New Roman"/>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5D72B-29E1-4CEB-A05C-5A9E29BAA22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2615</Words>
  <Characters>2935</Characters>
  <Lines>22</Lines>
  <Paragraphs>6</Paragraphs>
  <TotalTime>158</TotalTime>
  <ScaleCrop>false</ScaleCrop>
  <LinksUpToDate>false</LinksUpToDate>
  <CharactersWithSpaces>2939</CharactersWithSpaces>
  <Application>WPS Office_12.1.0.20288_F1E327BC-269C-435d-A152-05C5408002CA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2024-06-26T02:14:00Z</dcterms:created>
  <dc:creator>Administrator</dc:creator>
  <cp:lastModifiedBy>Su</cp:lastModifiedBy>
  <cp:lastPrinted>2024-06-25T05:33:00Z</cp:lastPrinted>
  <dcterms:modified xsi:type="dcterms:W3CDTF">2025-03-24T08:21:03Z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2052-12.1.0.20288</vt:lpwstr>
  </property>
  <property fmtid="{D5CDD505-2E9C-101B-9397-08002B2CF9AE}" pid="3" name="ICV">
    <vt:lpwstr>8894E8DD754F462E985C64CE03F7E4CA_13</vt:lpwstr>
  </property>
  <property fmtid="{D5CDD505-2E9C-101B-9397-08002B2CF9AE}" pid="4" name="KSOTemplateDocerSaveRecord">
    <vt:lpwstr>eyJoZGlkIjoiODg0MGE4NzNjMzNkYjhhZmEwNzE3OTI0NzlmNzRmZTgiLCJ1c2VySWQiOiI2OTkxNjIxMDcifQ==</vt:lpwstr>
  </property>
</Properties>
</file>