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30"/>
        <w:gridCol w:w="1320"/>
        <w:gridCol w:w="1830"/>
        <w:gridCol w:w="1185"/>
        <w:gridCol w:w="1050"/>
        <w:gridCol w:w="126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2026年兼职村级植保员工作任务和补贴金额表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月劳务报酬（元）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工作月数（月）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劳务报酬总计（元）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协助调查冬后水稻主要病虫基数；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2.3月1日起每天开灯诱虫，当天进行分类、计数，记载种类和数量；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3.水稻插秧后定期调查稻纵卷叶螟、稻飞虱、螟虫和纹枯病等发生情况，每5天调查１次，并做好记载，于当日向甲方汇报。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福清市龙江街道松潭村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2026年3月1日至2026年11月30日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协助调查冬后水稻主要病虫基数；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2.3月1日起每天开灯诱虫，当天进行分类、计数，记载种类和数量；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3.水稻插秧后定期调查稻纵卷叶螟、稻飞虱、螟虫和纹枯病等发生情况，每5天调查１次，并做好记载，于当日向甲方汇报。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福清市新厝镇棉亭村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2026年3月1日至2026年11月30日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协助调查冬后水稻主要病虫基数；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2.4月1日起每天开灯诱虫，当天进行分类、计数，记载种类和数量；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3.水稻插秧后定期调查稻纵卷叶螟、稻飞虱、螟虫和纹枯病等发生情况，每5天调查１次，并做好记载，于当日向甲方汇报。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福清市海口镇东阁华侨农场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2026年4月1日至2026年9月30日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协助调查冬后水稻主要病虫基数；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2.4月1日起每天开灯诱虫，当天进行分类、计数，记载种类和数量；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3.水稻插秧后定期调查稻纵卷叶螟、稻飞虱、螟虫和纹枯病等发生情况，每5天调查１次，并做好记载，于当日向甲方汇报。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福清市龙田镇西坑村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2026年4月1日至2026年10月30日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Style w:val="4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1.</w:t>
            </w:r>
            <w:r>
              <w:rPr>
                <w:rStyle w:val="4"/>
                <w:color w:val="auto"/>
                <w:lang w:val="en-US" w:eastAsia="zh-CN" w:bidi="ar"/>
              </w:rPr>
              <w:t>协助调查冬后水稻主要病虫基数；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2.</w:t>
            </w:r>
            <w:r>
              <w:rPr>
                <w:rStyle w:val="4"/>
                <w:color w:val="auto"/>
                <w:lang w:val="en-US" w:eastAsia="zh-CN" w:bidi="ar"/>
              </w:rPr>
              <w:t>水稻插秧后，和福清市植保植检站一起到田间，按照国家标准对稻纵卷叶螟、稻飞虱、螟虫和纹枯病等病虫发生情况进行定期定点系统调查，每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5</w:t>
            </w:r>
            <w:r>
              <w:rPr>
                <w:rStyle w:val="4"/>
                <w:color w:val="auto"/>
                <w:lang w:val="en-US" w:eastAsia="zh-CN" w:bidi="ar"/>
              </w:rPr>
              <w:t>天调查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4"/>
                <w:color w:val="auto"/>
                <w:lang w:val="en-US" w:eastAsia="zh-CN" w:bidi="ar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3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.</w:t>
            </w:r>
            <w:r>
              <w:rPr>
                <w:rStyle w:val="4"/>
                <w:color w:val="auto"/>
                <w:lang w:val="en-US" w:eastAsia="zh-CN" w:bidi="ar"/>
              </w:rPr>
              <w:t>协助甲方调查每代螟虫发育进度。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福清市龙江街道松潭村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2026年3月1日至2026年10月31日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协助进行冬后龙眼主要病虫基数调查；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从3月1日起按甲方方案进行龙眼蛀蒂虫、荔枝蝽和龙眼角颊木虱等主要病虫调查，每周调查1次，当天记载种类和数量；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3.龙眼蛀蒂虫和荔枝蝽发生关键时期2—3天调查一次，当日向甲方汇报。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福清市渔溪镇渔溪村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2026年3月1日至2026年11月30日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1.根据甲方方案每七天定期调查丝瓜白粉病发生情况，并做好记载，于当日向甲方汇报。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福清市龙江街道松潭村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2026年3月1日至2026年7月31日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每周对草地贪夜蛾用诱捕器性诱1次，每周一对3个诱捕器进行计数、记载；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每周一按照方案调查草地贪夜蛾田间幼虫、卵、蛹发生情况和田间作物受害情况，并做好记载；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草地贪夜蛾调查数据每周二前及时向甲方汇报；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4.日常维护草地贪夜蛾智能测报设备。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福清市江镜镇南霄村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2026年3月1日至2026年11月30日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9E9CD"/>
    <w:rsid w:val="08CA2F1E"/>
    <w:rsid w:val="19D23A61"/>
    <w:rsid w:val="22860FCB"/>
    <w:rsid w:val="7EDF6E51"/>
    <w:rsid w:val="7FFFC67D"/>
    <w:rsid w:val="BFD9E9CD"/>
    <w:rsid w:val="EFDCC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2025-12-31T08:03:00Z</dcterms:created>
  <dc:creator>thtf</dc:creator>
  <cp:lastModifiedBy>麦兜</cp:lastModifiedBy>
  <dcterms:modified xsi:type="dcterms:W3CDTF">2026-01-13T00:37:36Z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556C2BD2BE6564D586515C69C628C703</vt:lpwstr>
  </property>
</Properties>
</file>